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D" w:rsidRPr="004A56C1" w:rsidRDefault="009E4E2D" w:rsidP="009E4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9E4E2D" w:rsidRPr="004A56C1" w:rsidRDefault="009E4E2D" w:rsidP="009E4E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реєстраційного посвідчення </w:t>
      </w:r>
    </w:p>
    <w:p w:rsidR="009E4E2D" w:rsidRPr="004A56C1" w:rsidRDefault="009E4E2D" w:rsidP="009E4E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06216" w:rsidRPr="004A56C1" w:rsidRDefault="00906216" w:rsidP="009E4E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F24DFA" w:rsidRPr="004A56C1" w:rsidRDefault="00F24DFA" w:rsidP="00F2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56C1">
        <w:rPr>
          <w:rFonts w:ascii="Times New Roman" w:hAnsi="Times New Roman" w:cs="Times New Roman"/>
          <w:b/>
          <w:sz w:val="24"/>
          <w:szCs w:val="24"/>
        </w:rPr>
        <w:t>Лекасепт</w:t>
      </w:r>
      <w:proofErr w:type="spellEnd"/>
    </w:p>
    <w:p w:rsidR="00F24DFA" w:rsidRPr="004A56C1" w:rsidRDefault="00F24DFA" w:rsidP="00F2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(мазь)</w:t>
      </w:r>
    </w:p>
    <w:p w:rsidR="00F24DFA" w:rsidRPr="004A56C1" w:rsidRDefault="00F24DFA" w:rsidP="00F2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6C1">
        <w:rPr>
          <w:rFonts w:ascii="Times New Roman" w:hAnsi="Times New Roman" w:cs="Times New Roman"/>
          <w:sz w:val="24"/>
          <w:szCs w:val="24"/>
        </w:rPr>
        <w:t>листівка вкладка</w:t>
      </w:r>
    </w:p>
    <w:p w:rsidR="009E4E2D" w:rsidRPr="004A56C1" w:rsidRDefault="009E4E2D" w:rsidP="00F24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Опис</w:t>
      </w:r>
    </w:p>
    <w:p w:rsidR="00E0612D" w:rsidRPr="004A56C1" w:rsidRDefault="009E4E2D" w:rsidP="00E0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C1">
        <w:rPr>
          <w:rFonts w:ascii="Times New Roman" w:hAnsi="Times New Roman" w:cs="Times New Roman"/>
          <w:sz w:val="24"/>
          <w:szCs w:val="24"/>
        </w:rPr>
        <w:t>Зелена гомогенна мазь зі специфічним запахом.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2654595"/>
      <w:r w:rsidRPr="004A56C1">
        <w:rPr>
          <w:rFonts w:ascii="Times New Roman" w:eastAsia="Calibri" w:hAnsi="Times New Roman" w:cs="Times New Roman"/>
          <w:sz w:val="24"/>
          <w:szCs w:val="24"/>
        </w:rPr>
        <w:t>100 г препарату містять діючі речовини (г):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олію евкаліптову</w:t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  <w:t xml:space="preserve"> – 3,5;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олію з листя лавру</w:t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  <w:t xml:space="preserve"> – 1,5;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олію розмаринову</w:t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  <w:t xml:space="preserve"> – 0,4;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камфору</w:t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  <w:t xml:space="preserve"> – 0,2;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ментол</w:t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</w:r>
      <w:r w:rsidRPr="004A56C1">
        <w:rPr>
          <w:rFonts w:ascii="Times New Roman" w:eastAsia="Calibri" w:hAnsi="Times New Roman" w:cs="Times New Roman"/>
          <w:sz w:val="24"/>
          <w:szCs w:val="24"/>
        </w:rPr>
        <w:tab/>
        <w:t xml:space="preserve"> – 0,1;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мідно-хлорофіловий екстракт – 0,023.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2D" w:rsidRPr="004A56C1" w:rsidRDefault="001807F2" w:rsidP="00180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Допоміжні речовини: парафін м'який білий, парафін рідкий.</w:t>
      </w:r>
    </w:p>
    <w:bookmarkEnd w:id="0"/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Фармакологічні властивості:</w:t>
      </w:r>
    </w:p>
    <w:p w:rsidR="001807F2" w:rsidRPr="004A56C1" w:rsidRDefault="001807F2" w:rsidP="001807F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/>
          <w:b/>
          <w:i/>
          <w:sz w:val="24"/>
          <w:szCs w:val="24"/>
        </w:rPr>
        <w:t>ATC-</w:t>
      </w:r>
      <w:proofErr w:type="spellStart"/>
      <w:r w:rsidRPr="004A56C1">
        <w:rPr>
          <w:rFonts w:ascii="Times New Roman" w:hAnsi="Times New Roman"/>
          <w:b/>
          <w:i/>
          <w:sz w:val="24"/>
          <w:szCs w:val="24"/>
        </w:rPr>
        <w:t>vet</w:t>
      </w:r>
      <w:proofErr w:type="spellEnd"/>
      <w:r w:rsidRPr="004A56C1">
        <w:rPr>
          <w:rFonts w:ascii="Times New Roman" w:hAnsi="Times New Roman"/>
          <w:b/>
          <w:i/>
          <w:sz w:val="24"/>
          <w:szCs w:val="24"/>
        </w:rPr>
        <w:t xml:space="preserve"> класифікаційний код:</w:t>
      </w:r>
      <w:r w:rsidRPr="004A56C1">
        <w:rPr>
          <w:rFonts w:ascii="Times New Roman" w:hAnsi="Times New Roman"/>
          <w:b/>
          <w:sz w:val="24"/>
          <w:szCs w:val="24"/>
        </w:rPr>
        <w:t xml:space="preserve"> </w:t>
      </w:r>
      <w:r w:rsidRPr="004A56C1">
        <w:rPr>
          <w:rFonts w:ascii="Times New Roman" w:hAnsi="Times New Roman"/>
          <w:sz w:val="24"/>
          <w:szCs w:val="24"/>
        </w:rPr>
        <w:t>QD02АХ Інші ветеринарні препарати із захисною та пом’якшувальною дією.</w:t>
      </w:r>
    </w:p>
    <w:p w:rsidR="001807F2" w:rsidRPr="004A56C1" w:rsidRDefault="001807F2" w:rsidP="001807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Камфора </w:t>
      </w:r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має антисептичну, </w:t>
      </w:r>
      <w:proofErr w:type="spellStart"/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>місцевоподразнюючу</w:t>
      </w:r>
      <w:proofErr w:type="spellEnd"/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>аналгезуючу</w:t>
      </w:r>
      <w:proofErr w:type="spellEnd"/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протизапальну дії. Збуджуючи чутливі нервові закінчення шкіри, рефлекторно покращує трофіку тканин. </w:t>
      </w:r>
    </w:p>
    <w:p w:rsidR="001807F2" w:rsidRPr="004A56C1" w:rsidRDefault="001807F2" w:rsidP="001807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Ментол</w:t>
      </w:r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має подразнюючу, </w:t>
      </w:r>
      <w:proofErr w:type="spellStart"/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>місцевоанестезуючу</w:t>
      </w:r>
      <w:proofErr w:type="spellEnd"/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>, заспокійливу дії та проявляє антисептичні властивості. Викликає подразнення нервових закінчень, що супроводжується відчуттям холоду, легкого печіння та поколювання, має легку місцеву знеболювальну дію, головним чином, за рахунок відволікаючого впливу. В результаті такої дії, у ділянці запалення відновлюється нормальна циркуляція крові, тканини звільняються від накопичених метаболітів.</w:t>
      </w:r>
    </w:p>
    <w:p w:rsidR="001807F2" w:rsidRPr="004A56C1" w:rsidRDefault="001807F2" w:rsidP="001807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Ефірні олії з листя евкаліпту, розмарину та листя лавру</w:t>
      </w:r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>, що входять до складу препарату, проникають через шкіру та проявляють протимікробну, протизапальну та пом'якшуючу дію.</w:t>
      </w:r>
    </w:p>
    <w:p w:rsidR="00E0612D" w:rsidRPr="004A56C1" w:rsidRDefault="001807F2" w:rsidP="001807F2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Мідно-хлорофіловий екстракт</w:t>
      </w:r>
      <w:r w:rsidRPr="004A5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має унікальну комбінацію протизапальної, антибактеріальної та антиоксидантної активності. За місцевого застосування сприяє загоєнню ран.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Застосування</w:t>
      </w:r>
    </w:p>
    <w:p w:rsidR="001807F2" w:rsidRPr="004A56C1" w:rsidRDefault="001807F2" w:rsidP="0018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56C1">
        <w:rPr>
          <w:rFonts w:ascii="Times New Roman" w:eastAsia="Times New Roman" w:hAnsi="Times New Roman" w:cs="Times New Roman"/>
          <w:sz w:val="24"/>
          <w:szCs w:val="24"/>
        </w:rPr>
        <w:t>Лекасепт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застосовують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зовнішньо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місцево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комплексі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терапевтичних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додатков</w:t>
      </w:r>
      <w:r w:rsidRPr="004A56C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A56C1">
        <w:rPr>
          <w:rFonts w:ascii="Times New Roman" w:hAnsi="Times New Roman" w:cs="Times New Roman"/>
          <w:sz w:val="24"/>
          <w:szCs w:val="24"/>
        </w:rPr>
        <w:t xml:space="preserve"> засіб для симптоматичного лікування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корів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4A56C1">
        <w:rPr>
          <w:rFonts w:ascii="Times New Roman" w:hAnsi="Times New Roman" w:cs="Times New Roman"/>
          <w:sz w:val="24"/>
          <w:szCs w:val="24"/>
        </w:rPr>
        <w:t xml:space="preserve"> катарального </w:t>
      </w:r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маститу,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кіз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за серозного маститу,</w:t>
      </w:r>
      <w:r w:rsidRPr="004A56C1">
        <w:rPr>
          <w:rFonts w:ascii="Times New Roman" w:hAnsi="Times New Roman" w:cs="Times New Roman"/>
          <w:sz w:val="24"/>
          <w:szCs w:val="24"/>
        </w:rPr>
        <w:t xml:space="preserve"> коней за </w:t>
      </w:r>
      <w:proofErr w:type="spellStart"/>
      <w:r w:rsidRPr="004A56C1">
        <w:rPr>
          <w:rFonts w:ascii="Times New Roman" w:hAnsi="Times New Roman" w:cs="Times New Roman"/>
          <w:sz w:val="24"/>
          <w:szCs w:val="24"/>
        </w:rPr>
        <w:t>тендиніту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, свиней за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уражень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шкіри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травматичного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дерматиту,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тріщин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, гематом),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овець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за казеозного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лімфаденіту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612D" w:rsidRPr="004A56C1" w:rsidRDefault="001807F2" w:rsidP="0018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Мазь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захищає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шкіру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4057" w:rsidRPr="004A56C1">
        <w:rPr>
          <w:rFonts w:ascii="Times New Roman" w:hAnsi="Times New Roman" w:cs="Times New Roman"/>
          <w:sz w:val="24"/>
          <w:szCs w:val="24"/>
          <w:lang w:val="ru-RU"/>
        </w:rPr>
        <w:t>вим'я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висихання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шкідливого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навколишнього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4A56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Дозування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ind w:right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sz w:val="24"/>
          <w:szCs w:val="24"/>
        </w:rPr>
        <w:t xml:space="preserve">Як додатковий засіб при маститах 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При перших ознаках хвороби мазь необхідно нанести товстим шаром на вим’я та соски і втирати до повного проникнення. За необхідності процедуру можна повторити. Мазь сприяє зменшенню набряків та запальних процесів у вимені.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6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Як </w:t>
      </w:r>
      <w:proofErr w:type="spellStart"/>
      <w:r w:rsidRPr="004A56C1">
        <w:rPr>
          <w:rFonts w:ascii="Times New Roman" w:hAnsi="Times New Roman" w:cs="Times New Roman"/>
          <w:i/>
          <w:sz w:val="24"/>
          <w:szCs w:val="24"/>
          <w:lang w:val="ru-RU"/>
        </w:rPr>
        <w:t>додатков</w:t>
      </w:r>
      <w:r w:rsidRPr="004A56C1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4A56C1">
        <w:rPr>
          <w:rFonts w:ascii="Times New Roman" w:hAnsi="Times New Roman" w:cs="Times New Roman"/>
          <w:i/>
          <w:sz w:val="24"/>
          <w:szCs w:val="24"/>
        </w:rPr>
        <w:t xml:space="preserve"> засіб для </w:t>
      </w:r>
      <w:proofErr w:type="gramStart"/>
      <w:r w:rsidRPr="004A56C1">
        <w:rPr>
          <w:rFonts w:ascii="Times New Roman" w:hAnsi="Times New Roman" w:cs="Times New Roman"/>
          <w:i/>
          <w:sz w:val="24"/>
          <w:szCs w:val="24"/>
        </w:rPr>
        <w:t>симптоматичного</w:t>
      </w:r>
      <w:proofErr w:type="gramEnd"/>
      <w:r w:rsidRPr="004A56C1">
        <w:rPr>
          <w:rFonts w:ascii="Times New Roman" w:hAnsi="Times New Roman" w:cs="Times New Roman"/>
          <w:i/>
          <w:sz w:val="24"/>
          <w:szCs w:val="24"/>
        </w:rPr>
        <w:t xml:space="preserve"> лікування коней за </w:t>
      </w:r>
      <w:proofErr w:type="spellStart"/>
      <w:r w:rsidRPr="004A56C1">
        <w:rPr>
          <w:rFonts w:ascii="Times New Roman" w:hAnsi="Times New Roman" w:cs="Times New Roman"/>
          <w:i/>
          <w:sz w:val="24"/>
          <w:szCs w:val="24"/>
        </w:rPr>
        <w:t>тендиніту</w:t>
      </w:r>
      <w:proofErr w:type="spellEnd"/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6C1">
        <w:rPr>
          <w:rFonts w:ascii="Times New Roman" w:eastAsia="Times New Roman" w:hAnsi="Times New Roman" w:cs="Times New Roman"/>
          <w:sz w:val="24"/>
          <w:szCs w:val="24"/>
        </w:rPr>
        <w:t>Лекасепт</w:t>
      </w:r>
      <w:proofErr w:type="spellEnd"/>
      <w:r w:rsidRPr="004A56C1">
        <w:rPr>
          <w:rFonts w:ascii="Times New Roman" w:hAnsi="Times New Roman" w:cs="Times New Roman"/>
          <w:sz w:val="24"/>
          <w:szCs w:val="24"/>
        </w:rPr>
        <w:t xml:space="preserve"> нанести </w:t>
      </w:r>
      <w:r w:rsidRPr="004A56C1">
        <w:rPr>
          <w:rFonts w:ascii="Times New Roman" w:eastAsia="Calibri" w:hAnsi="Times New Roman" w:cs="Times New Roman"/>
          <w:sz w:val="24"/>
          <w:szCs w:val="24"/>
        </w:rPr>
        <w:t>товстим шаром на уражену ділянку, втираючи до повної адсорбції мазі в шкіру. Процедуру слід повторювати двічі на добу до повного зникнення симптомів.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6C1">
        <w:rPr>
          <w:rFonts w:ascii="Times New Roman" w:hAnsi="Times New Roman" w:cs="Times New Roman"/>
          <w:i/>
          <w:sz w:val="24"/>
          <w:szCs w:val="24"/>
        </w:rPr>
        <w:t>Як додатковий засіб</w:t>
      </w:r>
      <w:r w:rsidRPr="004A56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56C1">
        <w:rPr>
          <w:rFonts w:ascii="Times New Roman" w:hAnsi="Times New Roman" w:cs="Times New Roman"/>
          <w:i/>
          <w:sz w:val="24"/>
          <w:szCs w:val="24"/>
        </w:rPr>
        <w:t>за уражень шкіри (травматичного дерматиту, тріщин, гематом)</w:t>
      </w:r>
      <w:r w:rsidRPr="004A56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Препарат нанести товстим шаром на уражені місця, втираючи до повної адсорбції мазі в шкіру. За необхідності процедуру слід повторити двічі або тричі протягом дня. Тривалість лікування триває до повного зникнення симптомів.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sz w:val="24"/>
          <w:szCs w:val="24"/>
        </w:rPr>
        <w:t>Як додатковий засіб при лімфаденіті</w:t>
      </w: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C1">
        <w:rPr>
          <w:rFonts w:ascii="Times New Roman" w:hAnsi="Times New Roman" w:cs="Times New Roman"/>
          <w:sz w:val="24"/>
          <w:szCs w:val="24"/>
        </w:rPr>
        <w:t xml:space="preserve">Мазь нанести </w:t>
      </w:r>
      <w:r w:rsidRPr="004A56C1">
        <w:rPr>
          <w:rFonts w:ascii="Times New Roman" w:eastAsia="Calibri" w:hAnsi="Times New Roman" w:cs="Times New Roman"/>
          <w:sz w:val="24"/>
          <w:szCs w:val="24"/>
        </w:rPr>
        <w:t>товстим шаром на уражену ділянку, втираючи до повної адсорбції мазі в шкіру. Процедуру слід повторювати двічі на добу до повного зникнення симптомів.</w:t>
      </w:r>
    </w:p>
    <w:p w:rsidR="00252EA6" w:rsidRDefault="00252EA6" w:rsidP="004533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1" w:name="_GoBack"/>
      <w:bookmarkEnd w:id="1"/>
      <w:r w:rsidRPr="004A56C1">
        <w:rPr>
          <w:rFonts w:ascii="Times New Roman" w:eastAsia="Calibri" w:hAnsi="Times New Roman" w:cs="Times New Roman"/>
        </w:rPr>
        <w:t>1</w:t>
      </w:r>
    </w:p>
    <w:p w:rsidR="004533CF" w:rsidRPr="004A56C1" w:rsidRDefault="004533CF" w:rsidP="00453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 додатку 2</w:t>
      </w:r>
    </w:p>
    <w:p w:rsidR="004533CF" w:rsidRPr="004A56C1" w:rsidRDefault="004533CF" w:rsidP="004533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реєстраційного посвідчення </w:t>
      </w:r>
    </w:p>
    <w:p w:rsidR="004533CF" w:rsidRPr="004A56C1" w:rsidRDefault="004533CF" w:rsidP="004533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CF" w:rsidRPr="004A56C1" w:rsidRDefault="004533CF" w:rsidP="004533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533CF" w:rsidRPr="004A56C1" w:rsidRDefault="004533CF" w:rsidP="004533CF">
      <w:pPr>
        <w:widowControl w:val="0"/>
        <w:tabs>
          <w:tab w:val="left" w:pos="0"/>
        </w:tabs>
        <w:suppressAutoHyphens/>
        <w:spacing w:after="0" w:line="240" w:lineRule="auto"/>
        <w:ind w:right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6C1">
        <w:rPr>
          <w:rFonts w:ascii="Times New Roman" w:eastAsia="Calibri" w:hAnsi="Times New Roman" w:cs="Times New Roman"/>
          <w:i/>
          <w:sz w:val="24"/>
          <w:szCs w:val="24"/>
        </w:rPr>
        <w:t xml:space="preserve">Захист шкіри </w:t>
      </w:r>
      <w:proofErr w:type="spellStart"/>
      <w:r w:rsidRPr="004A56C1">
        <w:rPr>
          <w:rFonts w:ascii="Times New Roman" w:hAnsi="Times New Roman" w:cs="Times New Roman"/>
          <w:i/>
          <w:sz w:val="24"/>
          <w:szCs w:val="24"/>
          <w:lang w:val="ru-RU"/>
        </w:rPr>
        <w:t>вим'я</w:t>
      </w:r>
      <w:proofErr w:type="spellEnd"/>
      <w:r w:rsidRPr="004A56C1">
        <w:rPr>
          <w:rFonts w:ascii="Times New Roman" w:eastAsia="Calibri" w:hAnsi="Times New Roman" w:cs="Times New Roman"/>
          <w:i/>
          <w:sz w:val="24"/>
          <w:szCs w:val="24"/>
        </w:rPr>
        <w:t xml:space="preserve"> від пересихання</w:t>
      </w:r>
    </w:p>
    <w:p w:rsidR="00E0612D" w:rsidRPr="004A56C1" w:rsidRDefault="004533CF" w:rsidP="0045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C1">
        <w:rPr>
          <w:rFonts w:ascii="Times New Roman" w:eastAsia="Calibri" w:hAnsi="Times New Roman" w:cs="Times New Roman"/>
          <w:sz w:val="24"/>
          <w:szCs w:val="24"/>
        </w:rPr>
        <w:t>Нанести мазь на вим’я та соски після доїння.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Протипоказання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957514"/>
      <w:r w:rsidRPr="004A56C1">
        <w:rPr>
          <w:rFonts w:ascii="Times New Roman" w:hAnsi="Times New Roman" w:cs="Times New Roman"/>
          <w:sz w:val="24"/>
          <w:szCs w:val="24"/>
        </w:rPr>
        <w:t xml:space="preserve">Не застосовувати </w:t>
      </w:r>
      <w:bookmarkEnd w:id="2"/>
      <w:r w:rsidRPr="004A56C1">
        <w:rPr>
          <w:rFonts w:ascii="Times New Roman" w:hAnsi="Times New Roman" w:cs="Times New Roman"/>
          <w:sz w:val="24"/>
          <w:szCs w:val="24"/>
        </w:rPr>
        <w:t>препарат тваринам, чутливим до будь-якого з компонентів препарату.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Застереження</w:t>
      </w:r>
    </w:p>
    <w:p w:rsidR="00906216" w:rsidRPr="004A56C1" w:rsidRDefault="00906216" w:rsidP="00906216">
      <w:pPr>
        <w:widowControl w:val="0"/>
        <w:tabs>
          <w:tab w:val="left" w:pos="0"/>
        </w:tabs>
        <w:suppressAutoHyphens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6C1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Особливі застереження при використанні</w:t>
      </w:r>
    </w:p>
    <w:p w:rsidR="00906216" w:rsidRPr="004A56C1" w:rsidRDefault="00906216" w:rsidP="00906216">
      <w:pPr>
        <w:widowControl w:val="0"/>
        <w:tabs>
          <w:tab w:val="left" w:pos="0"/>
        </w:tabs>
        <w:suppressAutoHyphens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C1">
        <w:rPr>
          <w:rFonts w:ascii="Times New Roman" w:eastAsia="Times New Roman" w:hAnsi="Times New Roman" w:cs="Times New Roman"/>
          <w:sz w:val="24"/>
          <w:szCs w:val="24"/>
        </w:rPr>
        <w:t>Використовувати з обережністю для тварин з підвищеною чутливістю до діючих речовин.</w:t>
      </w:r>
    </w:p>
    <w:p w:rsidR="00906216" w:rsidRPr="004A56C1" w:rsidRDefault="00906216" w:rsidP="00906216">
      <w:pPr>
        <w:widowControl w:val="0"/>
        <w:tabs>
          <w:tab w:val="left" w:pos="0"/>
        </w:tabs>
        <w:suppressAutoHyphens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6C1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 під час вагітності, лактації</w:t>
      </w:r>
    </w:p>
    <w:p w:rsidR="00E0612D" w:rsidRPr="004A56C1" w:rsidRDefault="00906216" w:rsidP="0090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C1">
        <w:rPr>
          <w:rFonts w:ascii="Times New Roman" w:eastAsia="Times New Roman" w:hAnsi="Times New Roman" w:cs="Times New Roman"/>
          <w:sz w:val="24"/>
          <w:szCs w:val="24"/>
        </w:rPr>
        <w:t>При нанесенні мазі на вим’я молоко може мати запах камфори.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Форма випуску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6C1">
        <w:rPr>
          <w:rFonts w:ascii="Times New Roman" w:hAnsi="Times New Roman" w:cs="Times New Roman"/>
          <w:sz w:val="24"/>
          <w:szCs w:val="24"/>
        </w:rPr>
        <w:t>Контейнери полімерні по 50 а</w:t>
      </w:r>
      <w:r w:rsidR="00790D59" w:rsidRPr="004A56C1">
        <w:rPr>
          <w:rFonts w:ascii="Times New Roman" w:hAnsi="Times New Roman" w:cs="Times New Roman"/>
          <w:sz w:val="24"/>
          <w:szCs w:val="24"/>
        </w:rPr>
        <w:t>бо</w:t>
      </w:r>
      <w:r w:rsidRPr="004A56C1">
        <w:rPr>
          <w:rFonts w:ascii="Times New Roman" w:hAnsi="Times New Roman" w:cs="Times New Roman"/>
          <w:sz w:val="24"/>
          <w:szCs w:val="24"/>
        </w:rPr>
        <w:t xml:space="preserve"> 350 г.</w:t>
      </w:r>
    </w:p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C1">
        <w:rPr>
          <w:rFonts w:ascii="Times New Roman" w:hAnsi="Times New Roman" w:cs="Times New Roman"/>
          <w:b/>
          <w:sz w:val="24"/>
          <w:szCs w:val="24"/>
        </w:rPr>
        <w:t>Зберігання</w:t>
      </w:r>
    </w:p>
    <w:p w:rsidR="00E0612D" w:rsidRPr="004A56C1" w:rsidRDefault="00F31D76" w:rsidP="00E06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_Hlk89959657"/>
      <w:r w:rsidRPr="004A56C1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Зберігати в сухому темному, недоступному для дітей, місці за температури від 15 до 25 °C.</w:t>
      </w:r>
    </w:p>
    <w:p w:rsidR="00C41AD5" w:rsidRPr="004A56C1" w:rsidRDefault="00C41AD5" w:rsidP="00E0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56C1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4A56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/>
          <w:sz w:val="24"/>
          <w:szCs w:val="24"/>
          <w:lang w:val="ru-RU"/>
        </w:rPr>
        <w:t>зберігання</w:t>
      </w:r>
      <w:proofErr w:type="spellEnd"/>
      <w:r w:rsidRPr="004A56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A56C1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A56C1">
        <w:rPr>
          <w:rFonts w:ascii="Times New Roman" w:hAnsi="Times New Roman"/>
          <w:sz w:val="24"/>
          <w:szCs w:val="24"/>
          <w:lang w:val="ru-RU"/>
        </w:rPr>
        <w:t>ісля</w:t>
      </w:r>
      <w:proofErr w:type="spellEnd"/>
      <w:r w:rsidRPr="004A56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/>
          <w:sz w:val="24"/>
          <w:szCs w:val="24"/>
          <w:lang w:val="ru-RU"/>
        </w:rPr>
        <w:t>першого</w:t>
      </w:r>
      <w:proofErr w:type="spellEnd"/>
      <w:r w:rsidRPr="004A56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56C1">
        <w:rPr>
          <w:rFonts w:ascii="Times New Roman" w:hAnsi="Times New Roman"/>
          <w:sz w:val="24"/>
          <w:szCs w:val="24"/>
          <w:lang w:val="ru-RU"/>
        </w:rPr>
        <w:t>відкриття</w:t>
      </w:r>
      <w:proofErr w:type="spellEnd"/>
      <w:r w:rsidRPr="004A56C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A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температури </w:t>
      </w:r>
      <w:r w:rsidRPr="004A56C1">
        <w:rPr>
          <w:rFonts w:ascii="Times New Roman" w:hAnsi="Times New Roman"/>
          <w:sz w:val="24"/>
          <w:szCs w:val="24"/>
          <w:lang w:val="ru-RU"/>
        </w:rPr>
        <w:t xml:space="preserve">до 15 </w:t>
      </w:r>
      <w:r w:rsidRPr="004A56C1">
        <w:rPr>
          <w:rFonts w:ascii="Times New Roman" w:eastAsia="Times New Roman" w:hAnsi="Times New Roman" w:cs="Times New Roman"/>
          <w:color w:val="000000"/>
          <w:sz w:val="24"/>
          <w:szCs w:val="24"/>
        </w:rPr>
        <w:t>°C</w:t>
      </w:r>
      <w:r w:rsidRPr="004A56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3"/>
    <w:p w:rsidR="00E0612D" w:rsidRPr="004A56C1" w:rsidRDefault="00E0612D" w:rsidP="00E06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6C1">
        <w:rPr>
          <w:rFonts w:ascii="Times New Roman" w:hAnsi="Times New Roman"/>
          <w:b/>
          <w:sz w:val="24"/>
          <w:szCs w:val="24"/>
        </w:rPr>
        <w:t xml:space="preserve">Термін придатності </w:t>
      </w:r>
      <w:r w:rsidR="006C1B1F" w:rsidRPr="004A56C1">
        <w:rPr>
          <w:rFonts w:ascii="Times New Roman" w:hAnsi="Times New Roman" w:cs="Times New Roman"/>
          <w:b/>
          <w:sz w:val="24"/>
          <w:szCs w:val="24"/>
        </w:rPr>
        <w:t>—</w:t>
      </w:r>
      <w:r w:rsidRPr="004A56C1">
        <w:rPr>
          <w:rFonts w:ascii="Times New Roman" w:hAnsi="Times New Roman"/>
          <w:b/>
          <w:sz w:val="24"/>
          <w:szCs w:val="24"/>
        </w:rPr>
        <w:t xml:space="preserve"> </w:t>
      </w:r>
      <w:r w:rsidRPr="004A56C1">
        <w:rPr>
          <w:rFonts w:ascii="Times New Roman" w:hAnsi="Times New Roman"/>
          <w:sz w:val="24"/>
          <w:szCs w:val="24"/>
        </w:rPr>
        <w:t>2 роки.</w:t>
      </w:r>
    </w:p>
    <w:p w:rsidR="00E0612D" w:rsidRPr="004A56C1" w:rsidRDefault="00E0612D" w:rsidP="00E0612D">
      <w:pPr>
        <w:suppressAutoHyphens/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56C1">
        <w:rPr>
          <w:rFonts w:ascii="Times New Roman" w:eastAsia="Times New Roman" w:hAnsi="Times New Roman" w:cs="Times New Roman"/>
          <w:b/>
          <w:i/>
          <w:sz w:val="24"/>
          <w:szCs w:val="24"/>
        </w:rPr>
        <w:t>Для застосування у ветеринарній медицині!</w:t>
      </w:r>
    </w:p>
    <w:p w:rsidR="00E0612D" w:rsidRPr="004A56C1" w:rsidRDefault="00E0612D" w:rsidP="00E061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" w:name="_Hlk89933873"/>
      <w:r w:rsidRPr="004A56C1">
        <w:rPr>
          <w:rFonts w:ascii="Times New Roman" w:eastAsia="Times New Roman" w:hAnsi="Times New Roman" w:cs="Times New Roman"/>
          <w:b/>
          <w:sz w:val="24"/>
          <w:szCs w:val="24"/>
        </w:rPr>
        <w:t>Власник реєстраційного посвідчення та виробник готового продукту</w:t>
      </w:r>
      <w:r w:rsidR="00F31D76" w:rsidRPr="004A56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7655"/>
      </w:tblGrid>
      <w:tr w:rsidR="00E0612D" w:rsidRPr="004A56C1" w:rsidTr="00F31D76">
        <w:trPr>
          <w:trHeight w:val="1104"/>
        </w:trPr>
        <w:tc>
          <w:tcPr>
            <w:tcW w:w="7655" w:type="dxa"/>
          </w:tcPr>
          <w:p w:rsidR="00F31D76" w:rsidRPr="004A56C1" w:rsidRDefault="00F31D76" w:rsidP="00F31D7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A56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ТОВ «</w:t>
            </w:r>
            <w:proofErr w:type="spellStart"/>
            <w:r w:rsidRPr="004A56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Укрветпромпостач</w:t>
            </w:r>
            <w:proofErr w:type="spellEnd"/>
            <w:r w:rsidRPr="004A56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»</w:t>
            </w:r>
          </w:p>
          <w:p w:rsidR="00E0612D" w:rsidRPr="004A56C1" w:rsidRDefault="00F31D76" w:rsidP="00F31D76">
            <w:pPr>
              <w:suppressAutoHyphens/>
              <w:spacing w:after="0" w:line="240" w:lineRule="auto"/>
              <w:ind w:left="-100" w:right="-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6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07400, Київська обл., м. Бровари, вул. Гельсінської групи, 23 А, Україна</w:t>
            </w:r>
          </w:p>
        </w:tc>
      </w:tr>
      <w:bookmarkEnd w:id="4"/>
    </w:tbl>
    <w:p w:rsidR="00E66E59" w:rsidRPr="004A56C1" w:rsidRDefault="00E66E59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4A56C1" w:rsidRDefault="00F31D76" w:rsidP="00F24DFA"/>
    <w:p w:rsidR="00F31D76" w:rsidRPr="00F31D76" w:rsidRDefault="00F31D76" w:rsidP="00F31D76">
      <w:pPr>
        <w:jc w:val="center"/>
        <w:rPr>
          <w:rFonts w:ascii="Times New Roman" w:hAnsi="Times New Roman" w:cs="Times New Roman"/>
        </w:rPr>
      </w:pPr>
      <w:r w:rsidRPr="004A56C1">
        <w:rPr>
          <w:rFonts w:ascii="Times New Roman" w:hAnsi="Times New Roman" w:cs="Times New Roman"/>
        </w:rPr>
        <w:t>2</w:t>
      </w:r>
    </w:p>
    <w:sectPr w:rsidR="00F31D76" w:rsidRPr="00F31D76" w:rsidSect="009E4E2D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3"/>
    <w:rsid w:val="00097957"/>
    <w:rsid w:val="000E21BA"/>
    <w:rsid w:val="001807F2"/>
    <w:rsid w:val="00252EA6"/>
    <w:rsid w:val="00414864"/>
    <w:rsid w:val="004533CF"/>
    <w:rsid w:val="00453A5B"/>
    <w:rsid w:val="004A56C1"/>
    <w:rsid w:val="006C1B1F"/>
    <w:rsid w:val="00790D59"/>
    <w:rsid w:val="007F5453"/>
    <w:rsid w:val="008265F9"/>
    <w:rsid w:val="00906216"/>
    <w:rsid w:val="009E4E2D"/>
    <w:rsid w:val="009F2BB0"/>
    <w:rsid w:val="00AD4057"/>
    <w:rsid w:val="00C41AD5"/>
    <w:rsid w:val="00CD2A49"/>
    <w:rsid w:val="00E0612D"/>
    <w:rsid w:val="00E66E59"/>
    <w:rsid w:val="00EA211B"/>
    <w:rsid w:val="00F24DFA"/>
    <w:rsid w:val="00F31D76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E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E66E59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E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E66E59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"Укрветпромпостач"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Lyuba_Kalynovska</cp:lastModifiedBy>
  <cp:revision>17</cp:revision>
  <dcterms:created xsi:type="dcterms:W3CDTF">2021-12-09T06:44:00Z</dcterms:created>
  <dcterms:modified xsi:type="dcterms:W3CDTF">2022-06-28T06:43:00Z</dcterms:modified>
</cp:coreProperties>
</file>