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A7" w:rsidRPr="00D007A2" w:rsidRDefault="002128A7" w:rsidP="002128A7">
      <w:pPr>
        <w:ind w:left="5760" w:firstLine="720"/>
        <w:jc w:val="right"/>
      </w:pPr>
      <w:proofErr w:type="spellStart"/>
      <w:r w:rsidRPr="00D007A2">
        <w:t>Додаток</w:t>
      </w:r>
      <w:proofErr w:type="spellEnd"/>
      <w:r w:rsidRPr="00D007A2">
        <w:t xml:space="preserve"> 2                                                                                   </w:t>
      </w:r>
    </w:p>
    <w:p w:rsidR="002128A7" w:rsidRPr="00D007A2" w:rsidRDefault="002128A7" w:rsidP="002128A7">
      <w:pPr>
        <w:jc w:val="right"/>
      </w:pPr>
      <w:r w:rsidRPr="00D007A2">
        <w:t xml:space="preserve"> до </w:t>
      </w:r>
      <w:proofErr w:type="spellStart"/>
      <w:r w:rsidRPr="00D007A2">
        <w:t>реєстраційного</w:t>
      </w:r>
      <w:proofErr w:type="spellEnd"/>
      <w:r w:rsidRPr="00D007A2">
        <w:t xml:space="preserve"> </w:t>
      </w:r>
      <w:proofErr w:type="spellStart"/>
      <w:r w:rsidRPr="00D007A2">
        <w:t>посвідчення</w:t>
      </w:r>
      <w:proofErr w:type="spellEnd"/>
      <w:r w:rsidRPr="00D007A2">
        <w:t xml:space="preserve"> </w:t>
      </w:r>
      <w:r w:rsidR="00F520FC" w:rsidRPr="00D007A2">
        <w:t>AA-</w:t>
      </w:r>
    </w:p>
    <w:p w:rsidR="002128A7" w:rsidRPr="00D007A2" w:rsidRDefault="002128A7" w:rsidP="002128A7">
      <w:pPr>
        <w:jc w:val="right"/>
        <w:rPr>
          <w:b/>
          <w:lang w:val="uk-UA"/>
        </w:rPr>
      </w:pPr>
    </w:p>
    <w:p w:rsidR="0064540A" w:rsidRPr="00D007A2" w:rsidRDefault="0064540A" w:rsidP="002128A7">
      <w:pPr>
        <w:jc w:val="right"/>
        <w:rPr>
          <w:b/>
          <w:lang w:val="uk-UA"/>
        </w:rPr>
      </w:pPr>
    </w:p>
    <w:p w:rsidR="0061337C" w:rsidRPr="00D007A2" w:rsidRDefault="00F520FC" w:rsidP="00720AA7">
      <w:pPr>
        <w:jc w:val="center"/>
        <w:rPr>
          <w:b/>
        </w:rPr>
      </w:pPr>
      <w:proofErr w:type="spellStart"/>
      <w:r w:rsidRPr="00D007A2">
        <w:rPr>
          <w:b/>
          <w:lang w:val="uk-UA"/>
        </w:rPr>
        <w:t>Цефасепт</w:t>
      </w:r>
      <w:r w:rsidR="00A121B4" w:rsidRPr="00D007A2">
        <w:rPr>
          <w:b/>
          <w:lang w:val="uk-UA"/>
        </w:rPr>
        <w:t>и</w:t>
      </w:r>
      <w:r w:rsidRPr="00D007A2">
        <w:rPr>
          <w:b/>
          <w:lang w:val="uk-UA"/>
        </w:rPr>
        <w:t>н</w:t>
      </w:r>
      <w:proofErr w:type="spellEnd"/>
      <w:r w:rsidR="00094384" w:rsidRPr="00D007A2">
        <w:rPr>
          <w:b/>
        </w:rPr>
        <w:t xml:space="preserve"> таб</w:t>
      </w:r>
      <w:r w:rsidRPr="00D007A2">
        <w:rPr>
          <w:b/>
        </w:rPr>
        <w:t xml:space="preserve">летки </w:t>
      </w:r>
      <w:proofErr w:type="spellStart"/>
      <w:r w:rsidRPr="00D007A2">
        <w:rPr>
          <w:b/>
        </w:rPr>
        <w:t>зі</w:t>
      </w:r>
      <w:proofErr w:type="spellEnd"/>
      <w:r w:rsidRPr="00D007A2">
        <w:rPr>
          <w:b/>
        </w:rPr>
        <w:t xml:space="preserve"> смаком </w:t>
      </w:r>
      <w:proofErr w:type="spellStart"/>
      <w:r w:rsidRPr="00D007A2">
        <w:rPr>
          <w:b/>
        </w:rPr>
        <w:t>печінки</w:t>
      </w:r>
      <w:proofErr w:type="spellEnd"/>
      <w:r w:rsidRPr="00D007A2">
        <w:rPr>
          <w:b/>
        </w:rPr>
        <w:t xml:space="preserve"> </w:t>
      </w:r>
      <w:r w:rsidR="00743477" w:rsidRPr="00D007A2">
        <w:rPr>
          <w:b/>
          <w:lang w:val="uk-UA"/>
        </w:rPr>
        <w:t>75</w:t>
      </w:r>
      <w:r w:rsidR="00EC4F1D" w:rsidRPr="00D007A2">
        <w:rPr>
          <w:b/>
          <w:lang w:val="uk-UA"/>
        </w:rPr>
        <w:t>0</w:t>
      </w:r>
      <w:r w:rsidR="00094384" w:rsidRPr="00D007A2">
        <w:rPr>
          <w:b/>
        </w:rPr>
        <w:t xml:space="preserve"> мг </w:t>
      </w:r>
      <w:r w:rsidR="004F22A0" w:rsidRPr="00D007A2">
        <w:rPr>
          <w:b/>
        </w:rPr>
        <w:t>(</w:t>
      </w:r>
      <w:r w:rsidR="004F22A0" w:rsidRPr="00D007A2">
        <w:rPr>
          <w:b/>
          <w:lang w:val="en-US"/>
        </w:rPr>
        <w:t>mg</w:t>
      </w:r>
      <w:r w:rsidR="004F22A0" w:rsidRPr="00D007A2">
        <w:rPr>
          <w:b/>
        </w:rPr>
        <w:t xml:space="preserve">) </w:t>
      </w:r>
      <w:r w:rsidR="00094384" w:rsidRPr="00D007A2">
        <w:rPr>
          <w:b/>
        </w:rPr>
        <w:t xml:space="preserve">для собак та </w:t>
      </w:r>
      <w:proofErr w:type="spellStart"/>
      <w:r w:rsidR="00094384" w:rsidRPr="00D007A2">
        <w:rPr>
          <w:b/>
        </w:rPr>
        <w:t>котів</w:t>
      </w:r>
      <w:proofErr w:type="spellEnd"/>
    </w:p>
    <w:p w:rsidR="00A02E31" w:rsidRPr="00D007A2" w:rsidRDefault="00A02E31" w:rsidP="00720AA7">
      <w:pPr>
        <w:jc w:val="center"/>
        <w:rPr>
          <w:b/>
          <w:lang w:val="uk-UA"/>
        </w:rPr>
      </w:pPr>
      <w:r w:rsidRPr="00D007A2">
        <w:rPr>
          <w:b/>
          <w:lang w:val="uk-UA"/>
        </w:rPr>
        <w:t>(таблетки)</w:t>
      </w:r>
    </w:p>
    <w:p w:rsidR="0061337C" w:rsidRPr="00D007A2" w:rsidRDefault="0061337C" w:rsidP="00720AA7">
      <w:pPr>
        <w:jc w:val="center"/>
        <w:rPr>
          <w:lang w:val="uk-UA"/>
        </w:rPr>
      </w:pPr>
      <w:r w:rsidRPr="00D007A2">
        <w:rPr>
          <w:lang w:val="uk-UA"/>
        </w:rPr>
        <w:t>листівка-вкладка</w:t>
      </w:r>
    </w:p>
    <w:p w:rsidR="00094384" w:rsidRPr="00D007A2" w:rsidRDefault="00094384" w:rsidP="00720AA7">
      <w:pPr>
        <w:jc w:val="center"/>
        <w:rPr>
          <w:lang w:val="uk-UA"/>
        </w:rPr>
      </w:pPr>
    </w:p>
    <w:p w:rsidR="0061337C" w:rsidRPr="00D007A2" w:rsidRDefault="0061337C" w:rsidP="006E1406">
      <w:pPr>
        <w:ind w:firstLine="567"/>
        <w:rPr>
          <w:b/>
          <w:sz w:val="22"/>
          <w:szCs w:val="22"/>
          <w:lang w:val="uk-UA"/>
        </w:rPr>
      </w:pPr>
      <w:r w:rsidRPr="00D007A2">
        <w:rPr>
          <w:b/>
          <w:sz w:val="22"/>
          <w:szCs w:val="22"/>
          <w:lang w:val="uk-UA"/>
        </w:rPr>
        <w:t>Опис</w:t>
      </w:r>
    </w:p>
    <w:p w:rsidR="004A41E2" w:rsidRPr="00D007A2" w:rsidRDefault="00094384" w:rsidP="006E1406">
      <w:pPr>
        <w:ind w:firstLine="567"/>
        <w:rPr>
          <w:sz w:val="22"/>
          <w:szCs w:val="22"/>
          <w:lang w:val="uk-UA"/>
        </w:rPr>
      </w:pPr>
      <w:r w:rsidRPr="00D007A2">
        <w:rPr>
          <w:sz w:val="22"/>
          <w:szCs w:val="22"/>
          <w:lang w:val="uk-UA"/>
        </w:rPr>
        <w:t>Довгасті</w:t>
      </w:r>
      <w:r w:rsidR="0061337C" w:rsidRPr="00D007A2">
        <w:rPr>
          <w:sz w:val="22"/>
          <w:szCs w:val="22"/>
          <w:lang w:val="uk-UA"/>
        </w:rPr>
        <w:t xml:space="preserve"> т</w:t>
      </w:r>
      <w:proofErr w:type="spellStart"/>
      <w:r w:rsidR="0061337C" w:rsidRPr="00D007A2">
        <w:rPr>
          <w:sz w:val="22"/>
          <w:szCs w:val="22"/>
        </w:rPr>
        <w:t>аблетки</w:t>
      </w:r>
      <w:proofErr w:type="spellEnd"/>
      <w:r w:rsidR="0061337C" w:rsidRPr="00D007A2">
        <w:rPr>
          <w:sz w:val="22"/>
          <w:szCs w:val="22"/>
          <w:lang w:val="uk-UA"/>
        </w:rPr>
        <w:t xml:space="preserve"> </w:t>
      </w:r>
      <w:r w:rsidRPr="00D007A2">
        <w:rPr>
          <w:sz w:val="22"/>
          <w:szCs w:val="22"/>
          <w:lang w:val="uk-UA"/>
        </w:rPr>
        <w:t>бежевого</w:t>
      </w:r>
      <w:r w:rsidR="0061337C" w:rsidRPr="00D007A2">
        <w:rPr>
          <w:sz w:val="22"/>
          <w:szCs w:val="22"/>
          <w:lang w:val="uk-UA"/>
        </w:rPr>
        <w:t xml:space="preserve"> кольору </w:t>
      </w:r>
      <w:r w:rsidRPr="00D007A2">
        <w:rPr>
          <w:lang w:val="uk-UA"/>
        </w:rPr>
        <w:t xml:space="preserve">з </w:t>
      </w:r>
      <w:r w:rsidR="00EC4F1D" w:rsidRPr="00D007A2">
        <w:rPr>
          <w:lang w:val="uk-UA"/>
        </w:rPr>
        <w:t>трьома роздільними</w:t>
      </w:r>
      <w:r w:rsidRPr="00D007A2">
        <w:rPr>
          <w:lang w:val="uk-UA"/>
        </w:rPr>
        <w:t xml:space="preserve"> </w:t>
      </w:r>
      <w:r w:rsidR="00EC4F1D" w:rsidRPr="00D007A2">
        <w:rPr>
          <w:lang w:val="uk-UA"/>
        </w:rPr>
        <w:t>борозенками</w:t>
      </w:r>
      <w:r w:rsidR="001A40CE" w:rsidRPr="00D007A2">
        <w:rPr>
          <w:lang w:val="uk-UA"/>
        </w:rPr>
        <w:t xml:space="preserve"> на 2 </w:t>
      </w:r>
      <w:r w:rsidR="00EC4F1D" w:rsidRPr="00D007A2">
        <w:rPr>
          <w:lang w:val="uk-UA"/>
        </w:rPr>
        <w:t xml:space="preserve">або 4 </w:t>
      </w:r>
      <w:r w:rsidR="001A40CE" w:rsidRPr="00D007A2">
        <w:rPr>
          <w:lang w:val="uk-UA"/>
        </w:rPr>
        <w:t>частини</w:t>
      </w:r>
      <w:r w:rsidR="00455AFC" w:rsidRPr="00D007A2">
        <w:rPr>
          <w:sz w:val="22"/>
          <w:szCs w:val="22"/>
          <w:lang w:val="uk-UA"/>
        </w:rPr>
        <w:t>.</w:t>
      </w:r>
    </w:p>
    <w:p w:rsidR="006113A2" w:rsidRPr="00D007A2" w:rsidRDefault="00E85F1B" w:rsidP="006E1406">
      <w:pPr>
        <w:ind w:firstLine="567"/>
        <w:jc w:val="both"/>
        <w:rPr>
          <w:b/>
          <w:sz w:val="22"/>
          <w:szCs w:val="22"/>
          <w:lang w:val="uk-UA"/>
        </w:rPr>
      </w:pPr>
      <w:r w:rsidRPr="00D007A2">
        <w:rPr>
          <w:b/>
          <w:sz w:val="22"/>
          <w:szCs w:val="22"/>
          <w:lang w:val="uk-UA"/>
        </w:rPr>
        <w:t>С</w:t>
      </w:r>
      <w:r w:rsidR="004A41E2" w:rsidRPr="00D007A2">
        <w:rPr>
          <w:b/>
          <w:sz w:val="22"/>
          <w:szCs w:val="22"/>
          <w:lang w:val="uk-UA"/>
        </w:rPr>
        <w:t>клад</w:t>
      </w:r>
    </w:p>
    <w:p w:rsidR="00583287" w:rsidRPr="00D007A2" w:rsidRDefault="00583287" w:rsidP="00583287">
      <w:pPr>
        <w:spacing w:line="264" w:lineRule="exact"/>
        <w:ind w:left="624"/>
        <w:rPr>
          <w:spacing w:val="-5"/>
          <w:lang w:val="uk-UA"/>
        </w:rPr>
      </w:pPr>
      <w:r w:rsidRPr="00D007A2">
        <w:rPr>
          <w:spacing w:val="-3"/>
          <w:lang w:val="uk-UA"/>
        </w:rPr>
        <w:t>1 таблетка (вагою 2</w:t>
      </w:r>
      <w:r w:rsidR="00A1663A">
        <w:rPr>
          <w:spacing w:val="-3"/>
          <w:lang w:val="uk-UA"/>
        </w:rPr>
        <w:t xml:space="preserve"> </w:t>
      </w:r>
      <w:r w:rsidRPr="00D007A2">
        <w:rPr>
          <w:spacing w:val="-3"/>
          <w:lang w:val="uk-UA"/>
        </w:rPr>
        <w:t>125 мг) препарату містить діючу речовину:</w:t>
      </w:r>
    </w:p>
    <w:p w:rsidR="00583287" w:rsidRPr="00D007A2" w:rsidRDefault="00583287" w:rsidP="00583287">
      <w:pPr>
        <w:tabs>
          <w:tab w:val="left" w:pos="5093"/>
        </w:tabs>
        <w:spacing w:line="264" w:lineRule="exact"/>
        <w:ind w:left="600"/>
        <w:rPr>
          <w:spacing w:val="-2"/>
          <w:lang w:val="uk-UA"/>
        </w:rPr>
      </w:pPr>
      <w:proofErr w:type="spellStart"/>
      <w:r w:rsidRPr="00D007A2">
        <w:rPr>
          <w:lang w:val="uk-UA"/>
        </w:rPr>
        <w:t>цефалексин</w:t>
      </w:r>
      <w:proofErr w:type="spellEnd"/>
      <w:r w:rsidRPr="00D007A2">
        <w:rPr>
          <w:lang w:val="uk-UA"/>
        </w:rPr>
        <w:t xml:space="preserve"> (у вигляді </w:t>
      </w:r>
      <w:proofErr w:type="spellStart"/>
      <w:r w:rsidRPr="00D007A2">
        <w:rPr>
          <w:lang w:val="uk-UA"/>
        </w:rPr>
        <w:t>цефалексину</w:t>
      </w:r>
      <w:proofErr w:type="spellEnd"/>
      <w:r w:rsidRPr="00D007A2">
        <w:rPr>
          <w:lang w:val="uk-UA"/>
        </w:rPr>
        <w:t xml:space="preserve"> моногідрату) </w:t>
      </w:r>
      <w:r w:rsidRPr="00D007A2">
        <w:rPr>
          <w:spacing w:val="-3"/>
          <w:lang w:val="uk-UA"/>
        </w:rPr>
        <w:t>- 750,0 мг.</w:t>
      </w:r>
    </w:p>
    <w:p w:rsidR="001A40CE" w:rsidRPr="00D007A2" w:rsidRDefault="00583287" w:rsidP="00583287">
      <w:pPr>
        <w:spacing w:line="264" w:lineRule="exact"/>
        <w:ind w:left="62" w:firstLine="533"/>
        <w:jc w:val="both"/>
        <w:rPr>
          <w:spacing w:val="7"/>
          <w:lang w:val="uk-UA"/>
        </w:rPr>
      </w:pPr>
      <w:r w:rsidRPr="00D007A2">
        <w:rPr>
          <w:spacing w:val="5"/>
          <w:lang w:val="uk-UA"/>
        </w:rPr>
        <w:t xml:space="preserve">Допоміжні речовини: лактози моногідрат, </w:t>
      </w:r>
      <w:proofErr w:type="spellStart"/>
      <w:r w:rsidRPr="00D007A2">
        <w:rPr>
          <w:spacing w:val="5"/>
          <w:lang w:val="uk-UA"/>
        </w:rPr>
        <w:t>кросповідон</w:t>
      </w:r>
      <w:proofErr w:type="spellEnd"/>
      <w:r w:rsidRPr="00D007A2">
        <w:rPr>
          <w:spacing w:val="5"/>
          <w:lang w:val="uk-UA"/>
        </w:rPr>
        <w:t xml:space="preserve">, </w:t>
      </w:r>
      <w:proofErr w:type="spellStart"/>
      <w:r w:rsidRPr="00D007A2">
        <w:rPr>
          <w:spacing w:val="5"/>
          <w:lang w:val="uk-UA"/>
        </w:rPr>
        <w:t>повідон</w:t>
      </w:r>
      <w:proofErr w:type="spellEnd"/>
      <w:r w:rsidRPr="00D007A2">
        <w:rPr>
          <w:spacing w:val="5"/>
          <w:lang w:val="uk-UA"/>
        </w:rPr>
        <w:t xml:space="preserve"> К30, натрію </w:t>
      </w:r>
      <w:proofErr w:type="spellStart"/>
      <w:r w:rsidRPr="00D007A2">
        <w:rPr>
          <w:spacing w:val="5"/>
          <w:lang w:val="uk-UA"/>
        </w:rPr>
        <w:t>кроскармеорза</w:t>
      </w:r>
      <w:proofErr w:type="spellEnd"/>
      <w:r w:rsidRPr="00D007A2">
        <w:rPr>
          <w:spacing w:val="5"/>
          <w:lang w:val="uk-UA"/>
        </w:rPr>
        <w:t xml:space="preserve">, </w:t>
      </w:r>
      <w:r w:rsidRPr="00D007A2">
        <w:rPr>
          <w:spacing w:val="7"/>
          <w:lang w:val="uk-UA"/>
        </w:rPr>
        <w:t xml:space="preserve">целюлоза </w:t>
      </w:r>
      <w:r w:rsidRPr="00D007A2">
        <w:rPr>
          <w:spacing w:val="-4"/>
          <w:lang w:val="uk-UA"/>
        </w:rPr>
        <w:t>мікрокристалічна, аромат печінки, аромат дріжджів</w:t>
      </w:r>
      <w:r w:rsidRPr="00D007A2">
        <w:rPr>
          <w:spacing w:val="5"/>
          <w:lang w:val="uk-UA"/>
        </w:rPr>
        <w:t xml:space="preserve">, натрію </w:t>
      </w:r>
      <w:proofErr w:type="spellStart"/>
      <w:r w:rsidRPr="00D007A2">
        <w:rPr>
          <w:spacing w:val="5"/>
          <w:lang w:val="uk-UA"/>
        </w:rPr>
        <w:t>стеарил</w:t>
      </w:r>
      <w:proofErr w:type="spellEnd"/>
      <w:r w:rsidRPr="00D007A2">
        <w:rPr>
          <w:spacing w:val="5"/>
          <w:lang w:val="uk-UA"/>
        </w:rPr>
        <w:t xml:space="preserve"> </w:t>
      </w:r>
      <w:proofErr w:type="spellStart"/>
      <w:r w:rsidRPr="00D007A2">
        <w:rPr>
          <w:spacing w:val="5"/>
          <w:lang w:val="uk-UA"/>
        </w:rPr>
        <w:t>фумарат</w:t>
      </w:r>
      <w:proofErr w:type="spellEnd"/>
      <w:r w:rsidRPr="00D007A2">
        <w:rPr>
          <w:spacing w:val="7"/>
          <w:lang w:val="uk-UA"/>
        </w:rPr>
        <w:t>.</w:t>
      </w:r>
    </w:p>
    <w:p w:rsidR="006113A2" w:rsidRPr="00D007A2" w:rsidRDefault="00C57ECF" w:rsidP="006E1406">
      <w:pPr>
        <w:ind w:firstLine="567"/>
        <w:jc w:val="both"/>
        <w:rPr>
          <w:b/>
          <w:sz w:val="22"/>
          <w:szCs w:val="22"/>
          <w:lang w:val="uk-UA"/>
        </w:rPr>
      </w:pPr>
      <w:r w:rsidRPr="00D007A2">
        <w:rPr>
          <w:b/>
          <w:sz w:val="22"/>
          <w:szCs w:val="22"/>
          <w:lang w:val="uk-UA"/>
        </w:rPr>
        <w:t>Фармакологічні вл</w:t>
      </w:r>
      <w:r w:rsidR="006F3757" w:rsidRPr="00D007A2">
        <w:rPr>
          <w:b/>
          <w:sz w:val="22"/>
          <w:szCs w:val="22"/>
          <w:lang w:val="uk-UA"/>
        </w:rPr>
        <w:t xml:space="preserve">астивості </w:t>
      </w:r>
    </w:p>
    <w:p w:rsidR="00BF535C" w:rsidRPr="00D007A2" w:rsidRDefault="00583287" w:rsidP="00BF535C">
      <w:pPr>
        <w:pStyle w:val="ae"/>
        <w:ind w:firstLine="567"/>
        <w:jc w:val="both"/>
        <w:rPr>
          <w:b/>
          <w:i/>
          <w:sz w:val="24"/>
          <w:szCs w:val="24"/>
          <w:lang w:val="uk-UA"/>
        </w:rPr>
      </w:pPr>
      <w:r w:rsidRPr="00D007A2">
        <w:rPr>
          <w:b/>
          <w:i/>
          <w:sz w:val="24"/>
          <w:szCs w:val="24"/>
          <w:lang w:val="uk-UA"/>
        </w:rPr>
        <w:tab/>
      </w:r>
      <w:r w:rsidR="00BF535C" w:rsidRPr="00D007A2">
        <w:rPr>
          <w:b/>
          <w:i/>
          <w:sz w:val="24"/>
          <w:szCs w:val="24"/>
          <w:lang w:val="uk-UA"/>
        </w:rPr>
        <w:t xml:space="preserve">ATC </w:t>
      </w:r>
      <w:proofErr w:type="spellStart"/>
      <w:r w:rsidR="00BF535C" w:rsidRPr="00D007A2">
        <w:rPr>
          <w:b/>
          <w:i/>
          <w:sz w:val="24"/>
          <w:szCs w:val="24"/>
          <w:lang w:val="uk-UA"/>
        </w:rPr>
        <w:t>vet</w:t>
      </w:r>
      <w:proofErr w:type="spellEnd"/>
      <w:r w:rsidR="00BF535C" w:rsidRPr="00D007A2">
        <w:rPr>
          <w:b/>
          <w:i/>
          <w:sz w:val="24"/>
          <w:szCs w:val="24"/>
          <w:lang w:val="uk-UA"/>
        </w:rPr>
        <w:t xml:space="preserve"> класифікаційний код: QJ01 – антибактеріальні ветеринарні препарати для системного застосування. </w:t>
      </w:r>
      <w:proofErr w:type="gramStart"/>
      <w:r w:rsidR="00BF535C" w:rsidRPr="00D007A2">
        <w:rPr>
          <w:b/>
          <w:i/>
          <w:sz w:val="24"/>
          <w:szCs w:val="24"/>
          <w:lang w:val="en-US"/>
        </w:rPr>
        <w:t>QJ</w:t>
      </w:r>
      <w:r w:rsidR="00BF535C" w:rsidRPr="00D007A2">
        <w:rPr>
          <w:b/>
          <w:i/>
          <w:sz w:val="24"/>
          <w:szCs w:val="24"/>
          <w:lang w:val="uk-UA"/>
        </w:rPr>
        <w:t>01</w:t>
      </w:r>
      <w:r w:rsidR="00BF535C" w:rsidRPr="00D007A2">
        <w:rPr>
          <w:b/>
          <w:i/>
          <w:sz w:val="24"/>
          <w:szCs w:val="24"/>
          <w:lang w:val="en-US"/>
        </w:rPr>
        <w:t>DB</w:t>
      </w:r>
      <w:r w:rsidR="00BF535C" w:rsidRPr="00D007A2">
        <w:rPr>
          <w:b/>
          <w:i/>
          <w:sz w:val="24"/>
          <w:szCs w:val="24"/>
          <w:lang w:val="uk-UA"/>
        </w:rPr>
        <w:t xml:space="preserve">01 – </w:t>
      </w:r>
      <w:proofErr w:type="spellStart"/>
      <w:r w:rsidR="00BF535C" w:rsidRPr="00D007A2">
        <w:rPr>
          <w:b/>
          <w:i/>
          <w:sz w:val="24"/>
          <w:szCs w:val="24"/>
          <w:lang w:val="uk-UA"/>
        </w:rPr>
        <w:t>Цефалексин</w:t>
      </w:r>
      <w:proofErr w:type="spellEnd"/>
      <w:r w:rsidR="00BF535C" w:rsidRPr="00D007A2">
        <w:rPr>
          <w:b/>
          <w:i/>
          <w:sz w:val="24"/>
          <w:szCs w:val="24"/>
          <w:lang w:val="uk-UA"/>
        </w:rPr>
        <w:t>.</w:t>
      </w:r>
      <w:proofErr w:type="gramEnd"/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  <w:lang w:val="uk-UA"/>
        </w:rPr>
      </w:pPr>
      <w:proofErr w:type="spellStart"/>
      <w:r w:rsidRPr="00D007A2">
        <w:rPr>
          <w:sz w:val="24"/>
          <w:szCs w:val="24"/>
          <w:lang w:val="uk-UA"/>
        </w:rPr>
        <w:t>Цефалексин</w:t>
      </w:r>
      <w:proofErr w:type="spellEnd"/>
      <w:r w:rsidRPr="00D007A2">
        <w:rPr>
          <w:sz w:val="24"/>
          <w:szCs w:val="24"/>
          <w:lang w:val="uk-UA"/>
        </w:rPr>
        <w:t xml:space="preserve"> належить до групи </w:t>
      </w:r>
      <w:proofErr w:type="spellStart"/>
      <w:r w:rsidRPr="00D007A2">
        <w:rPr>
          <w:sz w:val="24"/>
          <w:szCs w:val="24"/>
          <w:lang w:val="uk-UA"/>
        </w:rPr>
        <w:t>цефалоспоринів</w:t>
      </w:r>
      <w:proofErr w:type="spellEnd"/>
      <w:r w:rsidRPr="00D007A2">
        <w:rPr>
          <w:sz w:val="24"/>
          <w:szCs w:val="24"/>
          <w:lang w:val="uk-UA"/>
        </w:rPr>
        <w:t xml:space="preserve"> першого покоління. Він є бактерицидним антибіотиком, який діє шляхом пригнічення синтезу </w:t>
      </w:r>
      <w:proofErr w:type="spellStart"/>
      <w:r w:rsidRPr="00D007A2">
        <w:rPr>
          <w:sz w:val="24"/>
          <w:szCs w:val="24"/>
          <w:lang w:val="uk-UA"/>
        </w:rPr>
        <w:t>нуклеопептидів</w:t>
      </w:r>
      <w:proofErr w:type="spellEnd"/>
      <w:r w:rsidRPr="00D007A2">
        <w:rPr>
          <w:sz w:val="24"/>
          <w:szCs w:val="24"/>
          <w:lang w:val="uk-UA"/>
        </w:rPr>
        <w:t xml:space="preserve"> бактеріальної стінки. </w:t>
      </w:r>
      <w:proofErr w:type="spellStart"/>
      <w:r w:rsidRPr="00D007A2">
        <w:rPr>
          <w:sz w:val="24"/>
          <w:szCs w:val="24"/>
          <w:lang w:val="uk-UA"/>
        </w:rPr>
        <w:t>Цефалоспорини</w:t>
      </w:r>
      <w:proofErr w:type="spellEnd"/>
      <w:r w:rsidRPr="00D007A2">
        <w:rPr>
          <w:sz w:val="24"/>
          <w:szCs w:val="24"/>
          <w:lang w:val="uk-UA"/>
        </w:rPr>
        <w:t xml:space="preserve"> </w:t>
      </w:r>
      <w:proofErr w:type="spellStart"/>
      <w:r w:rsidRPr="00D007A2">
        <w:rPr>
          <w:sz w:val="24"/>
          <w:szCs w:val="24"/>
          <w:lang w:val="uk-UA"/>
        </w:rPr>
        <w:t>інактивують</w:t>
      </w:r>
      <w:proofErr w:type="spellEnd"/>
      <w:r w:rsidRPr="00D007A2">
        <w:rPr>
          <w:sz w:val="24"/>
          <w:szCs w:val="24"/>
          <w:lang w:val="uk-UA"/>
        </w:rPr>
        <w:t xml:space="preserve"> фермент, що відповідає за </w:t>
      </w:r>
      <w:proofErr w:type="spellStart"/>
      <w:r w:rsidRPr="00D007A2">
        <w:rPr>
          <w:sz w:val="24"/>
          <w:szCs w:val="24"/>
          <w:lang w:val="uk-UA"/>
        </w:rPr>
        <w:t>транспептидацію</w:t>
      </w:r>
      <w:proofErr w:type="spellEnd"/>
      <w:r w:rsidRPr="00D007A2">
        <w:rPr>
          <w:sz w:val="24"/>
          <w:szCs w:val="24"/>
          <w:lang w:val="uk-UA"/>
        </w:rPr>
        <w:t xml:space="preserve">, роблячи його нездатним зв’язувати </w:t>
      </w:r>
      <w:proofErr w:type="spellStart"/>
      <w:r w:rsidRPr="00D007A2">
        <w:rPr>
          <w:sz w:val="24"/>
          <w:szCs w:val="24"/>
          <w:lang w:val="uk-UA"/>
        </w:rPr>
        <w:t>пептидоглікани</w:t>
      </w:r>
      <w:proofErr w:type="spellEnd"/>
      <w:r w:rsidRPr="00D007A2">
        <w:rPr>
          <w:sz w:val="24"/>
          <w:szCs w:val="24"/>
          <w:lang w:val="uk-UA"/>
        </w:rPr>
        <w:t xml:space="preserve"> в стінці бактеріальної клітини. Перехресне зшивання </w:t>
      </w:r>
      <w:proofErr w:type="spellStart"/>
      <w:r w:rsidRPr="00D007A2">
        <w:rPr>
          <w:sz w:val="24"/>
          <w:szCs w:val="24"/>
          <w:lang w:val="uk-UA"/>
        </w:rPr>
        <w:t>пептидогліканів</w:t>
      </w:r>
      <w:proofErr w:type="spellEnd"/>
      <w:r w:rsidRPr="00D007A2">
        <w:rPr>
          <w:sz w:val="24"/>
          <w:szCs w:val="24"/>
          <w:lang w:val="uk-UA"/>
        </w:rPr>
        <w:t xml:space="preserve"> є необхідним для побудови клітинної стінки мікроорганізму. Пригнічення біосинтезу </w:t>
      </w:r>
      <w:proofErr w:type="spellStart"/>
      <w:r w:rsidRPr="00D007A2">
        <w:rPr>
          <w:sz w:val="24"/>
          <w:szCs w:val="24"/>
          <w:lang w:val="uk-UA"/>
        </w:rPr>
        <w:t>пептидогліканів</w:t>
      </w:r>
      <w:proofErr w:type="spellEnd"/>
      <w:r w:rsidRPr="00D007A2">
        <w:rPr>
          <w:sz w:val="24"/>
          <w:szCs w:val="24"/>
          <w:lang w:val="uk-UA"/>
        </w:rPr>
        <w:t xml:space="preserve"> призводить до крихкості клітинної стінки, яка з часом може розірватися під впливом осмотичного тиску, що призводить до лізису бактеріальної клітини.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  <w:lang w:val="uk-UA"/>
        </w:rPr>
      </w:pPr>
      <w:proofErr w:type="spellStart"/>
      <w:r w:rsidRPr="00D007A2">
        <w:rPr>
          <w:sz w:val="24"/>
          <w:szCs w:val="24"/>
          <w:lang w:val="uk-UA"/>
        </w:rPr>
        <w:t>Цефалексин</w:t>
      </w:r>
      <w:proofErr w:type="spellEnd"/>
      <w:r w:rsidRPr="00D007A2">
        <w:rPr>
          <w:sz w:val="24"/>
          <w:szCs w:val="24"/>
          <w:lang w:val="uk-UA"/>
        </w:rPr>
        <w:t xml:space="preserve"> активний щодо широкого спектру </w:t>
      </w:r>
      <w:proofErr w:type="spellStart"/>
      <w:r w:rsidRPr="00D007A2">
        <w:rPr>
          <w:sz w:val="24"/>
          <w:szCs w:val="24"/>
          <w:lang w:val="uk-UA"/>
        </w:rPr>
        <w:t>грампозитивних</w:t>
      </w:r>
      <w:proofErr w:type="spellEnd"/>
      <w:r w:rsidRPr="00D007A2">
        <w:rPr>
          <w:sz w:val="24"/>
          <w:szCs w:val="24"/>
          <w:lang w:val="uk-UA"/>
        </w:rPr>
        <w:t xml:space="preserve"> (наприклад, </w:t>
      </w:r>
      <w:proofErr w:type="spellStart"/>
      <w:r w:rsidRPr="00D007A2">
        <w:rPr>
          <w:i/>
          <w:iCs/>
          <w:sz w:val="24"/>
          <w:szCs w:val="24"/>
          <w:lang w:val="uk-UA"/>
        </w:rPr>
        <w:t>Staphylococcus</w:t>
      </w:r>
      <w:proofErr w:type="spellEnd"/>
      <w:r w:rsidRPr="00D007A2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D007A2">
        <w:rPr>
          <w:i/>
          <w:iCs/>
          <w:sz w:val="24"/>
          <w:szCs w:val="24"/>
          <w:lang w:val="uk-UA"/>
        </w:rPr>
        <w:t>spp</w:t>
      </w:r>
      <w:proofErr w:type="spellEnd"/>
      <w:r w:rsidRPr="00D007A2">
        <w:rPr>
          <w:i/>
          <w:iCs/>
          <w:sz w:val="24"/>
          <w:szCs w:val="24"/>
          <w:lang w:val="uk-UA"/>
        </w:rPr>
        <w:t>.</w:t>
      </w:r>
      <w:r w:rsidRPr="00D007A2">
        <w:rPr>
          <w:sz w:val="24"/>
          <w:szCs w:val="24"/>
          <w:lang w:val="uk-UA"/>
        </w:rPr>
        <w:t xml:space="preserve">) і </w:t>
      </w:r>
      <w:proofErr w:type="spellStart"/>
      <w:r w:rsidRPr="00D007A2">
        <w:rPr>
          <w:sz w:val="24"/>
          <w:szCs w:val="24"/>
          <w:lang w:val="uk-UA"/>
        </w:rPr>
        <w:t>грамнегативних</w:t>
      </w:r>
      <w:proofErr w:type="spellEnd"/>
      <w:r w:rsidRPr="00D007A2">
        <w:rPr>
          <w:sz w:val="24"/>
          <w:szCs w:val="24"/>
          <w:lang w:val="uk-UA"/>
        </w:rPr>
        <w:t xml:space="preserve"> (наприклад, </w:t>
      </w:r>
      <w:proofErr w:type="spellStart"/>
      <w:r w:rsidRPr="00D007A2">
        <w:rPr>
          <w:i/>
          <w:iCs/>
          <w:sz w:val="24"/>
          <w:szCs w:val="24"/>
          <w:lang w:val="uk-UA"/>
        </w:rPr>
        <w:t>Escherichia</w:t>
      </w:r>
      <w:proofErr w:type="spellEnd"/>
      <w:r w:rsidRPr="00D007A2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D007A2">
        <w:rPr>
          <w:i/>
          <w:iCs/>
          <w:sz w:val="24"/>
          <w:szCs w:val="24"/>
          <w:lang w:val="uk-UA"/>
        </w:rPr>
        <w:t>coli</w:t>
      </w:r>
      <w:proofErr w:type="spellEnd"/>
      <w:r w:rsidRPr="00D007A2">
        <w:rPr>
          <w:sz w:val="24"/>
          <w:szCs w:val="24"/>
          <w:lang w:val="uk-UA"/>
        </w:rPr>
        <w:t>) аеробних бактерій.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 xml:space="preserve">Інститут клінічних та лабораторних стандартів (VET08, 4-е видання, серпень 2019) рекомендує таку інтерпретацію значень мінімальних </w:t>
      </w:r>
      <w:proofErr w:type="spellStart"/>
      <w:r w:rsidRPr="00D007A2">
        <w:rPr>
          <w:sz w:val="24"/>
          <w:szCs w:val="24"/>
          <w:lang w:val="uk-UA"/>
        </w:rPr>
        <w:t>інгібуючих</w:t>
      </w:r>
      <w:proofErr w:type="spellEnd"/>
      <w:r w:rsidRPr="00D007A2">
        <w:rPr>
          <w:sz w:val="24"/>
          <w:szCs w:val="24"/>
          <w:lang w:val="uk-UA"/>
        </w:rPr>
        <w:t xml:space="preserve"> концентрацій (МІК)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для бактерій, виділених у собак: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>за інфекцій шкіри та м’яких тканин:</w:t>
      </w:r>
    </w:p>
    <w:p w:rsidR="00BF535C" w:rsidRPr="00D007A2" w:rsidRDefault="00BF535C" w:rsidP="00BF535C">
      <w:pPr>
        <w:pStyle w:val="ac"/>
        <w:ind w:left="0"/>
        <w:rPr>
          <w:rFonts w:ascii="Times New Roman" w:hAnsi="Times New Roman"/>
          <w:color w:val="auto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F535C" w:rsidRPr="00D007A2" w:rsidTr="003F57D9"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proofErr w:type="spellStart"/>
            <w:r w:rsidRPr="00D007A2">
              <w:t>Види</w:t>
            </w:r>
            <w:proofErr w:type="spellEnd"/>
            <w:r w:rsidRPr="00D007A2">
              <w:t xml:space="preserve"> </w:t>
            </w:r>
            <w:proofErr w:type="spellStart"/>
            <w:r w:rsidRPr="00D007A2">
              <w:t>бактерій</w:t>
            </w:r>
            <w:proofErr w:type="spellEnd"/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Чутливі</w:t>
            </w:r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Стійкі</w:t>
            </w:r>
          </w:p>
        </w:tc>
      </w:tr>
      <w:tr w:rsidR="00BF535C" w:rsidRPr="00D007A2" w:rsidTr="003F57D9">
        <w:tc>
          <w:tcPr>
            <w:tcW w:w="3020" w:type="dxa"/>
          </w:tcPr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proofErr w:type="spellStart"/>
            <w:r w:rsidRPr="00D007A2">
              <w:rPr>
                <w:i/>
                <w:iCs/>
                <w:lang w:val="uk-UA"/>
              </w:rPr>
              <w:t>Staphylococcus</w:t>
            </w:r>
            <w:proofErr w:type="spellEnd"/>
            <w:r w:rsidRPr="00D007A2">
              <w:rPr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i/>
                <w:iCs/>
                <w:lang w:val="uk-UA"/>
              </w:rPr>
              <w:t>aureus</w:t>
            </w:r>
            <w:proofErr w:type="spellEnd"/>
          </w:p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proofErr w:type="spellStart"/>
            <w:r w:rsidRPr="00D007A2">
              <w:rPr>
                <w:i/>
                <w:iCs/>
                <w:lang w:val="uk-UA"/>
              </w:rPr>
              <w:t>Staphylococcus</w:t>
            </w:r>
            <w:proofErr w:type="spellEnd"/>
          </w:p>
          <w:p w:rsidR="00BF535C" w:rsidRPr="00D007A2" w:rsidRDefault="00BF535C" w:rsidP="003F57D9">
            <w:pPr>
              <w:rPr>
                <w:lang w:val="uk-UA"/>
              </w:rPr>
            </w:pPr>
            <w:proofErr w:type="spellStart"/>
            <w:r w:rsidRPr="00D007A2">
              <w:rPr>
                <w:i/>
                <w:iCs/>
                <w:lang w:val="uk-UA"/>
              </w:rPr>
              <w:t>pseudintermedius</w:t>
            </w:r>
            <w:proofErr w:type="spellEnd"/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</w:p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≤ 2</w:t>
            </w:r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</w:p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≥ 4</w:t>
            </w:r>
          </w:p>
        </w:tc>
      </w:tr>
      <w:tr w:rsidR="00BF535C" w:rsidRPr="00D007A2" w:rsidTr="003F57D9">
        <w:tc>
          <w:tcPr>
            <w:tcW w:w="3020" w:type="dxa"/>
          </w:tcPr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proofErr w:type="spellStart"/>
            <w:r w:rsidRPr="00D007A2">
              <w:rPr>
                <w:i/>
                <w:iCs/>
                <w:lang w:val="uk-UA"/>
              </w:rPr>
              <w:t>Streptococcus</w:t>
            </w:r>
            <w:proofErr w:type="spellEnd"/>
            <w:r w:rsidRPr="00D007A2">
              <w:rPr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i/>
                <w:iCs/>
                <w:lang w:val="uk-UA"/>
              </w:rPr>
              <w:t>spp</w:t>
            </w:r>
            <w:proofErr w:type="spellEnd"/>
            <w:r w:rsidRPr="00D007A2">
              <w:rPr>
                <w:i/>
                <w:iCs/>
                <w:lang w:val="uk-UA"/>
              </w:rPr>
              <w:t xml:space="preserve">. </w:t>
            </w:r>
            <w:r w:rsidRPr="00D007A2">
              <w:rPr>
                <w:iCs/>
                <w:lang w:val="uk-UA"/>
              </w:rPr>
              <w:t>та</w:t>
            </w:r>
            <w:r w:rsidRPr="00D007A2">
              <w:rPr>
                <w:i/>
                <w:iCs/>
                <w:lang w:val="uk-UA"/>
              </w:rPr>
              <w:t xml:space="preserve"> </w:t>
            </w:r>
          </w:p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/>
              </w:rPr>
              <w:t xml:space="preserve">E. </w:t>
            </w:r>
            <w:proofErr w:type="spellStart"/>
            <w:r w:rsidRPr="00D007A2">
              <w:rPr>
                <w:i/>
                <w:iCs/>
                <w:lang w:val="uk-UA"/>
              </w:rPr>
              <w:t>coli</w:t>
            </w:r>
            <w:proofErr w:type="spellEnd"/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≤ 2</w:t>
            </w:r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≥ 8</w:t>
            </w:r>
          </w:p>
        </w:tc>
      </w:tr>
    </w:tbl>
    <w:p w:rsidR="00BF535C" w:rsidRPr="00D007A2" w:rsidRDefault="00BF535C" w:rsidP="00BF535C">
      <w:pPr>
        <w:spacing w:before="240"/>
        <w:ind w:firstLine="567"/>
        <w:rPr>
          <w:lang w:val="uk-UA"/>
        </w:rPr>
      </w:pPr>
      <w:r w:rsidRPr="00D007A2">
        <w:rPr>
          <w:lang w:val="uk-UA"/>
        </w:rPr>
        <w:t>за  інфекцій сечовивідних шляхів: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F535C" w:rsidRPr="00D007A2" w:rsidTr="003F57D9"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Види бактерій</w:t>
            </w:r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Чутливі</w:t>
            </w:r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Стійкі</w:t>
            </w:r>
          </w:p>
        </w:tc>
      </w:tr>
      <w:tr w:rsidR="00BF535C" w:rsidRPr="00D007A2" w:rsidTr="003F57D9">
        <w:tc>
          <w:tcPr>
            <w:tcW w:w="3020" w:type="dxa"/>
          </w:tcPr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/>
              </w:rPr>
              <w:t xml:space="preserve">E. </w:t>
            </w:r>
            <w:proofErr w:type="spellStart"/>
            <w:r w:rsidRPr="00D007A2">
              <w:rPr>
                <w:i/>
                <w:iCs/>
                <w:lang w:val="uk-UA"/>
              </w:rPr>
              <w:t>coli</w:t>
            </w:r>
            <w:proofErr w:type="spellEnd"/>
          </w:p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proofErr w:type="spellStart"/>
            <w:r w:rsidRPr="00D007A2">
              <w:rPr>
                <w:i/>
                <w:iCs/>
                <w:lang w:val="uk-UA"/>
              </w:rPr>
              <w:t>Klebsiella</w:t>
            </w:r>
            <w:proofErr w:type="spellEnd"/>
            <w:r w:rsidRPr="00D007A2">
              <w:rPr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i/>
                <w:iCs/>
                <w:lang w:val="uk-UA"/>
              </w:rPr>
              <w:t>pneumoniae</w:t>
            </w:r>
            <w:proofErr w:type="spellEnd"/>
          </w:p>
          <w:p w:rsidR="00BF535C" w:rsidRPr="00D007A2" w:rsidRDefault="00BF535C" w:rsidP="003F57D9">
            <w:pPr>
              <w:rPr>
                <w:lang w:val="uk-UA"/>
              </w:rPr>
            </w:pPr>
            <w:proofErr w:type="spellStart"/>
            <w:r w:rsidRPr="00D007A2">
              <w:rPr>
                <w:i/>
                <w:iCs/>
                <w:lang w:val="uk-UA"/>
              </w:rPr>
              <w:t>Proteus</w:t>
            </w:r>
            <w:proofErr w:type="spellEnd"/>
            <w:r w:rsidRPr="00D007A2">
              <w:rPr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i/>
                <w:iCs/>
                <w:lang w:val="uk-UA"/>
              </w:rPr>
              <w:t>mirabilis</w:t>
            </w:r>
            <w:proofErr w:type="spellEnd"/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≤ 16</w:t>
            </w:r>
          </w:p>
        </w:tc>
        <w:tc>
          <w:tcPr>
            <w:tcW w:w="3020" w:type="dxa"/>
          </w:tcPr>
          <w:p w:rsidR="00BF535C" w:rsidRPr="00D007A2" w:rsidRDefault="00BF535C" w:rsidP="003F57D9">
            <w:pPr>
              <w:jc w:val="center"/>
              <w:rPr>
                <w:lang w:val="uk-UA"/>
              </w:rPr>
            </w:pPr>
            <w:r w:rsidRPr="00D007A2">
              <w:rPr>
                <w:lang w:val="uk-UA"/>
              </w:rPr>
              <w:t>≥ 32</w:t>
            </w:r>
          </w:p>
        </w:tc>
      </w:tr>
    </w:tbl>
    <w:p w:rsidR="00BF535C" w:rsidRPr="00D007A2" w:rsidRDefault="00BF535C" w:rsidP="00BF535C">
      <w:pPr>
        <w:pStyle w:val="ab"/>
        <w:rPr>
          <w:sz w:val="24"/>
          <w:szCs w:val="24"/>
          <w:lang w:val="uk-UA"/>
        </w:rPr>
      </w:pP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 xml:space="preserve">Дані </w:t>
      </w:r>
      <w:r w:rsidRPr="00D007A2">
        <w:rPr>
          <w:bCs/>
          <w:iCs/>
          <w:sz w:val="24"/>
          <w:szCs w:val="24"/>
          <w:lang w:val="uk-UA"/>
        </w:rPr>
        <w:t>МІК</w:t>
      </w:r>
      <w:r w:rsidRPr="00D007A2">
        <w:rPr>
          <w:sz w:val="24"/>
          <w:szCs w:val="24"/>
          <w:lang w:val="uk-UA"/>
        </w:rPr>
        <w:t xml:space="preserve">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за умови застосування препарату </w:t>
      </w:r>
      <w:proofErr w:type="spellStart"/>
      <w:r w:rsidRPr="00D007A2">
        <w:rPr>
          <w:sz w:val="24"/>
          <w:szCs w:val="24"/>
          <w:lang w:val="uk-UA"/>
        </w:rPr>
        <w:t>Цефасептин</w:t>
      </w:r>
      <w:proofErr w:type="spellEnd"/>
      <w:r w:rsidRPr="00D007A2">
        <w:rPr>
          <w:sz w:val="24"/>
          <w:szCs w:val="24"/>
          <w:lang w:val="uk-UA"/>
        </w:rPr>
        <w:t xml:space="preserve"> собакам за бактеріальних захворювань шкіри, м’яких тканин і сечовивідних шляхів, що були зібрані з 2011 по2017 роки.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119"/>
      </w:tblGrid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Види бактерій</w:t>
            </w:r>
          </w:p>
        </w:tc>
        <w:tc>
          <w:tcPr>
            <w:tcW w:w="1985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Діапазон МІК</w:t>
            </w:r>
          </w:p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(мг/л)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МІК</w:t>
            </w:r>
            <w:r w:rsidRPr="00D007A2">
              <w:rPr>
                <w:b/>
                <w:bCs/>
                <w:i/>
                <w:iCs/>
                <w:vertAlign w:val="subscript"/>
                <w:lang w:val="uk-UA"/>
              </w:rPr>
              <w:t>50</w:t>
            </w:r>
          </w:p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(мг/л)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МІК</w:t>
            </w:r>
            <w:r w:rsidRPr="00D007A2">
              <w:rPr>
                <w:b/>
                <w:bCs/>
                <w:i/>
                <w:iCs/>
                <w:vertAlign w:val="subscript"/>
                <w:lang w:val="uk-UA"/>
              </w:rPr>
              <w:t>90</w:t>
            </w:r>
          </w:p>
          <w:p w:rsidR="00BF535C" w:rsidRPr="00D007A2" w:rsidRDefault="00BF535C" w:rsidP="003F57D9">
            <w:pPr>
              <w:rPr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>(мг/л)</w:t>
            </w:r>
          </w:p>
        </w:tc>
      </w:tr>
      <w:tr w:rsidR="00BF535C" w:rsidRPr="00D007A2" w:rsidTr="003F57D9">
        <w:tc>
          <w:tcPr>
            <w:tcW w:w="9060" w:type="dxa"/>
            <w:gridSpan w:val="4"/>
          </w:tcPr>
          <w:p w:rsidR="00BF535C" w:rsidRPr="00D007A2" w:rsidRDefault="00BF535C" w:rsidP="003F57D9">
            <w:pPr>
              <w:jc w:val="center"/>
              <w:rPr>
                <w:bCs/>
                <w:i/>
                <w:iCs/>
                <w:lang w:val="uk-UA"/>
              </w:rPr>
            </w:pPr>
            <w:r w:rsidRPr="00D007A2">
              <w:rPr>
                <w:i/>
                <w:lang w:val="uk-UA"/>
              </w:rPr>
              <w:t>Інфекції шкіри та м’яких тканин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Staphylococcus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spp.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a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0,25-512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0,993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12,435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Staphylococcus</w:t>
            </w:r>
            <w:proofErr w:type="spellEnd"/>
          </w:p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lastRenderedPageBreak/>
              <w:t>aureus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lastRenderedPageBreak/>
              <w:t>1-512</w:t>
            </w:r>
          </w:p>
        </w:tc>
        <w:tc>
          <w:tcPr>
            <w:tcW w:w="1984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2,160</w:t>
            </w:r>
          </w:p>
        </w:tc>
        <w:tc>
          <w:tcPr>
            <w:tcW w:w="2119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153,987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lastRenderedPageBreak/>
              <w:t>Coagulasenegative</w:t>
            </w:r>
            <w:proofErr w:type="spellEnd"/>
          </w:p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staphylococcus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c</w:t>
            </w:r>
            <w:proofErr w:type="spellEnd"/>
          </w:p>
        </w:tc>
        <w:tc>
          <w:tcPr>
            <w:tcW w:w="1985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0,25-64</w:t>
            </w:r>
          </w:p>
        </w:tc>
        <w:tc>
          <w:tcPr>
            <w:tcW w:w="1984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0,989</w:t>
            </w:r>
          </w:p>
        </w:tc>
        <w:tc>
          <w:tcPr>
            <w:tcW w:w="2119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14,123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Staphylococcus</w:t>
            </w:r>
            <w:proofErr w:type="spellEnd"/>
          </w:p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pseudintermedius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0,5-512</w:t>
            </w:r>
          </w:p>
        </w:tc>
        <w:tc>
          <w:tcPr>
            <w:tcW w:w="1984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0,768</w:t>
            </w:r>
          </w:p>
        </w:tc>
        <w:tc>
          <w:tcPr>
            <w:tcW w:w="2119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5,959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Streptococcus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spp.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d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0,06-0,5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0,155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0,234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Streptococcus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canis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d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0,06-0,5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0,146</w:t>
            </w:r>
          </w:p>
        </w:tc>
        <w:tc>
          <w:tcPr>
            <w:tcW w:w="2119" w:type="dxa"/>
            <w:vAlign w:val="bottom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0,226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Streptococcus</w:t>
            </w:r>
            <w:proofErr w:type="spellEnd"/>
          </w:p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dysgalactiae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d</w:t>
            </w:r>
            <w:proofErr w:type="spellEnd"/>
          </w:p>
        </w:tc>
        <w:tc>
          <w:tcPr>
            <w:tcW w:w="1985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0,25-0,5</w:t>
            </w:r>
          </w:p>
        </w:tc>
        <w:tc>
          <w:tcPr>
            <w:tcW w:w="1984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0,185</w:t>
            </w:r>
          </w:p>
        </w:tc>
        <w:tc>
          <w:tcPr>
            <w:tcW w:w="2119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0,354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Escherichia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coli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4-512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5,481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11,314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Pasteurella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multocida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0,12-4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1,373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1,877</w:t>
            </w:r>
          </w:p>
        </w:tc>
      </w:tr>
      <w:tr w:rsidR="00BF535C" w:rsidRPr="00D007A2" w:rsidTr="003F57D9">
        <w:tc>
          <w:tcPr>
            <w:tcW w:w="9060" w:type="dxa"/>
            <w:gridSpan w:val="4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 w:bidi="en-US"/>
              </w:rPr>
            </w:pPr>
            <w:r w:rsidRPr="00D007A2">
              <w:rPr>
                <w:i/>
                <w:iCs/>
                <w:lang w:val="uk-UA" w:bidi="en-US"/>
              </w:rPr>
              <w:t xml:space="preserve">Інфекції </w:t>
            </w:r>
            <w:r w:rsidRPr="00D007A2">
              <w:rPr>
                <w:i/>
                <w:iCs/>
                <w:lang w:val="uk-UA"/>
              </w:rPr>
              <w:t>сечовивідних шляхів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Proteus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mirabilis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8-512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6,498 - 12,491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12,553 - 207,937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Klebsiella</w:t>
            </w:r>
            <w:proofErr w:type="spellEnd"/>
            <w:r w:rsidRPr="00D007A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pneumoniae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2-512</w:t>
            </w:r>
          </w:p>
        </w:tc>
        <w:tc>
          <w:tcPr>
            <w:tcW w:w="1984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3,564</w:t>
            </w:r>
          </w:p>
        </w:tc>
        <w:tc>
          <w:tcPr>
            <w:tcW w:w="2119" w:type="dxa"/>
            <w:vAlign w:val="center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362,039</w:t>
            </w:r>
          </w:p>
        </w:tc>
      </w:tr>
      <w:tr w:rsidR="00BF535C" w:rsidRPr="00D007A2" w:rsidTr="003F57D9">
        <w:tc>
          <w:tcPr>
            <w:tcW w:w="2972" w:type="dxa"/>
          </w:tcPr>
          <w:p w:rsidR="00BF535C" w:rsidRPr="00D007A2" w:rsidRDefault="00BF535C" w:rsidP="003F57D9">
            <w:pPr>
              <w:rPr>
                <w:b/>
                <w:bCs/>
                <w:i/>
                <w:iCs/>
                <w:lang w:val="uk-UA"/>
              </w:rPr>
            </w:pPr>
            <w:r w:rsidRPr="00D007A2">
              <w:rPr>
                <w:b/>
                <w:bCs/>
                <w:i/>
                <w:iCs/>
                <w:lang w:val="uk-UA"/>
              </w:rPr>
              <w:t xml:space="preserve">E. </w:t>
            </w:r>
            <w:proofErr w:type="spellStart"/>
            <w:r w:rsidRPr="00D007A2">
              <w:rPr>
                <w:b/>
                <w:bCs/>
                <w:i/>
                <w:iCs/>
                <w:lang w:val="uk-UA"/>
              </w:rPr>
              <w:t>coli</w:t>
            </w:r>
            <w:r w:rsidRPr="00D007A2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4-512</w:t>
            </w:r>
          </w:p>
        </w:tc>
        <w:tc>
          <w:tcPr>
            <w:tcW w:w="1984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5,022-5,82</w:t>
            </w:r>
          </w:p>
        </w:tc>
        <w:tc>
          <w:tcPr>
            <w:tcW w:w="2119" w:type="dxa"/>
          </w:tcPr>
          <w:p w:rsidR="00BF535C" w:rsidRPr="00D007A2" w:rsidRDefault="00BF535C" w:rsidP="003F57D9">
            <w:pPr>
              <w:jc w:val="center"/>
              <w:rPr>
                <w:i/>
                <w:iCs/>
                <w:lang w:val="uk-UA"/>
              </w:rPr>
            </w:pPr>
            <w:r w:rsidRPr="00D007A2">
              <w:rPr>
                <w:i/>
                <w:iCs/>
                <w:lang w:val="uk-UA" w:bidi="en-US"/>
              </w:rPr>
              <w:t>7,671-13,929</w:t>
            </w:r>
          </w:p>
        </w:tc>
      </w:tr>
    </w:tbl>
    <w:p w:rsidR="00BF535C" w:rsidRPr="00D007A2" w:rsidRDefault="00BF535C" w:rsidP="00BF535C">
      <w:pPr>
        <w:pStyle w:val="ac"/>
        <w:ind w:left="0"/>
        <w:rPr>
          <w:rFonts w:ascii="Times New Roman" w:hAnsi="Times New Roman"/>
          <w:color w:val="auto"/>
          <w:szCs w:val="24"/>
          <w:lang w:val="uk-UA"/>
        </w:rPr>
      </w:pPr>
    </w:p>
    <w:p w:rsidR="00BF535C" w:rsidRPr="00D007A2" w:rsidRDefault="00BF535C" w:rsidP="00BF535C">
      <w:pPr>
        <w:rPr>
          <w:lang w:val="uk-UA"/>
        </w:rPr>
      </w:pPr>
      <w:r w:rsidRPr="00D007A2">
        <w:rPr>
          <w:b/>
          <w:vertAlign w:val="superscript"/>
          <w:lang w:val="uk-UA"/>
        </w:rPr>
        <w:t>a</w:t>
      </w:r>
      <w:r w:rsidRPr="00D007A2">
        <w:rPr>
          <w:lang w:val="uk-UA"/>
        </w:rPr>
        <w:t xml:space="preserve">: період 2011-2017 рр.; </w:t>
      </w:r>
      <w:r w:rsidRPr="00D007A2">
        <w:rPr>
          <w:b/>
          <w:vertAlign w:val="superscript"/>
          <w:lang w:val="uk-UA"/>
        </w:rPr>
        <w:t>b</w:t>
      </w:r>
      <w:r w:rsidRPr="00D007A2">
        <w:rPr>
          <w:lang w:val="uk-UA"/>
        </w:rPr>
        <w:t xml:space="preserve">: період 2011-2015 рр.; </w:t>
      </w:r>
      <w:r w:rsidRPr="00D007A2">
        <w:rPr>
          <w:b/>
          <w:vertAlign w:val="superscript"/>
          <w:lang w:val="uk-UA"/>
        </w:rPr>
        <w:t>c</w:t>
      </w:r>
      <w:r w:rsidRPr="00D007A2">
        <w:rPr>
          <w:lang w:val="uk-UA"/>
        </w:rPr>
        <w:t xml:space="preserve">: період 2016-2017 рр.; </w:t>
      </w:r>
      <w:r w:rsidRPr="00D007A2">
        <w:rPr>
          <w:b/>
          <w:vertAlign w:val="superscript"/>
          <w:lang w:val="uk-UA"/>
        </w:rPr>
        <w:t>d</w:t>
      </w:r>
      <w:r w:rsidRPr="00D007A2">
        <w:rPr>
          <w:lang w:val="uk-UA"/>
        </w:rPr>
        <w:t>: період 2012-2015 рр.</w:t>
      </w:r>
    </w:p>
    <w:p w:rsidR="00BF535C" w:rsidRPr="00D007A2" w:rsidRDefault="00BF535C" w:rsidP="00BF535C">
      <w:pPr>
        <w:ind w:firstLine="567"/>
        <w:jc w:val="both"/>
        <w:rPr>
          <w:lang w:val="uk-UA"/>
        </w:rPr>
      </w:pPr>
      <w:r w:rsidRPr="00D007A2">
        <w:rPr>
          <w:lang w:val="uk-UA"/>
        </w:rPr>
        <w:t xml:space="preserve">Стійкість мікроорганізмів до </w:t>
      </w:r>
      <w:proofErr w:type="spellStart"/>
      <w:r w:rsidRPr="00D007A2">
        <w:rPr>
          <w:lang w:val="uk-UA"/>
        </w:rPr>
        <w:t>цефалексину</w:t>
      </w:r>
      <w:proofErr w:type="spellEnd"/>
      <w:r w:rsidRPr="00D007A2">
        <w:rPr>
          <w:lang w:val="uk-UA"/>
        </w:rPr>
        <w:t xml:space="preserve"> може бути зумовлена декількома механізмами резистентності. По-перше, продукування </w:t>
      </w:r>
      <w:proofErr w:type="spellStart"/>
      <w:r w:rsidRPr="00D007A2">
        <w:rPr>
          <w:lang w:val="uk-UA"/>
        </w:rPr>
        <w:t>цефалоспоринази</w:t>
      </w:r>
      <w:proofErr w:type="spellEnd"/>
      <w:r w:rsidRPr="00D007A2">
        <w:rPr>
          <w:lang w:val="uk-UA"/>
        </w:rPr>
        <w:t xml:space="preserve">, яка </w:t>
      </w:r>
      <w:proofErr w:type="spellStart"/>
      <w:r w:rsidRPr="00D007A2">
        <w:rPr>
          <w:lang w:val="uk-UA"/>
        </w:rPr>
        <w:t>інактивує</w:t>
      </w:r>
      <w:proofErr w:type="spellEnd"/>
      <w:r w:rsidRPr="00D007A2">
        <w:rPr>
          <w:lang w:val="uk-UA"/>
        </w:rPr>
        <w:t xml:space="preserve"> антибіотик шляхом гідролізу </w:t>
      </w:r>
      <w:proofErr w:type="spellStart"/>
      <w:r w:rsidRPr="00D007A2">
        <w:rPr>
          <w:lang w:val="uk-UA"/>
        </w:rPr>
        <w:t>β-лактамного</w:t>
      </w:r>
      <w:proofErr w:type="spellEnd"/>
      <w:r w:rsidRPr="00D007A2">
        <w:rPr>
          <w:lang w:val="uk-UA"/>
        </w:rPr>
        <w:t xml:space="preserve"> кільця, є найпоширенішим механізмом резистентності до </w:t>
      </w:r>
      <w:proofErr w:type="spellStart"/>
      <w:r w:rsidRPr="00D007A2">
        <w:rPr>
          <w:lang w:val="uk-UA"/>
        </w:rPr>
        <w:t>цефалоспоринів</w:t>
      </w:r>
      <w:proofErr w:type="spellEnd"/>
      <w:r w:rsidRPr="00D007A2">
        <w:rPr>
          <w:lang w:val="uk-UA"/>
        </w:rPr>
        <w:t xml:space="preserve"> серед </w:t>
      </w:r>
      <w:proofErr w:type="spellStart"/>
      <w:r w:rsidRPr="00D007A2">
        <w:rPr>
          <w:lang w:val="uk-UA"/>
        </w:rPr>
        <w:t>грамнегативних</w:t>
      </w:r>
      <w:proofErr w:type="spellEnd"/>
      <w:r w:rsidRPr="00D007A2">
        <w:rPr>
          <w:lang w:val="uk-UA"/>
        </w:rPr>
        <w:t xml:space="preserve"> бактерій. Ця резистентність передається </w:t>
      </w:r>
      <w:proofErr w:type="spellStart"/>
      <w:r w:rsidRPr="00D007A2">
        <w:rPr>
          <w:lang w:val="uk-UA"/>
        </w:rPr>
        <w:t>плазмідно</w:t>
      </w:r>
      <w:proofErr w:type="spellEnd"/>
      <w:r w:rsidRPr="00D007A2">
        <w:rPr>
          <w:lang w:val="uk-UA"/>
        </w:rPr>
        <w:t xml:space="preserve"> або поширюється у результаті хромосомних мутацій. По-друге, знижена спорідненість ПЗБ (</w:t>
      </w:r>
      <w:proofErr w:type="spellStart"/>
      <w:r w:rsidRPr="00D007A2">
        <w:rPr>
          <w:lang w:val="uk-UA"/>
        </w:rPr>
        <w:t>пеніцилінзв’язуючих</w:t>
      </w:r>
      <w:proofErr w:type="spellEnd"/>
      <w:r w:rsidRPr="00D007A2">
        <w:rPr>
          <w:lang w:val="uk-UA"/>
        </w:rPr>
        <w:t xml:space="preserve"> білків) до </w:t>
      </w:r>
      <w:proofErr w:type="spellStart"/>
      <w:r w:rsidRPr="00D007A2">
        <w:rPr>
          <w:lang w:val="uk-UA"/>
        </w:rPr>
        <w:t>бета-лактамних</w:t>
      </w:r>
      <w:proofErr w:type="spellEnd"/>
      <w:r w:rsidRPr="00D007A2">
        <w:rPr>
          <w:lang w:val="uk-UA"/>
        </w:rPr>
        <w:t xml:space="preserve"> препаратів часто пов’язана з резистентністю </w:t>
      </w:r>
      <w:proofErr w:type="spellStart"/>
      <w:r w:rsidRPr="00D007A2">
        <w:rPr>
          <w:lang w:val="uk-UA"/>
        </w:rPr>
        <w:t>грампозитивних</w:t>
      </w:r>
      <w:proofErr w:type="spellEnd"/>
      <w:r w:rsidRPr="00D007A2">
        <w:rPr>
          <w:lang w:val="uk-UA"/>
        </w:rPr>
        <w:t xml:space="preserve"> бактерій до бета-лактамів. Нарешті, </w:t>
      </w:r>
      <w:proofErr w:type="spellStart"/>
      <w:r w:rsidRPr="00D007A2">
        <w:rPr>
          <w:lang w:val="uk-UA"/>
        </w:rPr>
        <w:t>ефлюксні</w:t>
      </w:r>
      <w:proofErr w:type="spellEnd"/>
      <w:r w:rsidRPr="00D007A2">
        <w:rPr>
          <w:lang w:val="uk-UA"/>
        </w:rPr>
        <w:t xml:space="preserve"> насоси, які витісняють антибіотик з бактеріальної клітини, і структурні зміни в </w:t>
      </w:r>
      <w:proofErr w:type="spellStart"/>
      <w:r w:rsidRPr="00D007A2">
        <w:rPr>
          <w:lang w:val="uk-UA"/>
        </w:rPr>
        <w:t>поринах</w:t>
      </w:r>
      <w:proofErr w:type="spellEnd"/>
      <w:r w:rsidRPr="00D007A2">
        <w:rPr>
          <w:lang w:val="uk-UA"/>
        </w:rPr>
        <w:t>, зменшуючи пасивну дифузію препарату через клітинну оболонку, можуть сприяти покращенню резистентного фенотипу бактерії.</w:t>
      </w:r>
    </w:p>
    <w:p w:rsidR="00BF535C" w:rsidRPr="00D007A2" w:rsidRDefault="00BF535C" w:rsidP="00BF535C">
      <w:pPr>
        <w:ind w:firstLine="567"/>
        <w:jc w:val="both"/>
        <w:rPr>
          <w:lang w:val="uk-UA"/>
        </w:rPr>
      </w:pPr>
      <w:r w:rsidRPr="00D007A2">
        <w:rPr>
          <w:lang w:val="uk-UA"/>
        </w:rPr>
        <w:t xml:space="preserve">Добре відомі явища перехресної резистентності (що передбачає однаковий механізм резистентності) існують між антибіотиками, що належать до групи </w:t>
      </w:r>
      <w:proofErr w:type="spellStart"/>
      <w:r w:rsidRPr="00D007A2">
        <w:rPr>
          <w:lang w:val="uk-UA"/>
        </w:rPr>
        <w:t>беталактамів</w:t>
      </w:r>
      <w:proofErr w:type="spellEnd"/>
      <w:r w:rsidRPr="00D007A2">
        <w:rPr>
          <w:lang w:val="uk-UA"/>
        </w:rPr>
        <w:t xml:space="preserve">, через їх структурну подібність. </w:t>
      </w:r>
      <w:proofErr w:type="spellStart"/>
      <w:r w:rsidRPr="00D007A2">
        <w:t>Це</w:t>
      </w:r>
      <w:proofErr w:type="spellEnd"/>
      <w:r w:rsidRPr="00D007A2">
        <w:t xml:space="preserve"> </w:t>
      </w:r>
      <w:proofErr w:type="spellStart"/>
      <w:r w:rsidRPr="00D007A2">
        <w:t>відбувається</w:t>
      </w:r>
      <w:proofErr w:type="spellEnd"/>
      <w:r w:rsidRPr="00D007A2">
        <w:t xml:space="preserve"> через </w:t>
      </w:r>
      <w:proofErr w:type="spellStart"/>
      <w:r w:rsidRPr="00D007A2">
        <w:t>ферменти</w:t>
      </w:r>
      <w:proofErr w:type="spellEnd"/>
      <w:r w:rsidRPr="00D007A2">
        <w:t xml:space="preserve"> бета-</w:t>
      </w:r>
      <w:proofErr w:type="spellStart"/>
      <w:r w:rsidRPr="00D007A2">
        <w:t>лактамази</w:t>
      </w:r>
      <w:proofErr w:type="spellEnd"/>
      <w:r w:rsidRPr="00D007A2">
        <w:t xml:space="preserve">, </w:t>
      </w:r>
      <w:proofErr w:type="spellStart"/>
      <w:r w:rsidRPr="00D007A2">
        <w:t>зміни</w:t>
      </w:r>
      <w:proofErr w:type="spellEnd"/>
      <w:r w:rsidRPr="00D007A2">
        <w:t xml:space="preserve"> </w:t>
      </w:r>
      <w:proofErr w:type="spellStart"/>
      <w:r w:rsidRPr="00D007A2">
        <w:t>структури</w:t>
      </w:r>
      <w:proofErr w:type="spellEnd"/>
      <w:r w:rsidRPr="00D007A2">
        <w:t xml:space="preserve"> </w:t>
      </w:r>
      <w:proofErr w:type="spellStart"/>
      <w:r w:rsidRPr="00D007A2">
        <w:t>порину</w:t>
      </w:r>
      <w:proofErr w:type="spellEnd"/>
      <w:r w:rsidRPr="00D007A2">
        <w:t xml:space="preserve"> </w:t>
      </w:r>
      <w:proofErr w:type="spellStart"/>
      <w:r w:rsidRPr="00D007A2">
        <w:t>або</w:t>
      </w:r>
      <w:proofErr w:type="spellEnd"/>
      <w:r w:rsidRPr="00D007A2">
        <w:t xml:space="preserve"> </w:t>
      </w:r>
      <w:proofErr w:type="spellStart"/>
      <w:r w:rsidRPr="00D007A2">
        <w:t>зміни</w:t>
      </w:r>
      <w:proofErr w:type="spellEnd"/>
      <w:r w:rsidRPr="00D007A2">
        <w:t xml:space="preserve"> </w:t>
      </w:r>
      <w:proofErr w:type="spellStart"/>
      <w:r w:rsidRPr="00D007A2">
        <w:t>ефлюксних</w:t>
      </w:r>
      <w:proofErr w:type="spellEnd"/>
      <w:r w:rsidRPr="00D007A2">
        <w:t xml:space="preserve"> </w:t>
      </w:r>
      <w:proofErr w:type="spellStart"/>
      <w:r w:rsidRPr="00D007A2">
        <w:t>насосів</w:t>
      </w:r>
      <w:proofErr w:type="spellEnd"/>
      <w:r w:rsidRPr="00D007A2">
        <w:t>. Ко</w:t>
      </w:r>
      <w:r w:rsidRPr="00D007A2">
        <w:rPr>
          <w:lang w:val="uk-UA"/>
        </w:rPr>
        <w:t>-</w:t>
      </w:r>
      <w:proofErr w:type="spellStart"/>
      <w:r w:rsidRPr="00D007A2">
        <w:t>резистентність</w:t>
      </w:r>
      <w:proofErr w:type="spellEnd"/>
      <w:r w:rsidRPr="00D007A2">
        <w:t xml:space="preserve"> (за </w:t>
      </w:r>
      <w:proofErr w:type="spellStart"/>
      <w:r w:rsidRPr="00D007A2">
        <w:t>участю</w:t>
      </w:r>
      <w:proofErr w:type="spellEnd"/>
      <w:r w:rsidRPr="00D007A2">
        <w:t xml:space="preserve"> </w:t>
      </w:r>
      <w:proofErr w:type="spellStart"/>
      <w:proofErr w:type="gramStart"/>
      <w:r w:rsidRPr="00D007A2">
        <w:t>р</w:t>
      </w:r>
      <w:proofErr w:type="gramEnd"/>
      <w:r w:rsidRPr="00D007A2">
        <w:t>ізних</w:t>
      </w:r>
      <w:proofErr w:type="spellEnd"/>
      <w:r w:rsidRPr="00D007A2">
        <w:t xml:space="preserve"> </w:t>
      </w:r>
      <w:proofErr w:type="spellStart"/>
      <w:r w:rsidRPr="00D007A2">
        <w:t>механізмів</w:t>
      </w:r>
      <w:proofErr w:type="spellEnd"/>
      <w:r w:rsidRPr="00D007A2">
        <w:t xml:space="preserve"> </w:t>
      </w:r>
      <w:proofErr w:type="spellStart"/>
      <w:r w:rsidRPr="00D007A2">
        <w:t>резистентності</w:t>
      </w:r>
      <w:proofErr w:type="spellEnd"/>
      <w:r w:rsidRPr="00D007A2">
        <w:t xml:space="preserve">) </w:t>
      </w:r>
      <w:proofErr w:type="spellStart"/>
      <w:r w:rsidRPr="00D007A2">
        <w:t>також</w:t>
      </w:r>
      <w:proofErr w:type="spellEnd"/>
      <w:r w:rsidRPr="00D007A2">
        <w:t xml:space="preserve"> </w:t>
      </w:r>
      <w:proofErr w:type="spellStart"/>
      <w:r w:rsidRPr="00D007A2">
        <w:t>була</w:t>
      </w:r>
      <w:proofErr w:type="spellEnd"/>
      <w:r w:rsidRPr="00D007A2">
        <w:t xml:space="preserve"> описана в</w:t>
      </w:r>
      <w:r w:rsidRPr="00D007A2">
        <w:rPr>
          <w:lang w:val="uk-UA"/>
        </w:rPr>
        <w:t xml:space="preserve"> </w:t>
      </w:r>
      <w:r w:rsidRPr="00D007A2">
        <w:rPr>
          <w:rStyle w:val="af0"/>
        </w:rPr>
        <w:t xml:space="preserve">E. </w:t>
      </w:r>
      <w:proofErr w:type="spellStart"/>
      <w:r w:rsidRPr="00D007A2">
        <w:rPr>
          <w:rStyle w:val="af0"/>
        </w:rPr>
        <w:t>Coli</w:t>
      </w:r>
      <w:proofErr w:type="spellEnd"/>
      <w:r w:rsidRPr="00D007A2">
        <w:rPr>
          <w:lang w:val="uk-UA"/>
        </w:rPr>
        <w:t xml:space="preserve"> </w:t>
      </w:r>
      <w:r w:rsidRPr="00D007A2">
        <w:t xml:space="preserve">через </w:t>
      </w:r>
      <w:proofErr w:type="spellStart"/>
      <w:r w:rsidRPr="00D007A2">
        <w:t>плазміду</w:t>
      </w:r>
      <w:proofErr w:type="spellEnd"/>
      <w:r w:rsidRPr="00D007A2">
        <w:t xml:space="preserve">, </w:t>
      </w:r>
      <w:proofErr w:type="spellStart"/>
      <w:r w:rsidRPr="00D007A2">
        <w:t>що</w:t>
      </w:r>
      <w:proofErr w:type="spellEnd"/>
      <w:r w:rsidRPr="00D007A2">
        <w:t xml:space="preserve"> </w:t>
      </w:r>
      <w:proofErr w:type="spellStart"/>
      <w:r w:rsidRPr="00D007A2">
        <w:t>кодує</w:t>
      </w:r>
      <w:proofErr w:type="spellEnd"/>
      <w:r w:rsidRPr="00D007A2">
        <w:t xml:space="preserve"> </w:t>
      </w:r>
      <w:proofErr w:type="spellStart"/>
      <w:proofErr w:type="gramStart"/>
      <w:r w:rsidRPr="00D007A2">
        <w:t>р</w:t>
      </w:r>
      <w:proofErr w:type="gramEnd"/>
      <w:r w:rsidRPr="00D007A2">
        <w:t>ізні</w:t>
      </w:r>
      <w:proofErr w:type="spellEnd"/>
      <w:r w:rsidRPr="00D007A2">
        <w:t xml:space="preserve"> </w:t>
      </w:r>
      <w:proofErr w:type="spellStart"/>
      <w:r w:rsidRPr="00D007A2">
        <w:t>гени</w:t>
      </w:r>
      <w:proofErr w:type="spellEnd"/>
      <w:r w:rsidRPr="00D007A2">
        <w:t xml:space="preserve"> </w:t>
      </w:r>
      <w:proofErr w:type="spellStart"/>
      <w:r w:rsidRPr="00D007A2">
        <w:t>резистентності</w:t>
      </w:r>
      <w:proofErr w:type="spellEnd"/>
      <w:r w:rsidRPr="00D007A2">
        <w:t>.</w:t>
      </w:r>
    </w:p>
    <w:p w:rsidR="00BF535C" w:rsidRPr="00D007A2" w:rsidRDefault="00BF535C" w:rsidP="00BF535C">
      <w:pPr>
        <w:pStyle w:val="ac"/>
        <w:spacing w:line="264" w:lineRule="exact"/>
        <w:ind w:left="0" w:right="10" w:firstLine="567"/>
        <w:rPr>
          <w:rFonts w:ascii="Times New Roman" w:hAnsi="Times New Roman"/>
          <w:color w:val="auto"/>
          <w:szCs w:val="24"/>
          <w:lang w:val="uk-UA"/>
        </w:rPr>
      </w:pPr>
      <w:proofErr w:type="spellStart"/>
      <w:r w:rsidRPr="00D007A2">
        <w:rPr>
          <w:rFonts w:ascii="Times New Roman" w:hAnsi="Times New Roman"/>
          <w:i/>
          <w:iCs/>
          <w:color w:val="auto"/>
          <w:szCs w:val="24"/>
          <w:lang w:val="uk-UA"/>
        </w:rPr>
        <w:t>Pseudomonas</w:t>
      </w:r>
      <w:proofErr w:type="spellEnd"/>
      <w:r w:rsidRPr="00D007A2">
        <w:rPr>
          <w:rFonts w:ascii="Times New Roman" w:hAnsi="Times New Roman"/>
          <w:i/>
          <w:iCs/>
          <w:color w:val="auto"/>
          <w:szCs w:val="24"/>
          <w:lang w:val="uk-UA"/>
        </w:rPr>
        <w:t xml:space="preserve"> </w:t>
      </w:r>
      <w:proofErr w:type="spellStart"/>
      <w:r w:rsidRPr="00D007A2">
        <w:rPr>
          <w:rFonts w:ascii="Times New Roman" w:hAnsi="Times New Roman"/>
          <w:i/>
          <w:iCs/>
          <w:color w:val="auto"/>
          <w:szCs w:val="24"/>
          <w:lang w:val="uk-UA"/>
        </w:rPr>
        <w:t>aeruginosa</w:t>
      </w:r>
      <w:proofErr w:type="spellEnd"/>
      <w:r w:rsidRPr="00D007A2">
        <w:rPr>
          <w:rFonts w:ascii="Times New Roman" w:hAnsi="Times New Roman"/>
          <w:color w:val="auto"/>
          <w:szCs w:val="24"/>
          <w:lang w:val="uk-UA"/>
        </w:rPr>
        <w:t xml:space="preserve"> відома своєю стійкістю до </w:t>
      </w:r>
      <w:proofErr w:type="spellStart"/>
      <w:r w:rsidRPr="00D007A2">
        <w:rPr>
          <w:rFonts w:ascii="Times New Roman" w:hAnsi="Times New Roman"/>
          <w:color w:val="auto"/>
          <w:szCs w:val="24"/>
          <w:lang w:val="uk-UA"/>
        </w:rPr>
        <w:t>цефалексину</w:t>
      </w:r>
      <w:proofErr w:type="spellEnd"/>
      <w:r w:rsidRPr="00D007A2">
        <w:rPr>
          <w:rFonts w:ascii="Times New Roman" w:hAnsi="Times New Roman"/>
          <w:color w:val="auto"/>
          <w:szCs w:val="24"/>
          <w:lang w:val="uk-UA"/>
        </w:rPr>
        <w:t>.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</w:rPr>
      </w:pPr>
      <w:proofErr w:type="spellStart"/>
      <w:proofErr w:type="gramStart"/>
      <w:r w:rsidRPr="00D007A2">
        <w:rPr>
          <w:sz w:val="24"/>
          <w:szCs w:val="24"/>
        </w:rPr>
        <w:t>П</w:t>
      </w:r>
      <w:proofErr w:type="gramEnd"/>
      <w:r w:rsidRPr="00D007A2">
        <w:rPr>
          <w:sz w:val="24"/>
          <w:szCs w:val="24"/>
        </w:rPr>
        <w:t>ісля</w:t>
      </w:r>
      <w:proofErr w:type="spellEnd"/>
      <w:r w:rsidRPr="00D007A2">
        <w:rPr>
          <w:sz w:val="24"/>
          <w:szCs w:val="24"/>
        </w:rPr>
        <w:t xml:space="preserve"> одноразового перорального </w:t>
      </w:r>
      <w:r w:rsidRPr="00D007A2">
        <w:rPr>
          <w:sz w:val="24"/>
          <w:szCs w:val="24"/>
          <w:lang w:val="uk-UA"/>
        </w:rPr>
        <w:t xml:space="preserve">застосування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</w:rPr>
        <w:t xml:space="preserve"> собакам породи </w:t>
      </w:r>
      <w:proofErr w:type="spellStart"/>
      <w:r w:rsidRPr="00D007A2">
        <w:rPr>
          <w:sz w:val="24"/>
          <w:szCs w:val="24"/>
        </w:rPr>
        <w:t>бігль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 xml:space="preserve">у </w:t>
      </w:r>
      <w:proofErr w:type="spellStart"/>
      <w:r w:rsidRPr="00D007A2">
        <w:rPr>
          <w:sz w:val="24"/>
          <w:szCs w:val="24"/>
        </w:rPr>
        <w:t>рекомендованій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дозі</w:t>
      </w:r>
      <w:proofErr w:type="spellEnd"/>
      <w:r w:rsidRPr="00D007A2">
        <w:rPr>
          <w:sz w:val="24"/>
          <w:szCs w:val="24"/>
          <w:lang w:val="uk-UA"/>
        </w:rPr>
        <w:t xml:space="preserve"> </w:t>
      </w:r>
      <w:r w:rsidRPr="00D007A2">
        <w:rPr>
          <w:sz w:val="24"/>
          <w:szCs w:val="24"/>
        </w:rPr>
        <w:t>15 мг</w:t>
      </w:r>
      <w:r w:rsidRPr="00D007A2">
        <w:rPr>
          <w:sz w:val="24"/>
          <w:szCs w:val="24"/>
          <w:lang w:val="uk-UA"/>
        </w:rPr>
        <w:t xml:space="preserve"> </w:t>
      </w:r>
      <w:r w:rsidRPr="00D007A2">
        <w:rPr>
          <w:sz w:val="24"/>
          <w:szCs w:val="24"/>
        </w:rPr>
        <w:t>на</w:t>
      </w:r>
      <w:r w:rsidRPr="00D007A2">
        <w:rPr>
          <w:sz w:val="24"/>
          <w:szCs w:val="24"/>
          <w:lang w:val="uk-UA"/>
        </w:rPr>
        <w:t xml:space="preserve"> 1</w:t>
      </w:r>
      <w:r w:rsidRPr="00D007A2">
        <w:rPr>
          <w:sz w:val="24"/>
          <w:szCs w:val="24"/>
        </w:rPr>
        <w:t xml:space="preserve"> кг </w:t>
      </w:r>
      <w:proofErr w:type="spellStart"/>
      <w:r w:rsidRPr="00D007A2">
        <w:rPr>
          <w:sz w:val="24"/>
          <w:szCs w:val="24"/>
        </w:rPr>
        <w:t>маси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тіла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 xml:space="preserve">його </w:t>
      </w:r>
      <w:proofErr w:type="spellStart"/>
      <w:r w:rsidRPr="00D007A2">
        <w:rPr>
          <w:sz w:val="24"/>
          <w:szCs w:val="24"/>
        </w:rPr>
        <w:t>концентраці</w:t>
      </w:r>
      <w:proofErr w:type="spellEnd"/>
      <w:r w:rsidRPr="00D007A2">
        <w:rPr>
          <w:sz w:val="24"/>
          <w:szCs w:val="24"/>
          <w:lang w:val="uk-UA"/>
        </w:rPr>
        <w:t>я</w:t>
      </w:r>
      <w:r w:rsidRPr="00D007A2">
        <w:rPr>
          <w:sz w:val="24"/>
          <w:szCs w:val="24"/>
        </w:rPr>
        <w:t xml:space="preserve"> в </w:t>
      </w:r>
      <w:proofErr w:type="spellStart"/>
      <w:r w:rsidRPr="00D007A2">
        <w:rPr>
          <w:sz w:val="24"/>
          <w:szCs w:val="24"/>
        </w:rPr>
        <w:t>плазмі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крові визначали</w:t>
      </w:r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через</w:t>
      </w:r>
      <w:r w:rsidRPr="00D007A2">
        <w:rPr>
          <w:sz w:val="24"/>
          <w:szCs w:val="24"/>
        </w:rPr>
        <w:t xml:space="preserve"> 30 </w:t>
      </w:r>
      <w:proofErr w:type="spellStart"/>
      <w:r w:rsidRPr="00D007A2">
        <w:rPr>
          <w:sz w:val="24"/>
          <w:szCs w:val="24"/>
        </w:rPr>
        <w:t>хвилин</w:t>
      </w:r>
      <w:proofErr w:type="spellEnd"/>
      <w:r w:rsidRPr="00D007A2">
        <w:rPr>
          <w:sz w:val="24"/>
          <w:szCs w:val="24"/>
        </w:rPr>
        <w:t xml:space="preserve">. </w:t>
      </w:r>
      <w:r w:rsidRPr="00D007A2">
        <w:rPr>
          <w:sz w:val="24"/>
          <w:szCs w:val="24"/>
          <w:lang w:val="uk-UA"/>
        </w:rPr>
        <w:t xml:space="preserve">Максимальна концентрація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</w:rPr>
        <w:t xml:space="preserve"> у </w:t>
      </w:r>
      <w:proofErr w:type="spellStart"/>
      <w:r w:rsidRPr="00D007A2">
        <w:rPr>
          <w:sz w:val="24"/>
          <w:szCs w:val="24"/>
        </w:rPr>
        <w:t>плазмі</w:t>
      </w:r>
      <w:proofErr w:type="spellEnd"/>
      <w:r w:rsidRPr="00D007A2">
        <w:rPr>
          <w:sz w:val="24"/>
          <w:szCs w:val="24"/>
          <w:lang w:val="uk-UA"/>
        </w:rPr>
        <w:t xml:space="preserve"> крові</w:t>
      </w:r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спостерігалась</w:t>
      </w:r>
      <w:r w:rsidRPr="00D007A2">
        <w:rPr>
          <w:sz w:val="24"/>
          <w:szCs w:val="24"/>
        </w:rPr>
        <w:t xml:space="preserve"> через 1,3 </w:t>
      </w:r>
      <w:proofErr w:type="spellStart"/>
      <w:r w:rsidRPr="00D007A2">
        <w:rPr>
          <w:sz w:val="24"/>
          <w:szCs w:val="24"/>
        </w:rPr>
        <w:t>години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і становила</w:t>
      </w:r>
      <w:r w:rsidRPr="00D007A2">
        <w:rPr>
          <w:sz w:val="24"/>
          <w:szCs w:val="24"/>
        </w:rPr>
        <w:t xml:space="preserve"> 18,2 мкг/мл.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</w:rPr>
      </w:pPr>
      <w:proofErr w:type="spellStart"/>
      <w:r w:rsidRPr="00D007A2">
        <w:rPr>
          <w:sz w:val="24"/>
          <w:szCs w:val="24"/>
        </w:rPr>
        <w:t>Біодоступність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у собак – </w:t>
      </w:r>
      <w:proofErr w:type="spellStart"/>
      <w:r w:rsidRPr="00D007A2">
        <w:rPr>
          <w:sz w:val="24"/>
          <w:szCs w:val="24"/>
        </w:rPr>
        <w:t>більше</w:t>
      </w:r>
      <w:proofErr w:type="spellEnd"/>
      <w:r w:rsidRPr="00D007A2">
        <w:rPr>
          <w:sz w:val="24"/>
          <w:szCs w:val="24"/>
        </w:rPr>
        <w:t xml:space="preserve"> 90%. </w:t>
      </w:r>
      <w:r w:rsidRPr="00D007A2">
        <w:rPr>
          <w:sz w:val="24"/>
          <w:szCs w:val="24"/>
          <w:lang w:val="uk-UA"/>
        </w:rPr>
        <w:t>Він виявляється</w:t>
      </w:r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 xml:space="preserve">у крові </w:t>
      </w:r>
      <w:proofErr w:type="spellStart"/>
      <w:r w:rsidRPr="00D007A2">
        <w:rPr>
          <w:sz w:val="24"/>
          <w:szCs w:val="24"/>
        </w:rPr>
        <w:t>протягом</w:t>
      </w:r>
      <w:proofErr w:type="spellEnd"/>
      <w:r w:rsidRPr="00D007A2">
        <w:rPr>
          <w:sz w:val="24"/>
          <w:szCs w:val="24"/>
        </w:rPr>
        <w:t xml:space="preserve"> 24 годин </w:t>
      </w:r>
      <w:proofErr w:type="spellStart"/>
      <w:proofErr w:type="gramStart"/>
      <w:r w:rsidRPr="00D007A2">
        <w:rPr>
          <w:sz w:val="24"/>
          <w:szCs w:val="24"/>
        </w:rPr>
        <w:t>п</w:t>
      </w:r>
      <w:proofErr w:type="gramEnd"/>
      <w:r w:rsidRPr="00D007A2">
        <w:rPr>
          <w:sz w:val="24"/>
          <w:szCs w:val="24"/>
        </w:rPr>
        <w:t>ісля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перорального застосування</w:t>
      </w:r>
      <w:r w:rsidRPr="00D007A2">
        <w:rPr>
          <w:sz w:val="24"/>
          <w:szCs w:val="24"/>
        </w:rPr>
        <w:t>. Перш</w:t>
      </w:r>
      <w:r w:rsidRPr="00D007A2">
        <w:rPr>
          <w:sz w:val="24"/>
          <w:szCs w:val="24"/>
          <w:lang w:val="uk-UA"/>
        </w:rPr>
        <w:t xml:space="preserve">е </w:t>
      </w:r>
      <w:proofErr w:type="gramStart"/>
      <w:r w:rsidRPr="00D007A2">
        <w:rPr>
          <w:sz w:val="24"/>
          <w:szCs w:val="24"/>
          <w:lang w:val="uk-UA"/>
        </w:rPr>
        <w:t>досл</w:t>
      </w:r>
      <w:proofErr w:type="gramEnd"/>
      <w:r w:rsidRPr="00D007A2">
        <w:rPr>
          <w:sz w:val="24"/>
          <w:szCs w:val="24"/>
          <w:lang w:val="uk-UA"/>
        </w:rPr>
        <w:t>ідження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цефалексину</w:t>
      </w:r>
      <w:proofErr w:type="spellEnd"/>
      <w:r w:rsidRPr="00D007A2">
        <w:rPr>
          <w:sz w:val="24"/>
          <w:szCs w:val="24"/>
        </w:rPr>
        <w:t xml:space="preserve"> в </w:t>
      </w:r>
      <w:proofErr w:type="spellStart"/>
      <w:r w:rsidRPr="00D007A2">
        <w:rPr>
          <w:sz w:val="24"/>
          <w:szCs w:val="24"/>
        </w:rPr>
        <w:t>сечі</w:t>
      </w:r>
      <w:proofErr w:type="spellEnd"/>
      <w:r w:rsidRPr="00D007A2">
        <w:rPr>
          <w:sz w:val="24"/>
          <w:szCs w:val="24"/>
        </w:rPr>
        <w:t xml:space="preserve"> проводили </w:t>
      </w:r>
      <w:proofErr w:type="spellStart"/>
      <w:r w:rsidRPr="00D007A2">
        <w:rPr>
          <w:sz w:val="24"/>
          <w:szCs w:val="24"/>
        </w:rPr>
        <w:t>між</w:t>
      </w:r>
      <w:proofErr w:type="spellEnd"/>
      <w:r w:rsidRPr="00D007A2">
        <w:rPr>
          <w:sz w:val="24"/>
          <w:szCs w:val="24"/>
        </w:rPr>
        <w:t xml:space="preserve"> 2 та 12 годинами з </w:t>
      </w:r>
      <w:r w:rsidRPr="00D007A2">
        <w:rPr>
          <w:sz w:val="24"/>
          <w:szCs w:val="24"/>
          <w:lang w:val="uk-UA"/>
        </w:rPr>
        <w:t>його максимальними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концентраціями</w:t>
      </w:r>
      <w:proofErr w:type="spellEnd"/>
      <w:r w:rsidRPr="00D007A2">
        <w:rPr>
          <w:sz w:val="24"/>
          <w:szCs w:val="24"/>
        </w:rPr>
        <w:t xml:space="preserve">, </w:t>
      </w:r>
      <w:r w:rsidRPr="00D007A2">
        <w:rPr>
          <w:sz w:val="24"/>
          <w:szCs w:val="24"/>
          <w:lang w:val="uk-UA"/>
        </w:rPr>
        <w:t>які становили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від</w:t>
      </w:r>
      <w:proofErr w:type="spellEnd"/>
      <w:r w:rsidRPr="00D007A2">
        <w:rPr>
          <w:sz w:val="24"/>
          <w:szCs w:val="24"/>
        </w:rPr>
        <w:t xml:space="preserve"> 430 до 2758 мкг/мл </w:t>
      </w:r>
      <w:proofErr w:type="spellStart"/>
      <w:r w:rsidRPr="00D007A2">
        <w:rPr>
          <w:sz w:val="24"/>
          <w:szCs w:val="24"/>
        </w:rPr>
        <w:t>протягом</w:t>
      </w:r>
      <w:proofErr w:type="spellEnd"/>
      <w:r w:rsidRPr="00D007A2">
        <w:rPr>
          <w:sz w:val="24"/>
          <w:szCs w:val="24"/>
        </w:rPr>
        <w:t xml:space="preserve"> 12 годин.</w:t>
      </w:r>
    </w:p>
    <w:p w:rsidR="00BF535C" w:rsidRPr="00D007A2" w:rsidRDefault="00BF535C" w:rsidP="00BF535C">
      <w:pPr>
        <w:pStyle w:val="ab"/>
        <w:ind w:firstLine="567"/>
        <w:jc w:val="both"/>
        <w:rPr>
          <w:sz w:val="24"/>
          <w:szCs w:val="24"/>
        </w:rPr>
      </w:pPr>
      <w:proofErr w:type="spellStart"/>
      <w:proofErr w:type="gramStart"/>
      <w:r w:rsidRPr="00D007A2">
        <w:rPr>
          <w:sz w:val="24"/>
          <w:szCs w:val="24"/>
        </w:rPr>
        <w:t>П</w:t>
      </w:r>
      <w:proofErr w:type="gramEnd"/>
      <w:r w:rsidRPr="00D007A2">
        <w:rPr>
          <w:sz w:val="24"/>
          <w:szCs w:val="24"/>
        </w:rPr>
        <w:t>ісля</w:t>
      </w:r>
      <w:proofErr w:type="spellEnd"/>
      <w:r w:rsidRPr="00D007A2">
        <w:rPr>
          <w:sz w:val="24"/>
          <w:szCs w:val="24"/>
        </w:rPr>
        <w:t xml:space="preserve"> повторного перорального </w:t>
      </w:r>
      <w:r w:rsidRPr="00D007A2">
        <w:rPr>
          <w:sz w:val="24"/>
          <w:szCs w:val="24"/>
          <w:lang w:val="uk-UA"/>
        </w:rPr>
        <w:t xml:space="preserve">застосування </w:t>
      </w:r>
      <w:r w:rsidRPr="00D007A2">
        <w:rPr>
          <w:sz w:val="24"/>
          <w:szCs w:val="24"/>
        </w:rPr>
        <w:t xml:space="preserve"> в </w:t>
      </w:r>
      <w:proofErr w:type="spellStart"/>
      <w:r w:rsidRPr="00D007A2">
        <w:rPr>
          <w:sz w:val="24"/>
          <w:szCs w:val="24"/>
        </w:rPr>
        <w:t>тій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самій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дозі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двічі</w:t>
      </w:r>
      <w:proofErr w:type="spellEnd"/>
      <w:r w:rsidRPr="00D007A2">
        <w:rPr>
          <w:sz w:val="24"/>
          <w:szCs w:val="24"/>
        </w:rPr>
        <w:t xml:space="preserve"> на </w:t>
      </w:r>
      <w:r w:rsidRPr="00D007A2">
        <w:rPr>
          <w:sz w:val="24"/>
          <w:szCs w:val="24"/>
          <w:lang w:val="uk-UA"/>
        </w:rPr>
        <w:t>добу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протягом</w:t>
      </w:r>
      <w:proofErr w:type="spellEnd"/>
      <w:r w:rsidRPr="00D007A2">
        <w:rPr>
          <w:sz w:val="24"/>
          <w:szCs w:val="24"/>
        </w:rPr>
        <w:t xml:space="preserve"> 7 </w:t>
      </w:r>
      <w:r w:rsidRPr="00D007A2">
        <w:rPr>
          <w:sz w:val="24"/>
          <w:szCs w:val="24"/>
          <w:lang w:val="uk-UA"/>
        </w:rPr>
        <w:t>діб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пікові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рівні</w:t>
      </w:r>
      <w:proofErr w:type="spellEnd"/>
      <w:r w:rsidRPr="00D007A2">
        <w:rPr>
          <w:sz w:val="24"/>
          <w:szCs w:val="24"/>
        </w:rPr>
        <w:t xml:space="preserve"> в </w:t>
      </w:r>
      <w:proofErr w:type="spellStart"/>
      <w:r w:rsidRPr="00D007A2">
        <w:rPr>
          <w:sz w:val="24"/>
          <w:szCs w:val="24"/>
        </w:rPr>
        <w:t>плазмі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 xml:space="preserve">крові </w:t>
      </w:r>
      <w:proofErr w:type="spellStart"/>
      <w:r w:rsidRPr="00D007A2">
        <w:rPr>
          <w:sz w:val="24"/>
          <w:szCs w:val="24"/>
        </w:rPr>
        <w:t>спостеріга</w:t>
      </w:r>
      <w:r w:rsidRPr="00D007A2">
        <w:rPr>
          <w:sz w:val="24"/>
          <w:szCs w:val="24"/>
          <w:lang w:val="uk-UA"/>
        </w:rPr>
        <w:t>лись</w:t>
      </w:r>
      <w:proofErr w:type="spellEnd"/>
      <w:r w:rsidRPr="00D007A2">
        <w:rPr>
          <w:sz w:val="24"/>
          <w:szCs w:val="24"/>
        </w:rPr>
        <w:t xml:space="preserve"> через 2 </w:t>
      </w:r>
      <w:proofErr w:type="spellStart"/>
      <w:r w:rsidRPr="00D007A2">
        <w:rPr>
          <w:sz w:val="24"/>
          <w:szCs w:val="24"/>
        </w:rPr>
        <w:t>години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і становили</w:t>
      </w:r>
      <w:r w:rsidRPr="00D007A2">
        <w:rPr>
          <w:sz w:val="24"/>
          <w:szCs w:val="24"/>
        </w:rPr>
        <w:t xml:space="preserve"> 20 мкг/мл. </w:t>
      </w:r>
      <w:proofErr w:type="spellStart"/>
      <w:proofErr w:type="gramStart"/>
      <w:r w:rsidRPr="00D007A2">
        <w:rPr>
          <w:sz w:val="24"/>
          <w:szCs w:val="24"/>
        </w:rPr>
        <w:t>П</w:t>
      </w:r>
      <w:proofErr w:type="gramEnd"/>
      <w:r w:rsidRPr="00D007A2">
        <w:rPr>
          <w:sz w:val="24"/>
          <w:szCs w:val="24"/>
        </w:rPr>
        <w:t>ід</w:t>
      </w:r>
      <w:proofErr w:type="spellEnd"/>
      <w:r w:rsidRPr="00D007A2">
        <w:rPr>
          <w:sz w:val="24"/>
          <w:szCs w:val="24"/>
        </w:rPr>
        <w:t xml:space="preserve"> час </w:t>
      </w:r>
      <w:proofErr w:type="spellStart"/>
      <w:r w:rsidRPr="00D007A2">
        <w:rPr>
          <w:sz w:val="24"/>
          <w:szCs w:val="24"/>
        </w:rPr>
        <w:t>лікування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концентрації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</w:t>
      </w:r>
      <w:proofErr w:type="spellStart"/>
      <w:r w:rsidRPr="00D007A2">
        <w:rPr>
          <w:sz w:val="24"/>
          <w:szCs w:val="24"/>
        </w:rPr>
        <w:t>підтримувалися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вище</w:t>
      </w:r>
      <w:proofErr w:type="spellEnd"/>
      <w:r w:rsidRPr="00D007A2">
        <w:rPr>
          <w:sz w:val="24"/>
          <w:szCs w:val="24"/>
        </w:rPr>
        <w:t xml:space="preserve"> 1 мкг/мл. </w:t>
      </w:r>
      <w:proofErr w:type="spellStart"/>
      <w:r w:rsidRPr="00D007A2">
        <w:rPr>
          <w:sz w:val="24"/>
          <w:szCs w:val="24"/>
        </w:rPr>
        <w:t>Середній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період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напіввиведення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</w:t>
      </w:r>
      <w:r w:rsidRPr="00D007A2">
        <w:rPr>
          <w:sz w:val="24"/>
          <w:szCs w:val="24"/>
        </w:rPr>
        <w:t xml:space="preserve">становить 2 </w:t>
      </w:r>
      <w:proofErr w:type="spellStart"/>
      <w:r w:rsidRPr="00D007A2">
        <w:rPr>
          <w:sz w:val="24"/>
          <w:szCs w:val="24"/>
        </w:rPr>
        <w:t>години</w:t>
      </w:r>
      <w:proofErr w:type="spellEnd"/>
      <w:r w:rsidRPr="00D007A2">
        <w:rPr>
          <w:sz w:val="24"/>
          <w:szCs w:val="24"/>
        </w:rPr>
        <w:t xml:space="preserve">. </w:t>
      </w:r>
      <w:proofErr w:type="spellStart"/>
      <w:proofErr w:type="gramStart"/>
      <w:r w:rsidRPr="00D007A2">
        <w:rPr>
          <w:sz w:val="24"/>
          <w:szCs w:val="24"/>
        </w:rPr>
        <w:t>Р</w:t>
      </w:r>
      <w:proofErr w:type="gramEnd"/>
      <w:r w:rsidRPr="00D007A2">
        <w:rPr>
          <w:sz w:val="24"/>
          <w:szCs w:val="24"/>
        </w:rPr>
        <w:t>івні</w:t>
      </w:r>
      <w:proofErr w:type="spellEnd"/>
      <w:r w:rsidRPr="00D007A2">
        <w:rPr>
          <w:sz w:val="24"/>
          <w:szCs w:val="24"/>
          <w:lang w:val="uk-UA"/>
        </w:rPr>
        <w:t xml:space="preserve">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</w:rPr>
        <w:t xml:space="preserve"> в </w:t>
      </w:r>
      <w:proofErr w:type="spellStart"/>
      <w:r w:rsidRPr="00D007A2">
        <w:rPr>
          <w:sz w:val="24"/>
          <w:szCs w:val="24"/>
        </w:rPr>
        <w:t>шкірі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становили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приблизно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від</w:t>
      </w:r>
      <w:proofErr w:type="spellEnd"/>
      <w:r w:rsidRPr="00D007A2">
        <w:rPr>
          <w:sz w:val="24"/>
          <w:szCs w:val="24"/>
        </w:rPr>
        <w:t xml:space="preserve"> 5,8 до 6,6 мкг/г через 2 </w:t>
      </w:r>
      <w:proofErr w:type="spellStart"/>
      <w:r w:rsidRPr="00D007A2">
        <w:rPr>
          <w:sz w:val="24"/>
          <w:szCs w:val="24"/>
        </w:rPr>
        <w:t>години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після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застосування</w:t>
      </w:r>
      <w:r w:rsidRPr="00D007A2">
        <w:rPr>
          <w:sz w:val="24"/>
          <w:szCs w:val="24"/>
        </w:rPr>
        <w:t>.</w:t>
      </w:r>
    </w:p>
    <w:p w:rsidR="00583287" w:rsidRPr="00D007A2" w:rsidRDefault="00BF535C" w:rsidP="00BF535C">
      <w:pPr>
        <w:pStyle w:val="ae"/>
        <w:rPr>
          <w:spacing w:val="4"/>
          <w:w w:val="87"/>
          <w:lang w:val="uk-UA"/>
        </w:rPr>
      </w:pPr>
      <w:proofErr w:type="spellStart"/>
      <w:r w:rsidRPr="00D007A2">
        <w:rPr>
          <w:sz w:val="24"/>
          <w:szCs w:val="24"/>
          <w:lang w:val="uk-UA"/>
        </w:rPr>
        <w:t>Цефалексин</w:t>
      </w:r>
      <w:proofErr w:type="spellEnd"/>
      <w:r w:rsidRPr="00D007A2">
        <w:rPr>
          <w:sz w:val="24"/>
          <w:szCs w:val="24"/>
          <w:lang w:val="uk-UA"/>
        </w:rPr>
        <w:t xml:space="preserve"> </w:t>
      </w:r>
      <w:proofErr w:type="spellStart"/>
      <w:r w:rsidRPr="00D007A2">
        <w:rPr>
          <w:sz w:val="24"/>
          <w:szCs w:val="24"/>
          <w:shd w:val="clear" w:color="auto" w:fill="FFFFFF"/>
        </w:rPr>
        <w:t>виводиться</w:t>
      </w:r>
      <w:proofErr w:type="spellEnd"/>
      <w:r w:rsidRPr="00D007A2">
        <w:rPr>
          <w:sz w:val="24"/>
          <w:szCs w:val="24"/>
          <w:shd w:val="clear" w:color="auto" w:fill="FFFFFF"/>
        </w:rPr>
        <w:t xml:space="preserve"> з </w:t>
      </w:r>
      <w:proofErr w:type="spellStart"/>
      <w:r w:rsidRPr="00D007A2">
        <w:rPr>
          <w:sz w:val="24"/>
          <w:szCs w:val="24"/>
          <w:shd w:val="clear" w:color="auto" w:fill="FFFFFF"/>
        </w:rPr>
        <w:t>організму</w:t>
      </w:r>
      <w:proofErr w:type="spellEnd"/>
      <w:r w:rsidRPr="00D007A2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D007A2">
        <w:rPr>
          <w:sz w:val="24"/>
          <w:szCs w:val="24"/>
          <w:shd w:val="clear" w:color="auto" w:fill="FFFFFF"/>
        </w:rPr>
        <w:t>незміненому</w:t>
      </w:r>
      <w:proofErr w:type="spellEnd"/>
      <w:r w:rsidRPr="00D007A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007A2">
        <w:rPr>
          <w:sz w:val="24"/>
          <w:szCs w:val="24"/>
          <w:shd w:val="clear" w:color="auto" w:fill="FFFFFF"/>
        </w:rPr>
        <w:t>стані</w:t>
      </w:r>
      <w:proofErr w:type="spellEnd"/>
      <w:r w:rsidRPr="00D007A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007A2">
        <w:rPr>
          <w:sz w:val="24"/>
          <w:szCs w:val="24"/>
          <w:shd w:val="clear" w:color="auto" w:fill="FFFFFF"/>
        </w:rPr>
        <w:t>нирками</w:t>
      </w:r>
      <w:proofErr w:type="spellEnd"/>
      <w:r w:rsidRPr="00D007A2">
        <w:rPr>
          <w:sz w:val="24"/>
          <w:szCs w:val="24"/>
          <w:shd w:val="clear" w:color="auto" w:fill="FFFFFF"/>
          <w:lang w:val="uk-UA"/>
        </w:rPr>
        <w:t>.</w:t>
      </w:r>
    </w:p>
    <w:p w:rsidR="00583287" w:rsidRPr="00D007A2" w:rsidRDefault="00583287" w:rsidP="00583287">
      <w:pPr>
        <w:ind w:firstLine="567"/>
        <w:jc w:val="both"/>
        <w:rPr>
          <w:b/>
          <w:sz w:val="22"/>
          <w:szCs w:val="22"/>
          <w:lang w:val="uk-UA"/>
        </w:rPr>
      </w:pPr>
      <w:r w:rsidRPr="00D007A2">
        <w:rPr>
          <w:b/>
          <w:sz w:val="22"/>
          <w:szCs w:val="22"/>
          <w:lang w:val="uk-UA"/>
        </w:rPr>
        <w:t>Застосування</w:t>
      </w:r>
    </w:p>
    <w:p w:rsidR="00E27E26" w:rsidRPr="00D007A2" w:rsidRDefault="00BF535C" w:rsidP="00583287">
      <w:pPr>
        <w:ind w:firstLine="567"/>
        <w:rPr>
          <w:lang w:val="uk-UA"/>
        </w:rPr>
      </w:pPr>
      <w:r w:rsidRPr="00D007A2">
        <w:rPr>
          <w:lang w:val="uk-UA"/>
        </w:rPr>
        <w:t xml:space="preserve">Собаки: лікування тварин за захворювань шкіри і м’яких тканин (включно глибока та поверхнева піодермія), що спричинені мікроорганізмами (у тому числі </w:t>
      </w:r>
      <w:proofErr w:type="spellStart"/>
      <w:r w:rsidRPr="00D007A2">
        <w:rPr>
          <w:i/>
          <w:iCs/>
          <w:lang w:val="uk-UA"/>
        </w:rPr>
        <w:t>Staphylococcus</w:t>
      </w:r>
      <w:proofErr w:type="spellEnd"/>
      <w:r w:rsidRPr="00D007A2">
        <w:rPr>
          <w:i/>
          <w:iCs/>
          <w:lang w:val="uk-UA"/>
        </w:rPr>
        <w:t xml:space="preserve"> </w:t>
      </w:r>
      <w:proofErr w:type="spellStart"/>
      <w:r w:rsidRPr="00D007A2">
        <w:rPr>
          <w:i/>
          <w:iCs/>
          <w:lang w:val="uk-UA"/>
        </w:rPr>
        <w:t>spp</w:t>
      </w:r>
      <w:proofErr w:type="spellEnd"/>
      <w:r w:rsidRPr="00D007A2">
        <w:rPr>
          <w:i/>
          <w:iCs/>
          <w:lang w:val="uk-UA"/>
        </w:rPr>
        <w:t>.)</w:t>
      </w:r>
      <w:r w:rsidRPr="00D007A2">
        <w:rPr>
          <w:lang w:val="uk-UA"/>
        </w:rPr>
        <w:t xml:space="preserve">, чутливими до </w:t>
      </w:r>
      <w:proofErr w:type="spellStart"/>
      <w:r w:rsidRPr="00D007A2">
        <w:rPr>
          <w:lang w:val="uk-UA"/>
        </w:rPr>
        <w:t>цефалексину</w:t>
      </w:r>
      <w:proofErr w:type="spellEnd"/>
      <w:r w:rsidRPr="00D007A2">
        <w:rPr>
          <w:lang w:val="uk-UA"/>
        </w:rPr>
        <w:t xml:space="preserve">; за захворювань сечовивідних шляхів (включно нефрит і цистит), що спричинені мікроорганізмами, (у тому числі </w:t>
      </w:r>
      <w:proofErr w:type="spellStart"/>
      <w:r w:rsidRPr="00D007A2">
        <w:rPr>
          <w:i/>
          <w:iCs/>
          <w:lang w:val="uk-UA"/>
        </w:rPr>
        <w:t>Escherichia</w:t>
      </w:r>
      <w:proofErr w:type="spellEnd"/>
      <w:r w:rsidRPr="00D007A2">
        <w:rPr>
          <w:i/>
          <w:iCs/>
          <w:lang w:val="uk-UA"/>
        </w:rPr>
        <w:t xml:space="preserve"> </w:t>
      </w:r>
      <w:proofErr w:type="spellStart"/>
      <w:r w:rsidRPr="00D007A2">
        <w:rPr>
          <w:i/>
          <w:iCs/>
          <w:lang w:val="uk-UA"/>
        </w:rPr>
        <w:t>coli</w:t>
      </w:r>
      <w:proofErr w:type="spellEnd"/>
      <w:r w:rsidRPr="00D007A2">
        <w:rPr>
          <w:i/>
          <w:iCs/>
          <w:lang w:val="uk-UA"/>
        </w:rPr>
        <w:t>)</w:t>
      </w:r>
      <w:r w:rsidRPr="00D007A2">
        <w:rPr>
          <w:lang w:val="uk-UA"/>
        </w:rPr>
        <w:t xml:space="preserve">, чутливими до </w:t>
      </w:r>
      <w:proofErr w:type="spellStart"/>
      <w:r w:rsidRPr="00D007A2">
        <w:rPr>
          <w:lang w:val="uk-UA"/>
        </w:rPr>
        <w:t>цефалексину</w:t>
      </w:r>
      <w:proofErr w:type="spellEnd"/>
      <w:r w:rsidRPr="00D007A2">
        <w:rPr>
          <w:lang w:val="uk-UA"/>
        </w:rPr>
        <w:t>.</w:t>
      </w:r>
    </w:p>
    <w:p w:rsidR="00E27E26" w:rsidRPr="00D007A2" w:rsidRDefault="00E27E26" w:rsidP="00E27E26">
      <w:pPr>
        <w:ind w:firstLine="567"/>
        <w:rPr>
          <w:b/>
          <w:lang w:val="uk-UA"/>
        </w:rPr>
      </w:pPr>
      <w:r w:rsidRPr="00D007A2">
        <w:rPr>
          <w:b/>
          <w:lang w:val="uk-UA"/>
        </w:rPr>
        <w:t xml:space="preserve">Дозування </w:t>
      </w:r>
    </w:p>
    <w:p w:rsidR="00583287" w:rsidRPr="00D007A2" w:rsidRDefault="00583287" w:rsidP="00583287">
      <w:pPr>
        <w:pStyle w:val="ab"/>
        <w:jc w:val="both"/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ab/>
      </w:r>
      <w:proofErr w:type="spellStart"/>
      <w:r w:rsidRPr="00D007A2">
        <w:rPr>
          <w:sz w:val="24"/>
          <w:szCs w:val="24"/>
          <w:lang w:val="uk-UA"/>
        </w:rPr>
        <w:t>Перорально</w:t>
      </w:r>
      <w:proofErr w:type="spellEnd"/>
      <w:r w:rsidRPr="00D007A2">
        <w:rPr>
          <w:sz w:val="24"/>
          <w:szCs w:val="24"/>
          <w:lang w:val="uk-UA"/>
        </w:rPr>
        <w:t xml:space="preserve"> у дозі 15 мг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на 1  кг маси тіла двічі на добу (еквівалентно 30 мг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 на 1 кг маси тіла на добу), що відповідає одній таблетці на 50 кг маси тіла двічі</w:t>
      </w:r>
      <w:r w:rsidRPr="00D007A2">
        <w:rPr>
          <w:lang w:val="uk-UA"/>
        </w:rPr>
        <w:t xml:space="preserve"> </w:t>
      </w:r>
      <w:r w:rsidRPr="00D007A2">
        <w:rPr>
          <w:sz w:val="24"/>
          <w:szCs w:val="24"/>
          <w:lang w:val="uk-UA"/>
        </w:rPr>
        <w:t>на добу. Курс лікування становить :</w:t>
      </w:r>
    </w:p>
    <w:p w:rsidR="00583287" w:rsidRPr="00D007A2" w:rsidRDefault="00583287" w:rsidP="00583287">
      <w:pPr>
        <w:pStyle w:val="ab"/>
        <w:rPr>
          <w:sz w:val="24"/>
          <w:szCs w:val="24"/>
          <w:lang w:val="uk-UA"/>
        </w:rPr>
      </w:pPr>
      <w:r w:rsidRPr="00D007A2">
        <w:rPr>
          <w:i/>
          <w:sz w:val="24"/>
          <w:szCs w:val="24"/>
          <w:lang w:val="uk-UA"/>
        </w:rPr>
        <w:lastRenderedPageBreak/>
        <w:tab/>
        <w:t xml:space="preserve">- </w:t>
      </w:r>
      <w:r w:rsidRPr="00D007A2">
        <w:rPr>
          <w:sz w:val="24"/>
          <w:szCs w:val="24"/>
          <w:lang w:val="uk-UA"/>
        </w:rPr>
        <w:t>за захворювань сечовивідних шляхів - 14 діб,</w:t>
      </w:r>
    </w:p>
    <w:p w:rsidR="00583287" w:rsidRPr="00D007A2" w:rsidRDefault="00583287" w:rsidP="00583287">
      <w:pPr>
        <w:pStyle w:val="ab"/>
        <w:numPr>
          <w:ilvl w:val="0"/>
          <w:numId w:val="10"/>
        </w:numPr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>за поверхневої бактеріальної інфекції шкіри -  не менше 15 діб.</w:t>
      </w:r>
    </w:p>
    <w:p w:rsidR="00583287" w:rsidRPr="00D007A2" w:rsidRDefault="00583287" w:rsidP="00583287">
      <w:pPr>
        <w:pStyle w:val="ab"/>
        <w:numPr>
          <w:ilvl w:val="0"/>
          <w:numId w:val="10"/>
        </w:numPr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>за глибокої бактеріальної інфекції шкіри  - не менше 28 діб.</w:t>
      </w:r>
    </w:p>
    <w:p w:rsidR="00583287" w:rsidRPr="00D007A2" w:rsidRDefault="00583287" w:rsidP="00583287">
      <w:pPr>
        <w:pStyle w:val="ab"/>
        <w:jc w:val="both"/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ab/>
        <w:t>Для забезпечення правильного дозування, масу тіла слід визначити якомога точніше, щоб уникнути недостатньої дози. За необхідності препарат можна подрібнювати або додавати в їжу.</w:t>
      </w:r>
    </w:p>
    <w:p w:rsidR="00E27E26" w:rsidRPr="00D007A2" w:rsidRDefault="00583287" w:rsidP="00583287">
      <w:pPr>
        <w:rPr>
          <w:b/>
          <w:lang w:val="uk-UA"/>
        </w:rPr>
      </w:pPr>
      <w:r w:rsidRPr="00D007A2">
        <w:rPr>
          <w:lang w:val="uk-UA"/>
        </w:rPr>
        <w:t>При тяжких або гострих станах, за винятком випадків відомої ниркової недостатності, дозу можна подвоїти.</w:t>
      </w:r>
      <w:r w:rsidRPr="00D007A2">
        <w:rPr>
          <w:b/>
          <w:lang w:val="uk-UA"/>
        </w:rPr>
        <w:t xml:space="preserve"> </w:t>
      </w:r>
    </w:p>
    <w:p w:rsidR="00583287" w:rsidRPr="00D007A2" w:rsidRDefault="00583287" w:rsidP="00583287">
      <w:pPr>
        <w:ind w:firstLine="567"/>
        <w:jc w:val="both"/>
        <w:rPr>
          <w:b/>
          <w:lang w:val="uk-UA"/>
        </w:rPr>
      </w:pPr>
      <w:r w:rsidRPr="00D007A2">
        <w:rPr>
          <w:b/>
          <w:lang w:val="uk-UA"/>
        </w:rPr>
        <w:t>Протипоказання</w:t>
      </w:r>
    </w:p>
    <w:p w:rsidR="00583287" w:rsidRPr="00D007A2" w:rsidRDefault="00583287" w:rsidP="00583287">
      <w:pPr>
        <w:spacing w:line="259" w:lineRule="exact"/>
        <w:ind w:firstLine="547"/>
        <w:jc w:val="both"/>
        <w:rPr>
          <w:b/>
          <w:spacing w:val="-3"/>
          <w:kern w:val="24"/>
          <w:lang w:val="uk-UA"/>
        </w:rPr>
      </w:pPr>
      <w:r w:rsidRPr="00D007A2">
        <w:rPr>
          <w:lang w:val="uk-UA"/>
        </w:rPr>
        <w:t xml:space="preserve">Не застосовувати тваринам з відомою </w:t>
      </w:r>
      <w:proofErr w:type="spellStart"/>
      <w:r w:rsidRPr="00D007A2">
        <w:rPr>
          <w:lang w:val="uk-UA"/>
        </w:rPr>
        <w:t>гіперчутливістю</w:t>
      </w:r>
      <w:proofErr w:type="spellEnd"/>
      <w:r w:rsidRPr="00D007A2">
        <w:rPr>
          <w:rFonts w:ascii="Arial" w:hAnsi="Arial" w:cs="Arial"/>
          <w:sz w:val="20"/>
          <w:szCs w:val="20"/>
        </w:rPr>
        <w:t> </w:t>
      </w:r>
      <w:r w:rsidRPr="00D007A2">
        <w:rPr>
          <w:lang w:val="uk-UA"/>
        </w:rPr>
        <w:t xml:space="preserve">до </w:t>
      </w:r>
      <w:proofErr w:type="spellStart"/>
      <w:r w:rsidRPr="00D007A2">
        <w:rPr>
          <w:lang w:val="uk-UA"/>
        </w:rPr>
        <w:t>цефалексину</w:t>
      </w:r>
      <w:proofErr w:type="spellEnd"/>
      <w:r w:rsidRPr="00D007A2">
        <w:rPr>
          <w:lang w:val="uk-UA"/>
        </w:rPr>
        <w:t xml:space="preserve"> та інших </w:t>
      </w:r>
      <w:proofErr w:type="spellStart"/>
      <w:r w:rsidRPr="00D007A2">
        <w:rPr>
          <w:lang w:val="uk-UA"/>
        </w:rPr>
        <w:t>цефалоспоринів</w:t>
      </w:r>
      <w:proofErr w:type="spellEnd"/>
      <w:r w:rsidRPr="00D007A2">
        <w:rPr>
          <w:lang w:val="uk-UA"/>
        </w:rPr>
        <w:t xml:space="preserve">, а також до інших речовин групи </w:t>
      </w:r>
      <w:r w:rsidRPr="00D007A2">
        <w:rPr>
          <w:rFonts w:cs="Arial"/>
          <w:lang w:val="uk-UA"/>
        </w:rPr>
        <w:t>β</w:t>
      </w:r>
      <w:r w:rsidRPr="00D007A2">
        <w:rPr>
          <w:lang w:val="uk-UA"/>
        </w:rPr>
        <w:t xml:space="preserve">-лактамів або до будь-якої з допоміжних речовин. </w:t>
      </w:r>
    </w:p>
    <w:p w:rsidR="00583287" w:rsidRPr="00D007A2" w:rsidRDefault="00583287" w:rsidP="00583287">
      <w:pPr>
        <w:spacing w:line="259" w:lineRule="exact"/>
        <w:ind w:left="547"/>
        <w:rPr>
          <w:b/>
          <w:spacing w:val="-3"/>
          <w:kern w:val="24"/>
          <w:lang w:val="uk-UA"/>
        </w:rPr>
      </w:pPr>
      <w:r w:rsidRPr="00D007A2">
        <w:rPr>
          <w:lang w:val="uk-UA"/>
        </w:rPr>
        <w:t xml:space="preserve">Не застосовувати у випадках відомої стійкості до </w:t>
      </w:r>
      <w:proofErr w:type="spellStart"/>
      <w:r w:rsidRPr="00D007A2">
        <w:rPr>
          <w:lang w:val="uk-UA"/>
        </w:rPr>
        <w:t>цефалоспоринів</w:t>
      </w:r>
      <w:proofErr w:type="spellEnd"/>
      <w:r w:rsidRPr="00D007A2">
        <w:rPr>
          <w:lang w:val="uk-UA"/>
        </w:rPr>
        <w:t xml:space="preserve"> або </w:t>
      </w:r>
      <w:proofErr w:type="spellStart"/>
      <w:r w:rsidRPr="00D007A2">
        <w:rPr>
          <w:lang w:val="uk-UA"/>
        </w:rPr>
        <w:t>пеніцилінів</w:t>
      </w:r>
      <w:proofErr w:type="spellEnd"/>
      <w:r w:rsidRPr="00D007A2">
        <w:rPr>
          <w:lang w:val="uk-UA"/>
        </w:rPr>
        <w:t>.</w:t>
      </w:r>
    </w:p>
    <w:p w:rsidR="00583287" w:rsidRPr="00D007A2" w:rsidRDefault="00583287" w:rsidP="00583287">
      <w:pPr>
        <w:spacing w:line="259" w:lineRule="exact"/>
        <w:ind w:right="53" w:firstLine="547"/>
        <w:jc w:val="both"/>
        <w:rPr>
          <w:lang w:val="uk-UA"/>
        </w:rPr>
      </w:pPr>
      <w:r w:rsidRPr="00D007A2">
        <w:rPr>
          <w:lang w:val="uk-UA"/>
        </w:rPr>
        <w:t xml:space="preserve">Не застосовувати кролям, </w:t>
      </w:r>
      <w:proofErr w:type="spellStart"/>
      <w:r w:rsidRPr="00D007A2">
        <w:rPr>
          <w:lang w:val="uk-UA"/>
        </w:rPr>
        <w:t>мурчакам</w:t>
      </w:r>
      <w:proofErr w:type="spellEnd"/>
      <w:r w:rsidRPr="00D007A2">
        <w:rPr>
          <w:lang w:val="uk-UA"/>
        </w:rPr>
        <w:t>, хом’якам і піщанкам.</w:t>
      </w:r>
    </w:p>
    <w:p w:rsidR="00583287" w:rsidRPr="00D007A2" w:rsidRDefault="00583287" w:rsidP="00583287">
      <w:pPr>
        <w:pStyle w:val="ae"/>
        <w:ind w:firstLine="567"/>
        <w:jc w:val="both"/>
        <w:rPr>
          <w:b/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 xml:space="preserve">Не застосовувати одночасно з </w:t>
      </w:r>
      <w:r w:rsidRPr="00D007A2">
        <w:rPr>
          <w:rStyle w:val="FontStyle13"/>
          <w:b w:val="0"/>
          <w:sz w:val="24"/>
          <w:szCs w:val="24"/>
          <w:lang w:val="uk-UA"/>
        </w:rPr>
        <w:t>бактеріостатичними антибіотиками (</w:t>
      </w:r>
      <w:proofErr w:type="spellStart"/>
      <w:r w:rsidRPr="00D007A2">
        <w:rPr>
          <w:rStyle w:val="FontStyle13"/>
          <w:b w:val="0"/>
          <w:sz w:val="24"/>
          <w:szCs w:val="24"/>
          <w:lang w:val="uk-UA"/>
        </w:rPr>
        <w:t>макролідами</w:t>
      </w:r>
      <w:proofErr w:type="spellEnd"/>
      <w:r w:rsidRPr="00D007A2">
        <w:rPr>
          <w:rStyle w:val="FontStyle13"/>
          <w:b w:val="0"/>
          <w:sz w:val="24"/>
          <w:szCs w:val="24"/>
          <w:lang w:val="uk-UA"/>
        </w:rPr>
        <w:t>, тетрациклінами та</w:t>
      </w:r>
      <w:r w:rsidRPr="00D007A2">
        <w:rPr>
          <w:b/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сульфаніламід</w:t>
      </w:r>
      <w:r w:rsidRPr="00D007A2">
        <w:rPr>
          <w:sz w:val="24"/>
          <w:szCs w:val="24"/>
          <w:lang w:val="uk-UA"/>
        </w:rPr>
        <w:t>ами</w:t>
      </w:r>
      <w:proofErr w:type="spellEnd"/>
      <w:r w:rsidRPr="00D007A2">
        <w:rPr>
          <w:rStyle w:val="FontStyle13"/>
          <w:sz w:val="24"/>
          <w:szCs w:val="24"/>
          <w:lang w:val="uk-UA"/>
        </w:rPr>
        <w:t>)</w:t>
      </w:r>
      <w:r w:rsidRPr="00D007A2">
        <w:rPr>
          <w:rStyle w:val="FontStyle13"/>
          <w:b w:val="0"/>
          <w:sz w:val="24"/>
          <w:szCs w:val="24"/>
          <w:lang w:val="uk-UA"/>
        </w:rPr>
        <w:t>.</w:t>
      </w:r>
      <w:r w:rsidRPr="00D007A2">
        <w:rPr>
          <w:b/>
          <w:sz w:val="24"/>
          <w:szCs w:val="24"/>
          <w:lang w:val="uk-UA"/>
        </w:rPr>
        <w:t xml:space="preserve"> </w:t>
      </w:r>
    </w:p>
    <w:p w:rsidR="00583287" w:rsidRPr="00D007A2" w:rsidRDefault="00583287" w:rsidP="00583287">
      <w:pPr>
        <w:ind w:firstLine="567"/>
        <w:jc w:val="both"/>
        <w:rPr>
          <w:lang w:val="uk-UA"/>
        </w:rPr>
      </w:pPr>
      <w:r w:rsidRPr="00D007A2">
        <w:rPr>
          <w:lang w:val="uk-UA"/>
        </w:rPr>
        <w:t>Не застосовувати препарат цуценятам з масою тіла менше 1 кг.</w:t>
      </w:r>
    </w:p>
    <w:p w:rsidR="00583287" w:rsidRPr="00D007A2" w:rsidRDefault="00583287" w:rsidP="00583287">
      <w:pPr>
        <w:ind w:firstLine="567"/>
        <w:jc w:val="both"/>
        <w:rPr>
          <w:b/>
          <w:lang w:val="uk-UA"/>
        </w:rPr>
      </w:pPr>
      <w:r w:rsidRPr="00D007A2">
        <w:rPr>
          <w:b/>
          <w:lang w:val="uk-UA"/>
        </w:rPr>
        <w:t xml:space="preserve">Застереження </w:t>
      </w:r>
    </w:p>
    <w:p w:rsidR="00583287" w:rsidRPr="00D007A2" w:rsidRDefault="00583287" w:rsidP="00583287">
      <w:pPr>
        <w:ind w:left="547"/>
        <w:rPr>
          <w:bCs/>
          <w:i/>
          <w:spacing w:val="-4"/>
          <w:lang w:val="uk-UA"/>
        </w:rPr>
      </w:pPr>
      <w:r w:rsidRPr="00D007A2">
        <w:rPr>
          <w:bCs/>
          <w:i/>
          <w:spacing w:val="-4"/>
          <w:lang w:val="uk-UA"/>
        </w:rPr>
        <w:t>Побічна дія</w:t>
      </w:r>
    </w:p>
    <w:p w:rsidR="00583287" w:rsidRPr="00D007A2" w:rsidRDefault="00583287" w:rsidP="00583287">
      <w:pPr>
        <w:ind w:firstLine="547"/>
        <w:rPr>
          <w:lang w:val="uk-UA"/>
        </w:rPr>
      </w:pPr>
      <w:r w:rsidRPr="00D007A2">
        <w:rPr>
          <w:lang w:val="uk-UA"/>
        </w:rPr>
        <w:t xml:space="preserve">У рідкісних випадках може виникнути </w:t>
      </w:r>
      <w:proofErr w:type="spellStart"/>
      <w:r w:rsidRPr="00D007A2">
        <w:rPr>
          <w:lang w:val="uk-UA"/>
        </w:rPr>
        <w:t>гіперчутливість</w:t>
      </w:r>
      <w:proofErr w:type="spellEnd"/>
      <w:r w:rsidRPr="00D007A2">
        <w:rPr>
          <w:lang w:val="uk-UA"/>
        </w:rPr>
        <w:t>.</w:t>
      </w:r>
    </w:p>
    <w:p w:rsidR="00583287" w:rsidRPr="00D007A2" w:rsidRDefault="00583287" w:rsidP="00583287">
      <w:pPr>
        <w:ind w:firstLine="547"/>
        <w:rPr>
          <w:lang w:val="uk-UA"/>
        </w:rPr>
      </w:pPr>
      <w:r w:rsidRPr="00D007A2">
        <w:rPr>
          <w:lang w:val="uk-UA"/>
        </w:rPr>
        <w:t xml:space="preserve">У разі розвитку реакцій </w:t>
      </w:r>
      <w:proofErr w:type="spellStart"/>
      <w:r w:rsidRPr="00D007A2">
        <w:rPr>
          <w:lang w:val="uk-UA"/>
        </w:rPr>
        <w:t>гіперчутливості</w:t>
      </w:r>
      <w:proofErr w:type="spellEnd"/>
      <w:r w:rsidRPr="00D007A2">
        <w:rPr>
          <w:lang w:val="uk-UA"/>
        </w:rPr>
        <w:t xml:space="preserve"> лікування слід припинити.</w:t>
      </w:r>
    </w:p>
    <w:p w:rsidR="00583287" w:rsidRPr="00D007A2" w:rsidRDefault="00583287" w:rsidP="00583287">
      <w:pPr>
        <w:ind w:left="547"/>
        <w:rPr>
          <w:lang w:val="uk-UA"/>
        </w:rPr>
      </w:pPr>
      <w:r w:rsidRPr="00D007A2">
        <w:rPr>
          <w:lang w:val="uk-UA"/>
        </w:rPr>
        <w:t>У дуже рідкісних випадках у деяких собак після перорального прийому спостерігалася нудота, блювання та/або діарея.</w:t>
      </w:r>
    </w:p>
    <w:p w:rsidR="00583287" w:rsidRPr="00D007A2" w:rsidRDefault="00583287" w:rsidP="00583287">
      <w:pPr>
        <w:pStyle w:val="ab"/>
        <w:ind w:firstLine="567"/>
        <w:rPr>
          <w:bCs/>
          <w:i/>
          <w:spacing w:val="-4"/>
          <w:sz w:val="24"/>
          <w:szCs w:val="24"/>
          <w:lang w:val="uk-UA"/>
        </w:rPr>
      </w:pPr>
      <w:r w:rsidRPr="00D007A2">
        <w:rPr>
          <w:bCs/>
          <w:i/>
          <w:spacing w:val="-4"/>
          <w:sz w:val="24"/>
          <w:szCs w:val="24"/>
          <w:lang w:val="uk-UA"/>
        </w:rPr>
        <w:t>Особливості застереження при використанні</w:t>
      </w:r>
    </w:p>
    <w:p w:rsidR="00F86AE0" w:rsidRPr="00D007A2" w:rsidRDefault="00F86AE0" w:rsidP="00F86AE0">
      <w:pPr>
        <w:pStyle w:val="ae"/>
        <w:ind w:firstLineChars="236" w:firstLine="566"/>
        <w:jc w:val="both"/>
        <w:rPr>
          <w:rFonts w:ascii="Arial" w:hAnsi="Arial" w:cs="Arial"/>
          <w:lang w:val="uk-UA"/>
        </w:rPr>
      </w:pPr>
      <w:r w:rsidRPr="00D007A2">
        <w:rPr>
          <w:sz w:val="24"/>
          <w:szCs w:val="24"/>
          <w:lang w:val="uk-UA"/>
        </w:rPr>
        <w:t xml:space="preserve">Застосування антибіотиків системної дії порівняно з альтернативою без антибіотиків для лікування поверхневої піодермії має бути ретельно розглянуто лікарем ветеринарної медицини. Як і у випадку з іншими антибіотиками, які виводяться переважно нирками, при порушенні функції нирок у тварин може відбуватися системне накопичення в організмі. У разі відомої ниркової недостатності дозу слід зменшити та не застосовувати одночасно з </w:t>
      </w:r>
      <w:proofErr w:type="spellStart"/>
      <w:r w:rsidRPr="00D007A2">
        <w:rPr>
          <w:sz w:val="24"/>
          <w:szCs w:val="24"/>
          <w:lang w:val="uk-UA"/>
        </w:rPr>
        <w:t>нефротоксичними</w:t>
      </w:r>
      <w:proofErr w:type="spellEnd"/>
      <w:r w:rsidRPr="00D007A2">
        <w:rPr>
          <w:sz w:val="24"/>
          <w:szCs w:val="24"/>
          <w:lang w:val="uk-UA"/>
        </w:rPr>
        <w:t xml:space="preserve"> протимікробними лікарськими  засобами. Не застосовувати препарат цуценятам з масою тіла менше 1 кг.</w:t>
      </w:r>
      <w:r w:rsidRPr="00D007A2">
        <w:rPr>
          <w:rFonts w:ascii="Arial" w:hAnsi="Arial" w:cs="Arial"/>
        </w:rPr>
        <w:t xml:space="preserve"> </w:t>
      </w:r>
    </w:p>
    <w:p w:rsidR="00F86AE0" w:rsidRPr="00D007A2" w:rsidRDefault="00F86AE0" w:rsidP="00F86AE0">
      <w:pPr>
        <w:pStyle w:val="ae"/>
        <w:ind w:firstLineChars="236" w:firstLine="566"/>
        <w:jc w:val="both"/>
        <w:rPr>
          <w:sz w:val="24"/>
          <w:szCs w:val="24"/>
          <w:lang w:val="uk-UA"/>
        </w:rPr>
      </w:pPr>
      <w:proofErr w:type="spellStart"/>
      <w:r w:rsidRPr="00D007A2">
        <w:rPr>
          <w:sz w:val="24"/>
          <w:szCs w:val="24"/>
        </w:rPr>
        <w:t>Використання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препарату</w:t>
      </w:r>
      <w:r w:rsidRPr="00D007A2">
        <w:rPr>
          <w:sz w:val="24"/>
          <w:szCs w:val="24"/>
        </w:rPr>
        <w:t xml:space="preserve"> повинно </w:t>
      </w:r>
      <w:r w:rsidRPr="00D007A2">
        <w:rPr>
          <w:sz w:val="24"/>
          <w:szCs w:val="24"/>
          <w:lang w:val="uk-UA"/>
        </w:rPr>
        <w:t>базуватись</w:t>
      </w:r>
      <w:r w:rsidRPr="00D007A2">
        <w:rPr>
          <w:sz w:val="24"/>
          <w:szCs w:val="24"/>
        </w:rPr>
        <w:t xml:space="preserve"> на </w:t>
      </w:r>
      <w:proofErr w:type="spellStart"/>
      <w:r w:rsidRPr="00D007A2">
        <w:rPr>
          <w:sz w:val="24"/>
          <w:szCs w:val="24"/>
        </w:rPr>
        <w:t>тестуванні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чутлив</w:t>
      </w:r>
      <w:proofErr w:type="spellEnd"/>
      <w:r w:rsidRPr="00D007A2">
        <w:rPr>
          <w:sz w:val="24"/>
          <w:szCs w:val="24"/>
          <w:lang w:val="uk-UA"/>
        </w:rPr>
        <w:t>ості</w:t>
      </w:r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бактерій</w:t>
      </w:r>
      <w:proofErr w:type="spellEnd"/>
      <w:r w:rsidRPr="00D007A2">
        <w:rPr>
          <w:sz w:val="24"/>
          <w:szCs w:val="24"/>
        </w:rPr>
        <w:t xml:space="preserve">, </w:t>
      </w:r>
      <w:proofErr w:type="spellStart"/>
      <w:r w:rsidRPr="00D007A2">
        <w:rPr>
          <w:sz w:val="24"/>
          <w:szCs w:val="24"/>
        </w:rPr>
        <w:t>виділених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 xml:space="preserve">від хворих </w:t>
      </w:r>
      <w:proofErr w:type="spellStart"/>
      <w:r w:rsidRPr="00D007A2">
        <w:rPr>
          <w:sz w:val="24"/>
          <w:szCs w:val="24"/>
        </w:rPr>
        <w:t>тварини</w:t>
      </w:r>
      <w:proofErr w:type="spellEnd"/>
      <w:r w:rsidRPr="00D007A2">
        <w:rPr>
          <w:sz w:val="24"/>
          <w:szCs w:val="24"/>
          <w:lang w:val="uk-UA"/>
        </w:rPr>
        <w:t xml:space="preserve">, до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</w:rPr>
        <w:t xml:space="preserve">. </w:t>
      </w:r>
      <w:proofErr w:type="spellStart"/>
      <w:r w:rsidRPr="00D007A2">
        <w:rPr>
          <w:sz w:val="24"/>
          <w:szCs w:val="24"/>
        </w:rPr>
        <w:t>Якщо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це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неможливо</w:t>
      </w:r>
      <w:proofErr w:type="spellEnd"/>
      <w:r w:rsidRPr="00D007A2">
        <w:rPr>
          <w:sz w:val="24"/>
          <w:szCs w:val="24"/>
        </w:rPr>
        <w:t xml:space="preserve">, </w:t>
      </w:r>
      <w:proofErr w:type="spellStart"/>
      <w:r w:rsidRPr="00D007A2">
        <w:rPr>
          <w:sz w:val="24"/>
          <w:szCs w:val="24"/>
        </w:rPr>
        <w:t>лікування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має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ґрунтуватися</w:t>
      </w:r>
      <w:proofErr w:type="spellEnd"/>
      <w:r w:rsidRPr="00D007A2">
        <w:rPr>
          <w:sz w:val="24"/>
          <w:szCs w:val="24"/>
        </w:rPr>
        <w:t xml:space="preserve"> на </w:t>
      </w:r>
      <w:proofErr w:type="spellStart"/>
      <w:r w:rsidRPr="00D007A2">
        <w:rPr>
          <w:sz w:val="24"/>
          <w:szCs w:val="24"/>
        </w:rPr>
        <w:t>місцевій</w:t>
      </w:r>
      <w:proofErr w:type="spellEnd"/>
      <w:r w:rsidRPr="00D007A2">
        <w:rPr>
          <w:sz w:val="24"/>
          <w:szCs w:val="24"/>
        </w:rPr>
        <w:t xml:space="preserve"> </w:t>
      </w:r>
      <w:proofErr w:type="gramStart"/>
      <w:r w:rsidRPr="00D007A2">
        <w:rPr>
          <w:sz w:val="24"/>
          <w:szCs w:val="24"/>
        </w:rPr>
        <w:t>е</w:t>
      </w:r>
      <w:proofErr w:type="spellStart"/>
      <w:r w:rsidRPr="00D007A2">
        <w:rPr>
          <w:sz w:val="24"/>
          <w:szCs w:val="24"/>
          <w:lang w:val="uk-UA"/>
        </w:rPr>
        <w:t>п</w:t>
      </w:r>
      <w:proofErr w:type="gramEnd"/>
      <w:r w:rsidRPr="00D007A2">
        <w:rPr>
          <w:sz w:val="24"/>
          <w:szCs w:val="24"/>
          <w:lang w:val="uk-UA"/>
        </w:rPr>
        <w:t>ізоотичній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інформації</w:t>
      </w:r>
      <w:proofErr w:type="spellEnd"/>
      <w:r w:rsidRPr="00D007A2">
        <w:rPr>
          <w:sz w:val="24"/>
          <w:szCs w:val="24"/>
        </w:rPr>
        <w:t xml:space="preserve"> про </w:t>
      </w:r>
      <w:proofErr w:type="spellStart"/>
      <w:r w:rsidRPr="00D007A2">
        <w:rPr>
          <w:sz w:val="24"/>
          <w:szCs w:val="24"/>
        </w:rPr>
        <w:t>чутливість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цільових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бактерій</w:t>
      </w:r>
      <w:proofErr w:type="spellEnd"/>
      <w:r w:rsidRPr="00D007A2">
        <w:rPr>
          <w:sz w:val="24"/>
          <w:szCs w:val="24"/>
        </w:rPr>
        <w:t xml:space="preserve"> (на </w:t>
      </w:r>
      <w:proofErr w:type="spellStart"/>
      <w:r w:rsidRPr="00D007A2">
        <w:rPr>
          <w:sz w:val="24"/>
          <w:szCs w:val="24"/>
        </w:rPr>
        <w:t>регіональному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рівні</w:t>
      </w:r>
      <w:proofErr w:type="spellEnd"/>
      <w:r w:rsidRPr="00D007A2">
        <w:rPr>
          <w:sz w:val="24"/>
          <w:szCs w:val="24"/>
        </w:rPr>
        <w:t xml:space="preserve">, </w:t>
      </w:r>
      <w:proofErr w:type="spellStart"/>
      <w:r w:rsidRPr="00D007A2">
        <w:rPr>
          <w:sz w:val="24"/>
          <w:szCs w:val="24"/>
        </w:rPr>
        <w:t>рівні</w:t>
      </w:r>
      <w:proofErr w:type="spell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ветеринарної клініки</w:t>
      </w:r>
      <w:r w:rsidRPr="00D007A2">
        <w:rPr>
          <w:sz w:val="24"/>
          <w:szCs w:val="24"/>
        </w:rPr>
        <w:t>).</w:t>
      </w:r>
      <w:r w:rsidRPr="00D007A2">
        <w:rPr>
          <w:sz w:val="24"/>
          <w:szCs w:val="24"/>
          <w:lang w:val="uk-UA"/>
        </w:rPr>
        <w:t xml:space="preserve"> Використання препарату з відхиленням від рекомендацій КХП може збільшити поширеність штамів бактерій, стійких до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, і може знизити ефективність лікування іншими </w:t>
      </w:r>
      <w:proofErr w:type="spellStart"/>
      <w:r w:rsidRPr="00D007A2">
        <w:rPr>
          <w:sz w:val="24"/>
          <w:szCs w:val="24"/>
          <w:lang w:val="uk-UA"/>
        </w:rPr>
        <w:t>цефалоспоринами</w:t>
      </w:r>
      <w:proofErr w:type="spellEnd"/>
      <w:r w:rsidRPr="00D007A2">
        <w:rPr>
          <w:sz w:val="24"/>
          <w:szCs w:val="24"/>
          <w:lang w:val="uk-UA"/>
        </w:rPr>
        <w:t xml:space="preserve"> та </w:t>
      </w:r>
      <w:proofErr w:type="spellStart"/>
      <w:r w:rsidRPr="00D007A2">
        <w:rPr>
          <w:sz w:val="24"/>
          <w:szCs w:val="24"/>
          <w:lang w:val="uk-UA"/>
        </w:rPr>
        <w:t>пеніцилінами</w:t>
      </w:r>
      <w:proofErr w:type="spellEnd"/>
      <w:r w:rsidRPr="00D007A2">
        <w:rPr>
          <w:sz w:val="24"/>
          <w:szCs w:val="24"/>
          <w:lang w:val="uk-UA"/>
        </w:rPr>
        <w:t xml:space="preserve"> через можливу перехресну резистентність. </w:t>
      </w:r>
      <w:proofErr w:type="spellStart"/>
      <w:r w:rsidRPr="00D007A2">
        <w:rPr>
          <w:rStyle w:val="af0"/>
          <w:sz w:val="24"/>
          <w:szCs w:val="24"/>
        </w:rPr>
        <w:t>Pseudomonas</w:t>
      </w:r>
      <w:proofErr w:type="spellEnd"/>
      <w:r w:rsidRPr="00D007A2">
        <w:rPr>
          <w:rStyle w:val="af0"/>
          <w:sz w:val="24"/>
          <w:szCs w:val="24"/>
          <w:lang w:val="uk-UA"/>
        </w:rPr>
        <w:t xml:space="preserve"> </w:t>
      </w:r>
      <w:proofErr w:type="spellStart"/>
      <w:r w:rsidRPr="00D007A2">
        <w:rPr>
          <w:rStyle w:val="af0"/>
          <w:sz w:val="24"/>
          <w:szCs w:val="24"/>
        </w:rPr>
        <w:t>aeruginosa</w:t>
      </w:r>
      <w:proofErr w:type="spellEnd"/>
      <w:r w:rsidRPr="00D007A2">
        <w:rPr>
          <w:sz w:val="24"/>
          <w:szCs w:val="24"/>
          <w:lang w:val="uk-UA"/>
        </w:rPr>
        <w:t xml:space="preserve"> відома своєю </w:t>
      </w:r>
      <w:proofErr w:type="gramStart"/>
      <w:r w:rsidRPr="00D007A2">
        <w:rPr>
          <w:sz w:val="24"/>
          <w:szCs w:val="24"/>
          <w:lang w:val="uk-UA"/>
        </w:rPr>
        <w:t>ст</w:t>
      </w:r>
      <w:proofErr w:type="gramEnd"/>
      <w:r w:rsidRPr="00D007A2">
        <w:rPr>
          <w:sz w:val="24"/>
          <w:szCs w:val="24"/>
          <w:lang w:val="uk-UA"/>
        </w:rPr>
        <w:t xml:space="preserve">ійкістю до </w:t>
      </w:r>
      <w:proofErr w:type="spellStart"/>
      <w:r w:rsidRPr="00D007A2">
        <w:rPr>
          <w:sz w:val="24"/>
          <w:szCs w:val="24"/>
          <w:lang w:val="uk-UA"/>
        </w:rPr>
        <w:t>цефалексину</w:t>
      </w:r>
      <w:proofErr w:type="spellEnd"/>
      <w:r w:rsidRPr="00D007A2">
        <w:rPr>
          <w:sz w:val="24"/>
          <w:szCs w:val="24"/>
          <w:lang w:val="uk-UA"/>
        </w:rPr>
        <w:t xml:space="preserve">. </w:t>
      </w:r>
    </w:p>
    <w:p w:rsidR="00F86AE0" w:rsidRPr="00D007A2" w:rsidRDefault="00F86AE0" w:rsidP="00F86AE0">
      <w:pPr>
        <w:pStyle w:val="ab"/>
        <w:rPr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>Таблетки ароматизовані,  тому  щоб уникнути випадкового проковтування препарату тваринами, зберігайте таблетки в недоступному для тварин місці.</w:t>
      </w:r>
    </w:p>
    <w:p w:rsidR="00F86AE0" w:rsidRPr="00D007A2" w:rsidRDefault="00F86AE0" w:rsidP="00F86AE0">
      <w:pPr>
        <w:pStyle w:val="ab"/>
        <w:rPr>
          <w:i/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ab/>
      </w:r>
      <w:r w:rsidRPr="00D007A2">
        <w:rPr>
          <w:bCs/>
          <w:i/>
          <w:spacing w:val="-7"/>
          <w:sz w:val="24"/>
          <w:szCs w:val="24"/>
          <w:lang w:val="uk-UA"/>
        </w:rPr>
        <w:t>Застосування під час вагітності і лактації</w:t>
      </w:r>
    </w:p>
    <w:p w:rsidR="00F86AE0" w:rsidRPr="00D007A2" w:rsidRDefault="00F86AE0" w:rsidP="00F86AE0">
      <w:pPr>
        <w:pStyle w:val="ab"/>
        <w:ind w:firstLine="567"/>
        <w:jc w:val="both"/>
        <w:rPr>
          <w:sz w:val="24"/>
          <w:szCs w:val="24"/>
        </w:rPr>
      </w:pPr>
      <w:proofErr w:type="spellStart"/>
      <w:r w:rsidRPr="00D007A2">
        <w:rPr>
          <w:sz w:val="24"/>
          <w:szCs w:val="24"/>
        </w:rPr>
        <w:t>Безпека</w:t>
      </w:r>
      <w:proofErr w:type="spellEnd"/>
      <w:r w:rsidRPr="00D007A2">
        <w:rPr>
          <w:sz w:val="24"/>
          <w:szCs w:val="24"/>
        </w:rPr>
        <w:t xml:space="preserve"> </w:t>
      </w:r>
      <w:proofErr w:type="gramStart"/>
      <w:r w:rsidRPr="00D007A2">
        <w:rPr>
          <w:sz w:val="24"/>
          <w:szCs w:val="24"/>
        </w:rPr>
        <w:t>ветеринарного</w:t>
      </w:r>
      <w:proofErr w:type="gramEnd"/>
      <w:r w:rsidRPr="00D007A2">
        <w:rPr>
          <w:sz w:val="24"/>
          <w:szCs w:val="24"/>
        </w:rPr>
        <w:t xml:space="preserve"> </w:t>
      </w:r>
      <w:r w:rsidRPr="00D007A2">
        <w:rPr>
          <w:sz w:val="24"/>
          <w:szCs w:val="24"/>
          <w:lang w:val="uk-UA"/>
        </w:rPr>
        <w:t>лікарського засобу</w:t>
      </w:r>
      <w:r w:rsidRPr="00D007A2">
        <w:rPr>
          <w:sz w:val="24"/>
          <w:szCs w:val="24"/>
        </w:rPr>
        <w:t xml:space="preserve"> для </w:t>
      </w:r>
      <w:r w:rsidRPr="00D007A2">
        <w:rPr>
          <w:sz w:val="24"/>
          <w:szCs w:val="24"/>
          <w:lang w:val="uk-UA"/>
        </w:rPr>
        <w:t>собак у період вагітності та лактації</w:t>
      </w:r>
      <w:r w:rsidRPr="00D007A2">
        <w:rPr>
          <w:sz w:val="24"/>
          <w:szCs w:val="24"/>
        </w:rPr>
        <w:t xml:space="preserve"> не </w:t>
      </w:r>
      <w:proofErr w:type="spellStart"/>
      <w:r w:rsidRPr="00D007A2">
        <w:rPr>
          <w:sz w:val="24"/>
          <w:szCs w:val="24"/>
        </w:rPr>
        <w:t>встановлена</w:t>
      </w:r>
      <w:proofErr w:type="spellEnd"/>
      <w:r w:rsidRPr="00D007A2">
        <w:rPr>
          <w:sz w:val="24"/>
          <w:szCs w:val="24"/>
        </w:rPr>
        <w:t>.</w:t>
      </w:r>
    </w:p>
    <w:p w:rsidR="00F86AE0" w:rsidRPr="00D007A2" w:rsidRDefault="00F86AE0" w:rsidP="00F86AE0">
      <w:pPr>
        <w:pStyle w:val="ab"/>
        <w:ind w:firstLine="567"/>
        <w:jc w:val="both"/>
        <w:rPr>
          <w:sz w:val="24"/>
          <w:szCs w:val="24"/>
          <w:lang w:val="uk-UA"/>
        </w:rPr>
      </w:pPr>
      <w:proofErr w:type="spellStart"/>
      <w:r w:rsidRPr="00D007A2">
        <w:rPr>
          <w:sz w:val="24"/>
          <w:szCs w:val="24"/>
        </w:rPr>
        <w:t>Лабораторні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proofErr w:type="gramStart"/>
      <w:r w:rsidRPr="00D007A2">
        <w:rPr>
          <w:sz w:val="24"/>
          <w:szCs w:val="24"/>
        </w:rPr>
        <w:t>досл</w:t>
      </w:r>
      <w:proofErr w:type="gramEnd"/>
      <w:r w:rsidRPr="00D007A2">
        <w:rPr>
          <w:sz w:val="24"/>
          <w:szCs w:val="24"/>
        </w:rPr>
        <w:t>ідження</w:t>
      </w:r>
      <w:proofErr w:type="spellEnd"/>
      <w:r w:rsidRPr="00D007A2">
        <w:rPr>
          <w:sz w:val="24"/>
          <w:szCs w:val="24"/>
        </w:rPr>
        <w:t xml:space="preserve"> не </w:t>
      </w:r>
      <w:proofErr w:type="spellStart"/>
      <w:r w:rsidRPr="00D007A2">
        <w:rPr>
          <w:sz w:val="24"/>
          <w:szCs w:val="24"/>
        </w:rPr>
        <w:t>продемонстрували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жодного</w:t>
      </w:r>
      <w:proofErr w:type="spellEnd"/>
      <w:r w:rsidRPr="00D007A2">
        <w:rPr>
          <w:sz w:val="24"/>
          <w:szCs w:val="24"/>
        </w:rPr>
        <w:t xml:space="preserve"> тератогенного </w:t>
      </w:r>
      <w:proofErr w:type="spellStart"/>
      <w:r w:rsidRPr="00D007A2">
        <w:rPr>
          <w:sz w:val="24"/>
          <w:szCs w:val="24"/>
        </w:rPr>
        <w:t>ефекту</w:t>
      </w:r>
      <w:proofErr w:type="spellEnd"/>
      <w:r w:rsidRPr="00D007A2">
        <w:rPr>
          <w:sz w:val="24"/>
          <w:szCs w:val="24"/>
        </w:rPr>
        <w:t xml:space="preserve"> у </w:t>
      </w:r>
      <w:proofErr w:type="spellStart"/>
      <w:r w:rsidRPr="00D007A2">
        <w:rPr>
          <w:sz w:val="24"/>
          <w:szCs w:val="24"/>
        </w:rPr>
        <w:t>мишей</w:t>
      </w:r>
      <w:proofErr w:type="spellEnd"/>
      <w:r w:rsidRPr="00D007A2">
        <w:rPr>
          <w:sz w:val="24"/>
          <w:szCs w:val="24"/>
        </w:rPr>
        <w:t xml:space="preserve"> (</w:t>
      </w:r>
      <w:r w:rsidRPr="00D007A2">
        <w:rPr>
          <w:sz w:val="24"/>
          <w:szCs w:val="24"/>
          <w:lang w:val="uk-UA"/>
        </w:rPr>
        <w:t xml:space="preserve">за дози </w:t>
      </w:r>
      <w:r w:rsidRPr="00D007A2">
        <w:rPr>
          <w:sz w:val="24"/>
          <w:szCs w:val="24"/>
        </w:rPr>
        <w:t xml:space="preserve">до 400 мг </w:t>
      </w:r>
      <w:proofErr w:type="spellStart"/>
      <w:r w:rsidRPr="00D007A2">
        <w:rPr>
          <w:sz w:val="24"/>
          <w:szCs w:val="24"/>
        </w:rPr>
        <w:t>цефалексину</w:t>
      </w:r>
      <w:proofErr w:type="spellEnd"/>
      <w:r w:rsidRPr="00D007A2">
        <w:rPr>
          <w:sz w:val="24"/>
          <w:szCs w:val="24"/>
        </w:rPr>
        <w:t xml:space="preserve">/кг </w:t>
      </w:r>
      <w:proofErr w:type="spellStart"/>
      <w:r w:rsidRPr="00D007A2">
        <w:rPr>
          <w:sz w:val="24"/>
          <w:szCs w:val="24"/>
        </w:rPr>
        <w:t>маси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тіла</w:t>
      </w:r>
      <w:proofErr w:type="spellEnd"/>
      <w:r w:rsidRPr="00D007A2">
        <w:rPr>
          <w:sz w:val="24"/>
          <w:szCs w:val="24"/>
        </w:rPr>
        <w:t>/</w:t>
      </w:r>
      <w:proofErr w:type="spellStart"/>
      <w:r w:rsidRPr="00D007A2">
        <w:rPr>
          <w:sz w:val="24"/>
          <w:szCs w:val="24"/>
        </w:rPr>
        <w:t>добу</w:t>
      </w:r>
      <w:proofErr w:type="spellEnd"/>
      <w:r w:rsidRPr="00D007A2">
        <w:rPr>
          <w:sz w:val="24"/>
          <w:szCs w:val="24"/>
        </w:rPr>
        <w:t xml:space="preserve">) та </w:t>
      </w:r>
      <w:proofErr w:type="spellStart"/>
      <w:r w:rsidRPr="00D007A2">
        <w:rPr>
          <w:sz w:val="24"/>
          <w:szCs w:val="24"/>
        </w:rPr>
        <w:t>щурів</w:t>
      </w:r>
      <w:proofErr w:type="spellEnd"/>
      <w:r w:rsidRPr="00D007A2">
        <w:rPr>
          <w:sz w:val="24"/>
          <w:szCs w:val="24"/>
        </w:rPr>
        <w:t xml:space="preserve"> (</w:t>
      </w:r>
      <w:r w:rsidRPr="00D007A2">
        <w:rPr>
          <w:sz w:val="24"/>
          <w:szCs w:val="24"/>
          <w:lang w:val="uk-UA"/>
        </w:rPr>
        <w:t xml:space="preserve">за дози </w:t>
      </w:r>
      <w:r w:rsidRPr="00D007A2">
        <w:rPr>
          <w:sz w:val="24"/>
          <w:szCs w:val="24"/>
        </w:rPr>
        <w:t xml:space="preserve">до 1200 мг </w:t>
      </w:r>
      <w:proofErr w:type="spellStart"/>
      <w:r w:rsidRPr="00D007A2">
        <w:rPr>
          <w:sz w:val="24"/>
          <w:szCs w:val="24"/>
        </w:rPr>
        <w:t>цефалексину</w:t>
      </w:r>
      <w:proofErr w:type="spellEnd"/>
      <w:r w:rsidRPr="00D007A2">
        <w:rPr>
          <w:sz w:val="24"/>
          <w:szCs w:val="24"/>
        </w:rPr>
        <w:t xml:space="preserve">/кг </w:t>
      </w:r>
      <w:proofErr w:type="spellStart"/>
      <w:r w:rsidRPr="00D007A2">
        <w:rPr>
          <w:sz w:val="24"/>
          <w:szCs w:val="24"/>
        </w:rPr>
        <w:t>маси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тіла</w:t>
      </w:r>
      <w:proofErr w:type="spellEnd"/>
      <w:r w:rsidRPr="00D007A2">
        <w:rPr>
          <w:sz w:val="24"/>
          <w:szCs w:val="24"/>
        </w:rPr>
        <w:t>/</w:t>
      </w:r>
      <w:proofErr w:type="spellStart"/>
      <w:r w:rsidRPr="00D007A2">
        <w:rPr>
          <w:sz w:val="24"/>
          <w:szCs w:val="24"/>
        </w:rPr>
        <w:t>добу</w:t>
      </w:r>
      <w:proofErr w:type="spellEnd"/>
      <w:r w:rsidRPr="00D007A2">
        <w:rPr>
          <w:sz w:val="24"/>
          <w:szCs w:val="24"/>
        </w:rPr>
        <w:t xml:space="preserve">). У </w:t>
      </w:r>
      <w:proofErr w:type="spellStart"/>
      <w:r w:rsidRPr="00D007A2">
        <w:rPr>
          <w:sz w:val="24"/>
          <w:szCs w:val="24"/>
        </w:rPr>
        <w:t>мишей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токсичні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ефекти</w:t>
      </w:r>
      <w:proofErr w:type="spellEnd"/>
      <w:r w:rsidRPr="00D007A2">
        <w:rPr>
          <w:sz w:val="24"/>
          <w:szCs w:val="24"/>
        </w:rPr>
        <w:t xml:space="preserve"> для </w:t>
      </w:r>
      <w:proofErr w:type="spellStart"/>
      <w:r w:rsidRPr="00D007A2">
        <w:rPr>
          <w:sz w:val="24"/>
          <w:szCs w:val="24"/>
        </w:rPr>
        <w:t>матері</w:t>
      </w:r>
      <w:proofErr w:type="spellEnd"/>
      <w:r w:rsidRPr="00D007A2">
        <w:rPr>
          <w:sz w:val="24"/>
          <w:szCs w:val="24"/>
        </w:rPr>
        <w:t xml:space="preserve"> та </w:t>
      </w:r>
      <w:proofErr w:type="spellStart"/>
      <w:r w:rsidRPr="00D007A2">
        <w:rPr>
          <w:sz w:val="24"/>
          <w:szCs w:val="24"/>
        </w:rPr>
        <w:t>фетотоксичність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спостерігалися</w:t>
      </w:r>
      <w:proofErr w:type="spellEnd"/>
      <w:r w:rsidRPr="00D007A2">
        <w:rPr>
          <w:sz w:val="24"/>
          <w:szCs w:val="24"/>
        </w:rPr>
        <w:t xml:space="preserve"> при </w:t>
      </w:r>
      <w:proofErr w:type="spellStart"/>
      <w:r w:rsidRPr="00D007A2">
        <w:rPr>
          <w:sz w:val="24"/>
          <w:szCs w:val="24"/>
        </w:rPr>
        <w:t>найнижчій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випробуваній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дозі</w:t>
      </w:r>
      <w:proofErr w:type="spellEnd"/>
      <w:r w:rsidRPr="00D007A2">
        <w:rPr>
          <w:sz w:val="24"/>
          <w:szCs w:val="24"/>
        </w:rPr>
        <w:t xml:space="preserve"> (100 мг </w:t>
      </w:r>
      <w:proofErr w:type="spellStart"/>
      <w:r w:rsidRPr="00D007A2">
        <w:rPr>
          <w:sz w:val="24"/>
          <w:szCs w:val="24"/>
        </w:rPr>
        <w:t>цефалексину</w:t>
      </w:r>
      <w:proofErr w:type="spellEnd"/>
      <w:r w:rsidRPr="00D007A2">
        <w:rPr>
          <w:sz w:val="24"/>
          <w:szCs w:val="24"/>
        </w:rPr>
        <w:t xml:space="preserve">/кг </w:t>
      </w:r>
      <w:proofErr w:type="spellStart"/>
      <w:r w:rsidRPr="00D007A2">
        <w:rPr>
          <w:sz w:val="24"/>
          <w:szCs w:val="24"/>
        </w:rPr>
        <w:t>маси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proofErr w:type="gramStart"/>
      <w:r w:rsidRPr="00D007A2">
        <w:rPr>
          <w:sz w:val="24"/>
          <w:szCs w:val="24"/>
        </w:rPr>
        <w:t>тіла</w:t>
      </w:r>
      <w:proofErr w:type="spellEnd"/>
      <w:proofErr w:type="gramEnd"/>
      <w:r w:rsidRPr="00D007A2">
        <w:rPr>
          <w:sz w:val="24"/>
          <w:szCs w:val="24"/>
        </w:rPr>
        <w:t>/</w:t>
      </w:r>
      <w:r w:rsidRPr="00D007A2">
        <w:rPr>
          <w:sz w:val="24"/>
          <w:szCs w:val="24"/>
          <w:lang w:val="uk-UA"/>
        </w:rPr>
        <w:t>добу</w:t>
      </w:r>
      <w:r w:rsidRPr="00D007A2">
        <w:rPr>
          <w:sz w:val="24"/>
          <w:szCs w:val="24"/>
        </w:rPr>
        <w:t xml:space="preserve">). У </w:t>
      </w:r>
      <w:proofErr w:type="spellStart"/>
      <w:r w:rsidRPr="00D007A2">
        <w:rPr>
          <w:sz w:val="24"/>
          <w:szCs w:val="24"/>
        </w:rPr>
        <w:t>щурів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фетотоксичність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спостерігалася</w:t>
      </w:r>
      <w:proofErr w:type="spellEnd"/>
      <w:r w:rsidRPr="00D007A2">
        <w:rPr>
          <w:sz w:val="24"/>
          <w:szCs w:val="24"/>
        </w:rPr>
        <w:t xml:space="preserve"> при </w:t>
      </w:r>
      <w:proofErr w:type="spellStart"/>
      <w:r w:rsidRPr="00D007A2">
        <w:rPr>
          <w:sz w:val="24"/>
          <w:szCs w:val="24"/>
        </w:rPr>
        <w:t>дозі</w:t>
      </w:r>
      <w:proofErr w:type="spellEnd"/>
      <w:r w:rsidRPr="00D007A2">
        <w:rPr>
          <w:sz w:val="24"/>
          <w:szCs w:val="24"/>
        </w:rPr>
        <w:t xml:space="preserve"> 500 мг </w:t>
      </w:r>
      <w:proofErr w:type="spellStart"/>
      <w:r w:rsidRPr="00D007A2">
        <w:rPr>
          <w:sz w:val="24"/>
          <w:szCs w:val="24"/>
        </w:rPr>
        <w:t>цефалексину</w:t>
      </w:r>
      <w:proofErr w:type="spellEnd"/>
      <w:r w:rsidRPr="00D007A2">
        <w:rPr>
          <w:sz w:val="24"/>
          <w:szCs w:val="24"/>
        </w:rPr>
        <w:t xml:space="preserve">/кг </w:t>
      </w:r>
      <w:proofErr w:type="spellStart"/>
      <w:r w:rsidRPr="00D007A2">
        <w:rPr>
          <w:sz w:val="24"/>
          <w:szCs w:val="24"/>
        </w:rPr>
        <w:t>маси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proofErr w:type="gramStart"/>
      <w:r w:rsidRPr="00D007A2">
        <w:rPr>
          <w:sz w:val="24"/>
          <w:szCs w:val="24"/>
        </w:rPr>
        <w:t>тіла</w:t>
      </w:r>
      <w:proofErr w:type="spellEnd"/>
      <w:proofErr w:type="gramEnd"/>
      <w:r w:rsidRPr="00D007A2">
        <w:rPr>
          <w:sz w:val="24"/>
          <w:szCs w:val="24"/>
        </w:rPr>
        <w:t>/</w:t>
      </w:r>
      <w:proofErr w:type="spellStart"/>
      <w:r w:rsidRPr="00D007A2">
        <w:rPr>
          <w:sz w:val="24"/>
          <w:szCs w:val="24"/>
        </w:rPr>
        <w:t>добу</w:t>
      </w:r>
      <w:proofErr w:type="spellEnd"/>
      <w:r w:rsidRPr="00D007A2">
        <w:rPr>
          <w:sz w:val="24"/>
          <w:szCs w:val="24"/>
        </w:rPr>
        <w:t xml:space="preserve"> та </w:t>
      </w:r>
      <w:proofErr w:type="spellStart"/>
      <w:r w:rsidRPr="00D007A2">
        <w:rPr>
          <w:sz w:val="24"/>
          <w:szCs w:val="24"/>
        </w:rPr>
        <w:t>токсичні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ефекти</w:t>
      </w:r>
      <w:proofErr w:type="spellEnd"/>
      <w:r w:rsidRPr="00D007A2">
        <w:rPr>
          <w:sz w:val="24"/>
          <w:szCs w:val="24"/>
        </w:rPr>
        <w:t xml:space="preserve"> для </w:t>
      </w:r>
      <w:proofErr w:type="spellStart"/>
      <w:r w:rsidRPr="00D007A2">
        <w:rPr>
          <w:sz w:val="24"/>
          <w:szCs w:val="24"/>
        </w:rPr>
        <w:t>матері</w:t>
      </w:r>
      <w:proofErr w:type="spellEnd"/>
      <w:r w:rsidRPr="00D007A2">
        <w:rPr>
          <w:sz w:val="24"/>
          <w:szCs w:val="24"/>
        </w:rPr>
        <w:t xml:space="preserve"> при </w:t>
      </w:r>
      <w:proofErr w:type="spellStart"/>
      <w:r w:rsidRPr="00D007A2">
        <w:rPr>
          <w:sz w:val="24"/>
          <w:szCs w:val="24"/>
        </w:rPr>
        <w:t>найнижчій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випробуваній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дозі</w:t>
      </w:r>
      <w:proofErr w:type="spellEnd"/>
      <w:r w:rsidRPr="00D007A2">
        <w:rPr>
          <w:sz w:val="24"/>
          <w:szCs w:val="24"/>
        </w:rPr>
        <w:t xml:space="preserve"> (300 мг </w:t>
      </w:r>
      <w:proofErr w:type="spellStart"/>
      <w:r w:rsidRPr="00D007A2">
        <w:rPr>
          <w:sz w:val="24"/>
          <w:szCs w:val="24"/>
        </w:rPr>
        <w:t>цефалексину</w:t>
      </w:r>
      <w:proofErr w:type="spellEnd"/>
      <w:r w:rsidRPr="00D007A2">
        <w:rPr>
          <w:sz w:val="24"/>
          <w:szCs w:val="24"/>
        </w:rPr>
        <w:t xml:space="preserve">/кг </w:t>
      </w:r>
      <w:proofErr w:type="spellStart"/>
      <w:r w:rsidRPr="00D007A2">
        <w:rPr>
          <w:sz w:val="24"/>
          <w:szCs w:val="24"/>
        </w:rPr>
        <w:t>маси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тіла</w:t>
      </w:r>
      <w:proofErr w:type="spellEnd"/>
      <w:r w:rsidRPr="00D007A2">
        <w:rPr>
          <w:sz w:val="24"/>
          <w:szCs w:val="24"/>
        </w:rPr>
        <w:t>/</w:t>
      </w:r>
      <w:proofErr w:type="spellStart"/>
      <w:r w:rsidRPr="00D007A2">
        <w:rPr>
          <w:sz w:val="24"/>
          <w:szCs w:val="24"/>
        </w:rPr>
        <w:t>добу</w:t>
      </w:r>
      <w:proofErr w:type="spellEnd"/>
      <w:r w:rsidRPr="00D007A2">
        <w:rPr>
          <w:sz w:val="24"/>
          <w:szCs w:val="24"/>
        </w:rPr>
        <w:t xml:space="preserve">). </w:t>
      </w:r>
    </w:p>
    <w:p w:rsidR="00F86AE0" w:rsidRPr="00D007A2" w:rsidRDefault="00F86AE0" w:rsidP="00F86AE0">
      <w:pPr>
        <w:pStyle w:val="ab"/>
        <w:ind w:firstLine="567"/>
        <w:jc w:val="both"/>
        <w:rPr>
          <w:spacing w:val="-3"/>
          <w:sz w:val="24"/>
          <w:szCs w:val="24"/>
          <w:lang w:val="uk-UA"/>
        </w:rPr>
      </w:pPr>
      <w:r w:rsidRPr="00D007A2">
        <w:rPr>
          <w:sz w:val="24"/>
          <w:szCs w:val="24"/>
          <w:lang w:val="uk-UA"/>
        </w:rPr>
        <w:t>З</w:t>
      </w:r>
      <w:proofErr w:type="spellStart"/>
      <w:r w:rsidRPr="00D007A2">
        <w:rPr>
          <w:sz w:val="24"/>
          <w:szCs w:val="24"/>
        </w:rPr>
        <w:t>астосування</w:t>
      </w:r>
      <w:proofErr w:type="spellEnd"/>
      <w:r w:rsidRPr="00D007A2">
        <w:rPr>
          <w:sz w:val="24"/>
          <w:szCs w:val="24"/>
        </w:rPr>
        <w:t xml:space="preserve"> препарату </w:t>
      </w:r>
      <w:proofErr w:type="spellStart"/>
      <w:r w:rsidRPr="00D007A2">
        <w:rPr>
          <w:sz w:val="24"/>
          <w:szCs w:val="24"/>
        </w:rPr>
        <w:t>допускається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тільки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після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ретельної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оцінки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співвідношення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користь</w:t>
      </w:r>
      <w:proofErr w:type="spellEnd"/>
      <w:r w:rsidRPr="00D007A2">
        <w:rPr>
          <w:sz w:val="24"/>
          <w:szCs w:val="24"/>
        </w:rPr>
        <w:t>/</w:t>
      </w:r>
      <w:proofErr w:type="spellStart"/>
      <w:r w:rsidRPr="00D007A2">
        <w:rPr>
          <w:sz w:val="24"/>
          <w:szCs w:val="24"/>
        </w:rPr>
        <w:t>ризик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лікарем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ветеринарної</w:t>
      </w:r>
      <w:proofErr w:type="spellEnd"/>
      <w:r w:rsidRPr="00D007A2">
        <w:rPr>
          <w:sz w:val="24"/>
          <w:szCs w:val="24"/>
        </w:rPr>
        <w:t xml:space="preserve"> </w:t>
      </w:r>
      <w:proofErr w:type="spellStart"/>
      <w:r w:rsidRPr="00D007A2">
        <w:rPr>
          <w:sz w:val="24"/>
          <w:szCs w:val="24"/>
        </w:rPr>
        <w:t>медицини</w:t>
      </w:r>
      <w:proofErr w:type="spellEnd"/>
      <w:r w:rsidRPr="00D007A2">
        <w:rPr>
          <w:sz w:val="24"/>
          <w:szCs w:val="24"/>
        </w:rPr>
        <w:t>.</w:t>
      </w:r>
    </w:p>
    <w:p w:rsidR="00583287" w:rsidRPr="00D007A2" w:rsidRDefault="00583287" w:rsidP="00583287">
      <w:pPr>
        <w:widowControl w:val="0"/>
        <w:suppressAutoHyphens/>
        <w:autoSpaceDE w:val="0"/>
        <w:ind w:left="902"/>
        <w:rPr>
          <w:bCs/>
          <w:i/>
          <w:spacing w:val="-10"/>
          <w:lang w:val="uk-UA"/>
        </w:rPr>
      </w:pPr>
      <w:r w:rsidRPr="00D007A2">
        <w:rPr>
          <w:bCs/>
          <w:i/>
          <w:spacing w:val="-10"/>
          <w:lang w:val="uk-UA"/>
        </w:rPr>
        <w:t>Взаємодія з іншими засобами та інші форми взаємодії</w:t>
      </w:r>
    </w:p>
    <w:p w:rsidR="00583287" w:rsidRPr="00D007A2" w:rsidRDefault="00F86AE0" w:rsidP="00583287">
      <w:pPr>
        <w:pStyle w:val="ab"/>
        <w:rPr>
          <w:b/>
          <w:lang w:val="uk-UA"/>
        </w:rPr>
      </w:pPr>
      <w:r w:rsidRPr="00D007A2">
        <w:rPr>
          <w:sz w:val="24"/>
          <w:szCs w:val="24"/>
          <w:lang w:val="uk-UA"/>
        </w:rPr>
        <w:t>Не застосовувати препарат одночасно з бактеріостатичними антибіотиками (</w:t>
      </w:r>
      <w:proofErr w:type="spellStart"/>
      <w:r w:rsidRPr="00D007A2">
        <w:rPr>
          <w:sz w:val="24"/>
          <w:szCs w:val="24"/>
          <w:lang w:val="uk-UA"/>
        </w:rPr>
        <w:t>макролідами</w:t>
      </w:r>
      <w:proofErr w:type="spellEnd"/>
      <w:r w:rsidRPr="00D007A2">
        <w:rPr>
          <w:sz w:val="24"/>
          <w:szCs w:val="24"/>
          <w:lang w:val="uk-UA"/>
        </w:rPr>
        <w:t xml:space="preserve">, сульфаніламіди та тетрациклінами). Одночасне застосування </w:t>
      </w:r>
      <w:proofErr w:type="spellStart"/>
      <w:r w:rsidRPr="00D007A2">
        <w:rPr>
          <w:sz w:val="24"/>
          <w:szCs w:val="24"/>
          <w:lang w:val="uk-UA"/>
        </w:rPr>
        <w:t>цефалоспоринів</w:t>
      </w:r>
      <w:proofErr w:type="spellEnd"/>
      <w:r w:rsidRPr="00D007A2">
        <w:rPr>
          <w:sz w:val="24"/>
          <w:szCs w:val="24"/>
          <w:lang w:val="uk-UA"/>
        </w:rPr>
        <w:t xml:space="preserve"> першого покоління з </w:t>
      </w:r>
      <w:proofErr w:type="spellStart"/>
      <w:r w:rsidRPr="00D007A2">
        <w:rPr>
          <w:sz w:val="24"/>
          <w:szCs w:val="24"/>
          <w:lang w:val="uk-UA"/>
        </w:rPr>
        <w:t>антибіотиками-аміноглікозидами</w:t>
      </w:r>
      <w:proofErr w:type="spellEnd"/>
      <w:r w:rsidRPr="00D007A2">
        <w:rPr>
          <w:sz w:val="24"/>
          <w:szCs w:val="24"/>
          <w:lang w:val="uk-UA"/>
        </w:rPr>
        <w:t xml:space="preserve"> або деякими </w:t>
      </w:r>
      <w:proofErr w:type="spellStart"/>
      <w:r w:rsidRPr="00D007A2">
        <w:rPr>
          <w:sz w:val="24"/>
          <w:szCs w:val="24"/>
          <w:lang w:val="uk-UA"/>
        </w:rPr>
        <w:t>діуретиками</w:t>
      </w:r>
      <w:proofErr w:type="spellEnd"/>
      <w:r w:rsidRPr="00D007A2">
        <w:rPr>
          <w:sz w:val="24"/>
          <w:szCs w:val="24"/>
          <w:lang w:val="uk-UA"/>
        </w:rPr>
        <w:t xml:space="preserve">, такими як </w:t>
      </w:r>
      <w:proofErr w:type="spellStart"/>
      <w:r w:rsidRPr="00D007A2">
        <w:rPr>
          <w:sz w:val="24"/>
          <w:szCs w:val="24"/>
          <w:lang w:val="uk-UA"/>
        </w:rPr>
        <w:t>фуросемід</w:t>
      </w:r>
      <w:proofErr w:type="spellEnd"/>
      <w:r w:rsidRPr="00D007A2">
        <w:rPr>
          <w:sz w:val="24"/>
          <w:szCs w:val="24"/>
          <w:lang w:val="uk-UA"/>
        </w:rPr>
        <w:t xml:space="preserve">, може підвищити ризик </w:t>
      </w:r>
      <w:proofErr w:type="spellStart"/>
      <w:r w:rsidRPr="00D007A2">
        <w:rPr>
          <w:sz w:val="24"/>
          <w:szCs w:val="24"/>
          <w:lang w:val="uk-UA"/>
        </w:rPr>
        <w:t>нефротоксичності</w:t>
      </w:r>
      <w:proofErr w:type="spellEnd"/>
      <w:r w:rsidRPr="00D007A2">
        <w:rPr>
          <w:sz w:val="24"/>
          <w:szCs w:val="24"/>
          <w:lang w:val="uk-UA"/>
        </w:rPr>
        <w:t>. Слід уникати одночасного застосування з цими речовинами.</w:t>
      </w:r>
    </w:p>
    <w:p w:rsidR="006E1406" w:rsidRPr="00D007A2" w:rsidRDefault="006E1406" w:rsidP="006E1406">
      <w:pPr>
        <w:ind w:firstLine="567"/>
        <w:jc w:val="both"/>
        <w:rPr>
          <w:b/>
          <w:lang w:val="uk-UA"/>
        </w:rPr>
      </w:pPr>
      <w:r w:rsidRPr="00D007A2">
        <w:rPr>
          <w:b/>
          <w:lang w:val="uk-UA"/>
        </w:rPr>
        <w:lastRenderedPageBreak/>
        <w:t>Форма випуску</w:t>
      </w:r>
    </w:p>
    <w:p w:rsidR="006E1406" w:rsidRPr="00D007A2" w:rsidRDefault="00094384" w:rsidP="0047112B">
      <w:pPr>
        <w:ind w:firstLine="567"/>
        <w:jc w:val="both"/>
        <w:rPr>
          <w:lang w:val="uk-UA"/>
        </w:rPr>
      </w:pPr>
      <w:proofErr w:type="spellStart"/>
      <w:r w:rsidRPr="00D007A2">
        <w:t>Ламі</w:t>
      </w:r>
      <w:r w:rsidR="007B6BBC" w:rsidRPr="00D007A2">
        <w:t>новані</w:t>
      </w:r>
      <w:proofErr w:type="spellEnd"/>
      <w:r w:rsidR="007B6BBC" w:rsidRPr="00D007A2">
        <w:t xml:space="preserve"> </w:t>
      </w:r>
      <w:proofErr w:type="spellStart"/>
      <w:r w:rsidR="007B6BBC" w:rsidRPr="00D007A2">
        <w:t>алюмінієві</w:t>
      </w:r>
      <w:proofErr w:type="spellEnd"/>
      <w:r w:rsidR="007B6BBC" w:rsidRPr="00D007A2">
        <w:t xml:space="preserve"> </w:t>
      </w:r>
      <w:proofErr w:type="spellStart"/>
      <w:r w:rsidR="007B6BBC" w:rsidRPr="00D007A2">
        <w:t>блістер</w:t>
      </w:r>
      <w:proofErr w:type="spellEnd"/>
      <w:r w:rsidR="00583287" w:rsidRPr="00D007A2">
        <w:rPr>
          <w:lang w:val="uk-UA"/>
        </w:rPr>
        <w:t>и</w:t>
      </w:r>
      <w:r w:rsidR="007B6BBC" w:rsidRPr="00D007A2">
        <w:t xml:space="preserve"> по 6</w:t>
      </w:r>
      <w:r w:rsidRPr="00D007A2">
        <w:t xml:space="preserve"> таб</w:t>
      </w:r>
      <w:r w:rsidR="00C11ECE" w:rsidRPr="00D007A2">
        <w:t xml:space="preserve">леток, у </w:t>
      </w:r>
      <w:proofErr w:type="spellStart"/>
      <w:r w:rsidR="00C11ECE" w:rsidRPr="00D007A2">
        <w:t>картонних</w:t>
      </w:r>
      <w:proofErr w:type="spellEnd"/>
      <w:r w:rsidR="00C11ECE" w:rsidRPr="00D007A2">
        <w:t xml:space="preserve"> коробках по </w:t>
      </w:r>
      <w:r w:rsidR="007B6BBC" w:rsidRPr="00D007A2">
        <w:rPr>
          <w:lang w:val="uk-UA"/>
        </w:rPr>
        <w:t>6</w:t>
      </w:r>
      <w:r w:rsidR="007B6BBC" w:rsidRPr="00D007A2">
        <w:t>, 12,</w:t>
      </w:r>
      <w:r w:rsidR="00A1663A">
        <w:rPr>
          <w:lang w:val="uk-UA"/>
        </w:rPr>
        <w:t xml:space="preserve"> </w:t>
      </w:r>
      <w:bookmarkStart w:id="0" w:name="_GoBack"/>
      <w:bookmarkEnd w:id="0"/>
      <w:r w:rsidR="007B6BBC" w:rsidRPr="00D007A2">
        <w:t>72</w:t>
      </w:r>
      <w:r w:rsidR="00C11ECE" w:rsidRPr="00D007A2">
        <w:rPr>
          <w:lang w:val="uk-UA"/>
        </w:rPr>
        <w:t xml:space="preserve"> та </w:t>
      </w:r>
      <w:r w:rsidR="007B6BBC" w:rsidRPr="00D007A2">
        <w:t>1</w:t>
      </w:r>
      <w:r w:rsidR="00C11ECE" w:rsidRPr="00D007A2">
        <w:t>50</w:t>
      </w:r>
      <w:r w:rsidR="00C11ECE" w:rsidRPr="00D007A2">
        <w:rPr>
          <w:lang w:val="uk-UA"/>
        </w:rPr>
        <w:t xml:space="preserve"> </w:t>
      </w:r>
      <w:r w:rsidRPr="00D007A2">
        <w:t>таблеток.</w:t>
      </w:r>
    </w:p>
    <w:p w:rsidR="00717469" w:rsidRPr="00D007A2" w:rsidRDefault="0061337C" w:rsidP="006E1406">
      <w:pPr>
        <w:ind w:firstLine="567"/>
        <w:jc w:val="both"/>
        <w:rPr>
          <w:b/>
          <w:lang w:val="uk-UA"/>
        </w:rPr>
      </w:pPr>
      <w:r w:rsidRPr="00D007A2">
        <w:rPr>
          <w:b/>
          <w:lang w:val="uk-UA"/>
        </w:rPr>
        <w:t>З</w:t>
      </w:r>
      <w:r w:rsidR="00F200A0" w:rsidRPr="00D007A2">
        <w:rPr>
          <w:b/>
          <w:lang w:val="uk-UA"/>
        </w:rPr>
        <w:t>берігання</w:t>
      </w:r>
    </w:p>
    <w:p w:rsidR="00900F45" w:rsidRPr="00D007A2" w:rsidRDefault="00094384" w:rsidP="006E1406">
      <w:pPr>
        <w:ind w:firstLine="567"/>
        <w:rPr>
          <w:lang w:val="uk-UA"/>
        </w:rPr>
      </w:pPr>
      <w:r w:rsidRPr="00D007A2">
        <w:rPr>
          <w:lang w:val="uk-UA"/>
        </w:rPr>
        <w:t>Сухе темне, недоступне для дітей місце за температури від 10 до 25 ºС.</w:t>
      </w:r>
    </w:p>
    <w:p w:rsidR="006E1406" w:rsidRPr="00D007A2" w:rsidRDefault="006E1406" w:rsidP="006E1406">
      <w:pPr>
        <w:ind w:firstLine="567"/>
        <w:jc w:val="both"/>
        <w:rPr>
          <w:lang w:val="uk-UA"/>
        </w:rPr>
      </w:pPr>
      <w:r w:rsidRPr="00D007A2">
        <w:rPr>
          <w:lang w:val="uk-UA"/>
        </w:rPr>
        <w:t xml:space="preserve">Термін придатності - </w:t>
      </w:r>
      <w:r w:rsidR="00C11ECE" w:rsidRPr="00D007A2">
        <w:rPr>
          <w:lang w:val="uk-UA"/>
        </w:rPr>
        <w:t>3</w:t>
      </w:r>
      <w:r w:rsidRPr="00D007A2">
        <w:rPr>
          <w:lang w:val="uk-UA"/>
        </w:rPr>
        <w:t xml:space="preserve"> роки</w:t>
      </w:r>
      <w:r w:rsidR="00094384" w:rsidRPr="00D007A2">
        <w:rPr>
          <w:lang w:val="uk-UA"/>
        </w:rPr>
        <w:t>.</w:t>
      </w:r>
    </w:p>
    <w:p w:rsidR="00EC4F1D" w:rsidRPr="00D007A2" w:rsidRDefault="00EC4F1D" w:rsidP="00EC4F1D">
      <w:pPr>
        <w:spacing w:before="5" w:line="264" w:lineRule="exact"/>
        <w:ind w:firstLine="552"/>
        <w:rPr>
          <w:bCs/>
          <w:lang w:val="uk-UA"/>
        </w:rPr>
      </w:pPr>
      <w:r w:rsidRPr="00D007A2">
        <w:rPr>
          <w:bCs/>
          <w:lang w:val="uk-UA"/>
        </w:rPr>
        <w:t>Термін придатності після першого відкриття первинної упаковки: 48 годин.</w:t>
      </w:r>
    </w:p>
    <w:p w:rsidR="006E1406" w:rsidRPr="00D007A2" w:rsidRDefault="006E1406" w:rsidP="006E1406">
      <w:pPr>
        <w:ind w:firstLine="567"/>
        <w:jc w:val="both"/>
        <w:rPr>
          <w:b/>
          <w:lang w:val="uk-UA"/>
        </w:rPr>
      </w:pPr>
      <w:r w:rsidRPr="00D007A2">
        <w:rPr>
          <w:b/>
        </w:rPr>
        <w:t xml:space="preserve">Для </w:t>
      </w:r>
      <w:proofErr w:type="spellStart"/>
      <w:r w:rsidRPr="00D007A2">
        <w:rPr>
          <w:b/>
        </w:rPr>
        <w:t>застосування</w:t>
      </w:r>
      <w:proofErr w:type="spellEnd"/>
      <w:r w:rsidRPr="00D007A2">
        <w:rPr>
          <w:b/>
        </w:rPr>
        <w:t xml:space="preserve"> у </w:t>
      </w:r>
      <w:proofErr w:type="spellStart"/>
      <w:r w:rsidRPr="00D007A2">
        <w:rPr>
          <w:b/>
        </w:rPr>
        <w:t>ветеринарній</w:t>
      </w:r>
      <w:proofErr w:type="spellEnd"/>
      <w:r w:rsidRPr="00D007A2">
        <w:rPr>
          <w:b/>
        </w:rPr>
        <w:t xml:space="preserve"> </w:t>
      </w:r>
      <w:proofErr w:type="spellStart"/>
      <w:r w:rsidRPr="00D007A2">
        <w:rPr>
          <w:b/>
        </w:rPr>
        <w:t>медицині</w:t>
      </w:r>
      <w:proofErr w:type="spellEnd"/>
      <w:r w:rsidRPr="00D007A2">
        <w:rPr>
          <w:b/>
        </w:rPr>
        <w:t>!</w:t>
      </w:r>
    </w:p>
    <w:p w:rsidR="0047112B" w:rsidRPr="00D007A2" w:rsidRDefault="0047112B" w:rsidP="006E1406">
      <w:pPr>
        <w:ind w:firstLine="567"/>
        <w:jc w:val="both"/>
        <w:rPr>
          <w:b/>
          <w:lang w:val="uk-UA"/>
        </w:rPr>
      </w:pPr>
    </w:p>
    <w:p w:rsidR="0007515B" w:rsidRPr="00D007A2" w:rsidRDefault="0007515B" w:rsidP="0007515B">
      <w:pPr>
        <w:ind w:firstLine="708"/>
        <w:jc w:val="both"/>
        <w:rPr>
          <w:b/>
          <w:lang w:val="uk-UA"/>
        </w:rPr>
      </w:pPr>
      <w:r w:rsidRPr="00D007A2">
        <w:rPr>
          <w:b/>
          <w:lang w:val="uk-UA"/>
        </w:rPr>
        <w:t>Власник реєстраційного посвідчення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6"/>
        <w:gridCol w:w="5186"/>
      </w:tblGrid>
      <w:tr w:rsidR="00D007A2" w:rsidRPr="00A1663A" w:rsidTr="00A702C8">
        <w:tc>
          <w:tcPr>
            <w:tcW w:w="5186" w:type="dxa"/>
            <w:shd w:val="clear" w:color="auto" w:fill="auto"/>
          </w:tcPr>
          <w:p w:rsidR="0007515B" w:rsidRPr="00D007A2" w:rsidRDefault="0007515B" w:rsidP="00A702C8">
            <w:r w:rsidRPr="00D007A2">
              <w:rPr>
                <w:lang w:val="uk-UA"/>
              </w:rPr>
              <w:t xml:space="preserve"> </w:t>
            </w:r>
            <w:proofErr w:type="spellStart"/>
            <w:r w:rsidRPr="00D007A2">
              <w:rPr>
                <w:lang w:val="uk-UA"/>
              </w:rPr>
              <w:t>Ветоквінол</w:t>
            </w:r>
            <w:proofErr w:type="spellEnd"/>
            <w:r w:rsidRPr="00D007A2">
              <w:rPr>
                <w:lang w:val="uk-UA"/>
              </w:rPr>
              <w:t xml:space="preserve"> С.А. </w:t>
            </w:r>
          </w:p>
          <w:p w:rsidR="0007515B" w:rsidRPr="00D007A2" w:rsidRDefault="0007515B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07A2">
              <w:rPr>
                <w:sz w:val="24"/>
                <w:szCs w:val="24"/>
                <w:lang w:val="uk-UA"/>
              </w:rPr>
              <w:t>Магні-Вернуа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>, 7020</w:t>
            </w:r>
            <w:r w:rsidRPr="00D007A2">
              <w:rPr>
                <w:sz w:val="24"/>
                <w:szCs w:val="24"/>
              </w:rPr>
              <w:t>0</w:t>
            </w:r>
            <w:r w:rsidRPr="00D007A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7A2">
              <w:rPr>
                <w:sz w:val="24"/>
                <w:szCs w:val="24"/>
                <w:lang w:val="uk-UA"/>
              </w:rPr>
              <w:t>Люр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 xml:space="preserve">, Франція   </w:t>
            </w:r>
            <w:r w:rsidRPr="00D007A2"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</w:t>
            </w:r>
          </w:p>
          <w:p w:rsidR="0007515B" w:rsidRPr="00D007A2" w:rsidRDefault="0007515B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</w:p>
        </w:tc>
        <w:tc>
          <w:tcPr>
            <w:tcW w:w="5186" w:type="dxa"/>
            <w:shd w:val="clear" w:color="auto" w:fill="auto"/>
          </w:tcPr>
          <w:p w:rsidR="0007515B" w:rsidRPr="00D007A2" w:rsidRDefault="0007515B" w:rsidP="00A702C8">
            <w:pPr>
              <w:rPr>
                <w:lang w:val="uk-UA"/>
              </w:rPr>
            </w:pPr>
            <w:proofErr w:type="spellStart"/>
            <w:r w:rsidRPr="00D007A2">
              <w:rPr>
                <w:lang w:val="en-US"/>
              </w:rPr>
              <w:t>Vetoquinol</w:t>
            </w:r>
            <w:proofErr w:type="spellEnd"/>
            <w:r w:rsidRPr="00D007A2">
              <w:rPr>
                <w:lang w:val="uk-UA"/>
              </w:rPr>
              <w:t xml:space="preserve"> </w:t>
            </w:r>
            <w:r w:rsidRPr="00D007A2">
              <w:rPr>
                <w:lang w:val="en-US"/>
              </w:rPr>
              <w:t>S</w:t>
            </w:r>
            <w:r w:rsidRPr="00D007A2">
              <w:rPr>
                <w:lang w:val="uk-UA"/>
              </w:rPr>
              <w:t>.</w:t>
            </w:r>
            <w:r w:rsidRPr="00D007A2">
              <w:rPr>
                <w:lang w:val="en-US"/>
              </w:rPr>
              <w:t>A</w:t>
            </w:r>
            <w:r w:rsidRPr="00D007A2">
              <w:rPr>
                <w:lang w:val="uk-UA"/>
              </w:rPr>
              <w:t>.</w:t>
            </w:r>
          </w:p>
          <w:p w:rsidR="0007515B" w:rsidRPr="00D007A2" w:rsidRDefault="0007515B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  <w:proofErr w:type="spellStart"/>
            <w:r w:rsidRPr="00D007A2">
              <w:rPr>
                <w:sz w:val="24"/>
                <w:szCs w:val="24"/>
                <w:lang w:val="en-US"/>
              </w:rPr>
              <w:t>Magny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007A2">
              <w:rPr>
                <w:sz w:val="24"/>
                <w:szCs w:val="24"/>
                <w:lang w:val="en-US"/>
              </w:rPr>
              <w:t>Vernois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>, 7020</w:t>
            </w:r>
            <w:r w:rsidRPr="00D007A2">
              <w:rPr>
                <w:sz w:val="24"/>
                <w:szCs w:val="24"/>
                <w:lang w:val="en-US"/>
              </w:rPr>
              <w:t>0</w:t>
            </w:r>
            <w:r w:rsidRPr="00D007A2">
              <w:rPr>
                <w:sz w:val="24"/>
                <w:szCs w:val="24"/>
                <w:lang w:val="uk-UA"/>
              </w:rPr>
              <w:t xml:space="preserve">, </w:t>
            </w:r>
            <w:r w:rsidRPr="00D007A2">
              <w:rPr>
                <w:sz w:val="24"/>
                <w:szCs w:val="24"/>
                <w:lang w:val="en-US"/>
              </w:rPr>
              <w:t>Lure</w:t>
            </w:r>
            <w:r w:rsidRPr="00D007A2">
              <w:rPr>
                <w:sz w:val="24"/>
                <w:szCs w:val="24"/>
                <w:lang w:val="uk-UA"/>
              </w:rPr>
              <w:t xml:space="preserve">, </w:t>
            </w:r>
            <w:r w:rsidRPr="00D007A2">
              <w:rPr>
                <w:sz w:val="24"/>
                <w:szCs w:val="24"/>
                <w:lang w:val="en-US"/>
              </w:rPr>
              <w:t>France</w:t>
            </w:r>
            <w:r w:rsidRPr="00D007A2">
              <w:rPr>
                <w:rStyle w:val="4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07515B" w:rsidRPr="00D007A2" w:rsidRDefault="0007515B" w:rsidP="0007515B">
      <w:pPr>
        <w:ind w:left="720"/>
        <w:jc w:val="both"/>
        <w:rPr>
          <w:b/>
          <w:lang w:val="uk-UA"/>
        </w:rPr>
      </w:pPr>
      <w:r w:rsidRPr="00D007A2">
        <w:rPr>
          <w:b/>
          <w:lang w:val="uk-UA"/>
        </w:rPr>
        <w:t>Виробник готового продукту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6"/>
        <w:gridCol w:w="5186"/>
      </w:tblGrid>
      <w:tr w:rsidR="00D007A2" w:rsidRPr="00A1663A" w:rsidTr="00A702C8">
        <w:tc>
          <w:tcPr>
            <w:tcW w:w="5186" w:type="dxa"/>
            <w:shd w:val="clear" w:color="auto" w:fill="auto"/>
          </w:tcPr>
          <w:p w:rsidR="0007515B" w:rsidRPr="00D007A2" w:rsidRDefault="0007515B" w:rsidP="00A702C8">
            <w:proofErr w:type="spellStart"/>
            <w:r w:rsidRPr="00D007A2">
              <w:rPr>
                <w:lang w:val="uk-UA"/>
              </w:rPr>
              <w:t>Ветоквінол</w:t>
            </w:r>
            <w:proofErr w:type="spellEnd"/>
            <w:r w:rsidRPr="00D007A2">
              <w:rPr>
                <w:lang w:val="uk-UA"/>
              </w:rPr>
              <w:t xml:space="preserve"> С.А. </w:t>
            </w:r>
          </w:p>
          <w:p w:rsidR="0007515B" w:rsidRPr="00D007A2" w:rsidRDefault="0007515B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07A2">
              <w:rPr>
                <w:sz w:val="24"/>
                <w:szCs w:val="24"/>
                <w:lang w:val="uk-UA"/>
              </w:rPr>
              <w:t>Магні-Вернуа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 xml:space="preserve">, 70200, </w:t>
            </w:r>
            <w:proofErr w:type="spellStart"/>
            <w:r w:rsidRPr="00D007A2">
              <w:rPr>
                <w:sz w:val="24"/>
                <w:szCs w:val="24"/>
                <w:lang w:val="uk-UA"/>
              </w:rPr>
              <w:t>Люр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>, Франція</w:t>
            </w:r>
            <w:r w:rsidRPr="00D007A2"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</w:t>
            </w:r>
          </w:p>
          <w:p w:rsidR="0007515B" w:rsidRPr="00D007A2" w:rsidRDefault="0007515B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</w:p>
        </w:tc>
        <w:tc>
          <w:tcPr>
            <w:tcW w:w="5186" w:type="dxa"/>
            <w:shd w:val="clear" w:color="auto" w:fill="auto"/>
          </w:tcPr>
          <w:p w:rsidR="0007515B" w:rsidRPr="00D007A2" w:rsidRDefault="0007515B" w:rsidP="00A702C8">
            <w:pPr>
              <w:rPr>
                <w:lang w:val="uk-UA"/>
              </w:rPr>
            </w:pPr>
            <w:proofErr w:type="spellStart"/>
            <w:r w:rsidRPr="00D007A2">
              <w:rPr>
                <w:lang w:val="en-US"/>
              </w:rPr>
              <w:t>Vetoquinol</w:t>
            </w:r>
            <w:proofErr w:type="spellEnd"/>
            <w:r w:rsidRPr="00D007A2">
              <w:rPr>
                <w:lang w:val="uk-UA"/>
              </w:rPr>
              <w:t xml:space="preserve"> </w:t>
            </w:r>
            <w:r w:rsidRPr="00D007A2">
              <w:rPr>
                <w:lang w:val="en-US"/>
              </w:rPr>
              <w:t>S</w:t>
            </w:r>
            <w:r w:rsidRPr="00D007A2">
              <w:rPr>
                <w:lang w:val="uk-UA"/>
              </w:rPr>
              <w:t>.</w:t>
            </w:r>
            <w:r w:rsidRPr="00D007A2">
              <w:rPr>
                <w:lang w:val="en-US"/>
              </w:rPr>
              <w:t>A</w:t>
            </w:r>
            <w:r w:rsidRPr="00D007A2">
              <w:rPr>
                <w:lang w:val="uk-UA"/>
              </w:rPr>
              <w:t>.</w:t>
            </w:r>
          </w:p>
          <w:p w:rsidR="0007515B" w:rsidRPr="00D007A2" w:rsidRDefault="0007515B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  <w:proofErr w:type="spellStart"/>
            <w:r w:rsidRPr="00D007A2">
              <w:rPr>
                <w:sz w:val="24"/>
                <w:szCs w:val="24"/>
                <w:lang w:val="en-US"/>
              </w:rPr>
              <w:t>Magny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007A2">
              <w:rPr>
                <w:sz w:val="24"/>
                <w:szCs w:val="24"/>
                <w:lang w:val="en-US"/>
              </w:rPr>
              <w:t>Vernois</w:t>
            </w:r>
            <w:proofErr w:type="spellEnd"/>
            <w:r w:rsidRPr="00D007A2">
              <w:rPr>
                <w:sz w:val="24"/>
                <w:szCs w:val="24"/>
                <w:lang w:val="uk-UA"/>
              </w:rPr>
              <w:t>, 7020</w:t>
            </w:r>
            <w:r w:rsidRPr="00D007A2">
              <w:rPr>
                <w:sz w:val="24"/>
                <w:szCs w:val="24"/>
                <w:lang w:val="en-US"/>
              </w:rPr>
              <w:t>0</w:t>
            </w:r>
            <w:r w:rsidRPr="00D007A2">
              <w:rPr>
                <w:sz w:val="24"/>
                <w:szCs w:val="24"/>
                <w:lang w:val="uk-UA"/>
              </w:rPr>
              <w:t xml:space="preserve">, </w:t>
            </w:r>
            <w:r w:rsidRPr="00D007A2">
              <w:rPr>
                <w:sz w:val="24"/>
                <w:szCs w:val="24"/>
                <w:lang w:val="en-US"/>
              </w:rPr>
              <w:t>Lure</w:t>
            </w:r>
            <w:r w:rsidRPr="00D007A2">
              <w:rPr>
                <w:sz w:val="24"/>
                <w:szCs w:val="24"/>
                <w:lang w:val="uk-UA"/>
              </w:rPr>
              <w:t xml:space="preserve">, </w:t>
            </w:r>
            <w:r w:rsidRPr="00D007A2">
              <w:rPr>
                <w:sz w:val="24"/>
                <w:szCs w:val="24"/>
                <w:lang w:val="en-US"/>
              </w:rPr>
              <w:t>France</w:t>
            </w:r>
          </w:p>
        </w:tc>
      </w:tr>
      <w:tr w:rsidR="00D007A2" w:rsidRPr="00A1663A" w:rsidTr="00A702C8">
        <w:tc>
          <w:tcPr>
            <w:tcW w:w="5186" w:type="dxa"/>
            <w:shd w:val="clear" w:color="auto" w:fill="auto"/>
          </w:tcPr>
          <w:p w:rsidR="0007515B" w:rsidRPr="00D007A2" w:rsidRDefault="0007515B" w:rsidP="00A702C8">
            <w:pPr>
              <w:rPr>
                <w:lang w:val="uk-UA"/>
              </w:rPr>
            </w:pPr>
          </w:p>
          <w:p w:rsidR="0007515B" w:rsidRPr="00D007A2" w:rsidRDefault="0007515B" w:rsidP="00A702C8">
            <w:pPr>
              <w:rPr>
                <w:lang w:val="uk-UA"/>
              </w:rPr>
            </w:pPr>
            <w:proofErr w:type="spellStart"/>
            <w:r w:rsidRPr="00D007A2">
              <w:rPr>
                <w:lang w:val="uk-UA"/>
              </w:rPr>
              <w:t>Ветоквінол</w:t>
            </w:r>
            <w:proofErr w:type="spellEnd"/>
            <w:r w:rsidRPr="00D007A2">
              <w:rPr>
                <w:lang w:val="uk-UA"/>
              </w:rPr>
              <w:t xml:space="preserve"> </w:t>
            </w:r>
            <w:proofErr w:type="spellStart"/>
            <w:r w:rsidRPr="00D007A2">
              <w:rPr>
                <w:lang w:val="uk-UA"/>
              </w:rPr>
              <w:t>Біовет</w:t>
            </w:r>
            <w:proofErr w:type="spellEnd"/>
            <w:r w:rsidRPr="00D007A2">
              <w:rPr>
                <w:lang w:val="uk-UA"/>
              </w:rPr>
              <w:t xml:space="preserve"> </w:t>
            </w:r>
            <w:proofErr w:type="spellStart"/>
            <w:r w:rsidRPr="00D007A2">
              <w:rPr>
                <w:lang w:val="uk-UA"/>
              </w:rPr>
              <w:t>Сп</w:t>
            </w:r>
            <w:proofErr w:type="spellEnd"/>
            <w:r w:rsidRPr="00D007A2">
              <w:rPr>
                <w:lang w:val="uk-UA"/>
              </w:rPr>
              <w:t xml:space="preserve">. з </w:t>
            </w:r>
            <w:proofErr w:type="spellStart"/>
            <w:r w:rsidRPr="00D007A2">
              <w:rPr>
                <w:lang w:val="uk-UA"/>
              </w:rPr>
              <w:t>о.о</w:t>
            </w:r>
            <w:proofErr w:type="spellEnd"/>
            <w:r w:rsidRPr="00D007A2">
              <w:rPr>
                <w:lang w:val="uk-UA"/>
              </w:rPr>
              <w:t>.</w:t>
            </w:r>
          </w:p>
          <w:p w:rsidR="0007515B" w:rsidRPr="00D007A2" w:rsidRDefault="0007515B" w:rsidP="00A702C8">
            <w:pPr>
              <w:rPr>
                <w:lang w:val="uk-UA"/>
              </w:rPr>
            </w:pPr>
            <w:r w:rsidRPr="00D007A2">
              <w:rPr>
                <w:lang w:val="uk-UA"/>
              </w:rPr>
              <w:t xml:space="preserve">вул. </w:t>
            </w:r>
            <w:proofErr w:type="spellStart"/>
            <w:r w:rsidRPr="00D007A2">
              <w:rPr>
                <w:lang w:val="uk-UA"/>
              </w:rPr>
              <w:t>Косінієров</w:t>
            </w:r>
            <w:proofErr w:type="spellEnd"/>
            <w:r w:rsidRPr="00D007A2">
              <w:rPr>
                <w:lang w:val="uk-UA"/>
              </w:rPr>
              <w:t xml:space="preserve"> </w:t>
            </w:r>
            <w:proofErr w:type="spellStart"/>
            <w:r w:rsidRPr="00D007A2">
              <w:rPr>
                <w:lang w:val="uk-UA"/>
              </w:rPr>
              <w:t>Гдинських</w:t>
            </w:r>
            <w:proofErr w:type="spellEnd"/>
            <w:r w:rsidRPr="00D007A2">
              <w:rPr>
                <w:lang w:val="uk-UA"/>
              </w:rPr>
              <w:t xml:space="preserve"> 13-14, </w:t>
            </w:r>
          </w:p>
          <w:p w:rsidR="0007515B" w:rsidRPr="00D007A2" w:rsidRDefault="0007515B" w:rsidP="00A702C8">
            <w:pPr>
              <w:rPr>
                <w:lang w:val="uk-UA"/>
              </w:rPr>
            </w:pPr>
            <w:r w:rsidRPr="00D007A2">
              <w:rPr>
                <w:lang w:val="uk-UA"/>
              </w:rPr>
              <w:t xml:space="preserve">66-400 </w:t>
            </w:r>
            <w:proofErr w:type="spellStart"/>
            <w:r w:rsidRPr="00D007A2">
              <w:rPr>
                <w:lang w:val="uk-UA"/>
              </w:rPr>
              <w:t>Гожув</w:t>
            </w:r>
            <w:proofErr w:type="spellEnd"/>
            <w:r w:rsidRPr="00D007A2">
              <w:rPr>
                <w:lang w:val="uk-UA"/>
              </w:rPr>
              <w:t xml:space="preserve"> ВЛКП </w:t>
            </w:r>
          </w:p>
          <w:p w:rsidR="0007515B" w:rsidRPr="00D007A2" w:rsidRDefault="0007515B" w:rsidP="00A702C8">
            <w:pPr>
              <w:rPr>
                <w:lang w:val="uk-UA"/>
              </w:rPr>
            </w:pPr>
            <w:r w:rsidRPr="00D007A2">
              <w:rPr>
                <w:lang w:val="uk-UA"/>
              </w:rPr>
              <w:t>Польща</w:t>
            </w:r>
          </w:p>
        </w:tc>
        <w:tc>
          <w:tcPr>
            <w:tcW w:w="5186" w:type="dxa"/>
            <w:shd w:val="clear" w:color="auto" w:fill="auto"/>
          </w:tcPr>
          <w:p w:rsidR="0007515B" w:rsidRPr="00D007A2" w:rsidRDefault="0007515B" w:rsidP="00A702C8">
            <w:pPr>
              <w:rPr>
                <w:lang w:val="uk-UA"/>
              </w:rPr>
            </w:pPr>
          </w:p>
          <w:p w:rsidR="0007515B" w:rsidRPr="00D007A2" w:rsidRDefault="0007515B" w:rsidP="00A702C8">
            <w:pPr>
              <w:rPr>
                <w:lang w:val="en-US"/>
              </w:rPr>
            </w:pPr>
            <w:proofErr w:type="spellStart"/>
            <w:r w:rsidRPr="00D007A2">
              <w:rPr>
                <w:lang w:val="en-US"/>
              </w:rPr>
              <w:t>Vetoquinol</w:t>
            </w:r>
            <w:proofErr w:type="spellEnd"/>
            <w:r w:rsidRPr="00D007A2">
              <w:rPr>
                <w:lang w:val="en-US"/>
              </w:rPr>
              <w:t xml:space="preserve"> </w:t>
            </w:r>
            <w:proofErr w:type="spellStart"/>
            <w:r w:rsidRPr="00D007A2">
              <w:rPr>
                <w:lang w:val="en-US"/>
              </w:rPr>
              <w:t>Biowet</w:t>
            </w:r>
            <w:proofErr w:type="spellEnd"/>
            <w:r w:rsidRPr="00D007A2">
              <w:rPr>
                <w:lang w:val="en-US"/>
              </w:rPr>
              <w:t xml:space="preserve"> Sp. z o. o. </w:t>
            </w:r>
          </w:p>
          <w:p w:rsidR="0007515B" w:rsidRPr="00D007A2" w:rsidRDefault="0007515B" w:rsidP="00A702C8">
            <w:pPr>
              <w:rPr>
                <w:lang w:val="en-US"/>
              </w:rPr>
            </w:pPr>
            <w:proofErr w:type="spellStart"/>
            <w:r w:rsidRPr="00D007A2">
              <w:rPr>
                <w:lang w:val="en-US"/>
              </w:rPr>
              <w:t>Kosynierow</w:t>
            </w:r>
            <w:proofErr w:type="spellEnd"/>
            <w:r w:rsidRPr="00D007A2">
              <w:rPr>
                <w:lang w:val="en-US"/>
              </w:rPr>
              <w:t xml:space="preserve"> </w:t>
            </w:r>
            <w:proofErr w:type="spellStart"/>
            <w:r w:rsidRPr="00D007A2">
              <w:rPr>
                <w:lang w:val="en-US"/>
              </w:rPr>
              <w:t>Gdynskich</w:t>
            </w:r>
            <w:proofErr w:type="spellEnd"/>
            <w:r w:rsidRPr="00D007A2">
              <w:rPr>
                <w:lang w:val="en-US"/>
              </w:rPr>
              <w:t xml:space="preserve"> 13/14</w:t>
            </w:r>
          </w:p>
          <w:p w:rsidR="0007515B" w:rsidRPr="00D007A2" w:rsidRDefault="0007515B" w:rsidP="00A702C8">
            <w:pPr>
              <w:rPr>
                <w:lang w:val="en-US"/>
              </w:rPr>
            </w:pPr>
            <w:r w:rsidRPr="00D007A2">
              <w:rPr>
                <w:lang w:val="en-US"/>
              </w:rPr>
              <w:t xml:space="preserve">66-400 Gorzow WLKP </w:t>
            </w:r>
          </w:p>
          <w:p w:rsidR="0007515B" w:rsidRPr="00D007A2" w:rsidRDefault="0007515B" w:rsidP="00A702C8">
            <w:pPr>
              <w:rPr>
                <w:lang w:val="en-US"/>
              </w:rPr>
            </w:pPr>
            <w:r w:rsidRPr="00D007A2">
              <w:rPr>
                <w:lang w:val="en-US"/>
              </w:rPr>
              <w:t>Poland</w:t>
            </w:r>
          </w:p>
        </w:tc>
      </w:tr>
    </w:tbl>
    <w:p w:rsidR="00094384" w:rsidRPr="00D007A2" w:rsidRDefault="00094384" w:rsidP="0064540A">
      <w:pPr>
        <w:jc w:val="both"/>
        <w:rPr>
          <w:lang w:val="uk-UA"/>
        </w:rPr>
      </w:pPr>
    </w:p>
    <w:sectPr w:rsidR="00094384" w:rsidRPr="00D007A2" w:rsidSect="00027BFF">
      <w:footerReference w:type="even" r:id="rId8"/>
      <w:footerReference w:type="default" r:id="rId9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49" w:rsidRDefault="00255549">
      <w:r>
        <w:separator/>
      </w:r>
    </w:p>
  </w:endnote>
  <w:endnote w:type="continuationSeparator" w:id="0">
    <w:p w:rsidR="00255549" w:rsidRDefault="0025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00" w:rsidRDefault="007C1057" w:rsidP="00EC26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1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900" w:rsidRDefault="001119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00" w:rsidRDefault="007C1057" w:rsidP="00EC26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1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663A">
      <w:rPr>
        <w:rStyle w:val="a8"/>
        <w:noProof/>
      </w:rPr>
      <w:t>4</w:t>
    </w:r>
    <w:r>
      <w:rPr>
        <w:rStyle w:val="a8"/>
      </w:rPr>
      <w:fldChar w:fldCharType="end"/>
    </w:r>
  </w:p>
  <w:p w:rsidR="00111900" w:rsidRDefault="00111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49" w:rsidRDefault="00255549">
      <w:r>
        <w:separator/>
      </w:r>
    </w:p>
  </w:footnote>
  <w:footnote w:type="continuationSeparator" w:id="0">
    <w:p w:rsidR="00255549" w:rsidRDefault="0025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705"/>
    <w:multiLevelType w:val="multilevel"/>
    <w:tmpl w:val="57D4C59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FD22405"/>
    <w:multiLevelType w:val="hybridMultilevel"/>
    <w:tmpl w:val="987E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3D97"/>
    <w:multiLevelType w:val="hybridMultilevel"/>
    <w:tmpl w:val="465C8610"/>
    <w:lvl w:ilvl="0" w:tplc="DEE0DE0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2F2DD0"/>
    <w:multiLevelType w:val="multilevel"/>
    <w:tmpl w:val="A9CA1B0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F2E5394"/>
    <w:multiLevelType w:val="hybridMultilevel"/>
    <w:tmpl w:val="B07E498A"/>
    <w:lvl w:ilvl="0" w:tplc="A6545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06514">
      <w:numFmt w:val="none"/>
      <w:lvlText w:val=""/>
      <w:lvlJc w:val="left"/>
      <w:pPr>
        <w:tabs>
          <w:tab w:val="num" w:pos="360"/>
        </w:tabs>
      </w:pPr>
    </w:lvl>
    <w:lvl w:ilvl="2" w:tplc="133C6CF2">
      <w:numFmt w:val="none"/>
      <w:lvlText w:val=""/>
      <w:lvlJc w:val="left"/>
      <w:pPr>
        <w:tabs>
          <w:tab w:val="num" w:pos="360"/>
        </w:tabs>
      </w:pPr>
    </w:lvl>
    <w:lvl w:ilvl="3" w:tplc="02D02D7E">
      <w:numFmt w:val="none"/>
      <w:lvlText w:val=""/>
      <w:lvlJc w:val="left"/>
      <w:pPr>
        <w:tabs>
          <w:tab w:val="num" w:pos="360"/>
        </w:tabs>
      </w:pPr>
    </w:lvl>
    <w:lvl w:ilvl="4" w:tplc="C1A212C4">
      <w:numFmt w:val="none"/>
      <w:lvlText w:val=""/>
      <w:lvlJc w:val="left"/>
      <w:pPr>
        <w:tabs>
          <w:tab w:val="num" w:pos="360"/>
        </w:tabs>
      </w:pPr>
    </w:lvl>
    <w:lvl w:ilvl="5" w:tplc="41F0F8AE">
      <w:numFmt w:val="none"/>
      <w:lvlText w:val=""/>
      <w:lvlJc w:val="left"/>
      <w:pPr>
        <w:tabs>
          <w:tab w:val="num" w:pos="360"/>
        </w:tabs>
      </w:pPr>
    </w:lvl>
    <w:lvl w:ilvl="6" w:tplc="DC96066C">
      <w:numFmt w:val="none"/>
      <w:lvlText w:val=""/>
      <w:lvlJc w:val="left"/>
      <w:pPr>
        <w:tabs>
          <w:tab w:val="num" w:pos="360"/>
        </w:tabs>
      </w:pPr>
    </w:lvl>
    <w:lvl w:ilvl="7" w:tplc="D6A8A89E">
      <w:numFmt w:val="none"/>
      <w:lvlText w:val=""/>
      <w:lvlJc w:val="left"/>
      <w:pPr>
        <w:tabs>
          <w:tab w:val="num" w:pos="360"/>
        </w:tabs>
      </w:pPr>
    </w:lvl>
    <w:lvl w:ilvl="8" w:tplc="44C0DE9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534CFC"/>
    <w:multiLevelType w:val="hybridMultilevel"/>
    <w:tmpl w:val="27CC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B696C"/>
    <w:multiLevelType w:val="multilevel"/>
    <w:tmpl w:val="EC64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2FA7D0F"/>
    <w:multiLevelType w:val="hybridMultilevel"/>
    <w:tmpl w:val="F03AAAAC"/>
    <w:lvl w:ilvl="0" w:tplc="1D581348">
      <w:start w:val="1"/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>
    <w:nsid w:val="73903E05"/>
    <w:multiLevelType w:val="hybridMultilevel"/>
    <w:tmpl w:val="0804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820F8"/>
    <w:multiLevelType w:val="multilevel"/>
    <w:tmpl w:val="03DA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76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2"/>
    <w:rsid w:val="00012163"/>
    <w:rsid w:val="00020A2C"/>
    <w:rsid w:val="00023597"/>
    <w:rsid w:val="00027BFF"/>
    <w:rsid w:val="00031E87"/>
    <w:rsid w:val="000345F6"/>
    <w:rsid w:val="00054528"/>
    <w:rsid w:val="00054676"/>
    <w:rsid w:val="000734E3"/>
    <w:rsid w:val="0007515B"/>
    <w:rsid w:val="000808D8"/>
    <w:rsid w:val="00084721"/>
    <w:rsid w:val="00092FE4"/>
    <w:rsid w:val="00094384"/>
    <w:rsid w:val="000A6D94"/>
    <w:rsid w:val="000B525B"/>
    <w:rsid w:val="000B573C"/>
    <w:rsid w:val="000C3B7A"/>
    <w:rsid w:val="000F29FA"/>
    <w:rsid w:val="00101B6C"/>
    <w:rsid w:val="00111900"/>
    <w:rsid w:val="00114973"/>
    <w:rsid w:val="00116346"/>
    <w:rsid w:val="001165B1"/>
    <w:rsid w:val="0012001A"/>
    <w:rsid w:val="00122712"/>
    <w:rsid w:val="00134B69"/>
    <w:rsid w:val="00135B64"/>
    <w:rsid w:val="00157994"/>
    <w:rsid w:val="0016455A"/>
    <w:rsid w:val="001654F5"/>
    <w:rsid w:val="00165586"/>
    <w:rsid w:val="001711FC"/>
    <w:rsid w:val="001733B5"/>
    <w:rsid w:val="00176348"/>
    <w:rsid w:val="001A002A"/>
    <w:rsid w:val="001A40CE"/>
    <w:rsid w:val="001C21DE"/>
    <w:rsid w:val="001C40DE"/>
    <w:rsid w:val="001C6A32"/>
    <w:rsid w:val="001E4647"/>
    <w:rsid w:val="001E46BA"/>
    <w:rsid w:val="001F0801"/>
    <w:rsid w:val="00203CC3"/>
    <w:rsid w:val="002128A7"/>
    <w:rsid w:val="00214980"/>
    <w:rsid w:val="00224AA6"/>
    <w:rsid w:val="00226242"/>
    <w:rsid w:val="00235A5D"/>
    <w:rsid w:val="0023777B"/>
    <w:rsid w:val="0024524D"/>
    <w:rsid w:val="00255549"/>
    <w:rsid w:val="00265BC1"/>
    <w:rsid w:val="0026715D"/>
    <w:rsid w:val="00282037"/>
    <w:rsid w:val="00293ECD"/>
    <w:rsid w:val="002D0744"/>
    <w:rsid w:val="002D6C66"/>
    <w:rsid w:val="002D6EB7"/>
    <w:rsid w:val="002E0654"/>
    <w:rsid w:val="002E58BF"/>
    <w:rsid w:val="002F2676"/>
    <w:rsid w:val="002F3083"/>
    <w:rsid w:val="002F698A"/>
    <w:rsid w:val="002F753D"/>
    <w:rsid w:val="003058CC"/>
    <w:rsid w:val="003142C6"/>
    <w:rsid w:val="00322820"/>
    <w:rsid w:val="003252E7"/>
    <w:rsid w:val="003261D3"/>
    <w:rsid w:val="003421BA"/>
    <w:rsid w:val="0036471B"/>
    <w:rsid w:val="00366330"/>
    <w:rsid w:val="00383A6A"/>
    <w:rsid w:val="0039119F"/>
    <w:rsid w:val="00394D24"/>
    <w:rsid w:val="003A3447"/>
    <w:rsid w:val="003A4B5C"/>
    <w:rsid w:val="003A7A53"/>
    <w:rsid w:val="003B46A7"/>
    <w:rsid w:val="003C7AAD"/>
    <w:rsid w:val="003E195E"/>
    <w:rsid w:val="003E51D6"/>
    <w:rsid w:val="003E5DC6"/>
    <w:rsid w:val="00404E63"/>
    <w:rsid w:val="004067CB"/>
    <w:rsid w:val="0041565F"/>
    <w:rsid w:val="0041681F"/>
    <w:rsid w:val="00422169"/>
    <w:rsid w:val="004348C1"/>
    <w:rsid w:val="00440993"/>
    <w:rsid w:val="00446E01"/>
    <w:rsid w:val="004500DC"/>
    <w:rsid w:val="00455AFC"/>
    <w:rsid w:val="0046718D"/>
    <w:rsid w:val="00470A13"/>
    <w:rsid w:val="0047112B"/>
    <w:rsid w:val="00475596"/>
    <w:rsid w:val="00482495"/>
    <w:rsid w:val="004929D3"/>
    <w:rsid w:val="004978BA"/>
    <w:rsid w:val="004A41E2"/>
    <w:rsid w:val="004D2C38"/>
    <w:rsid w:val="004D636F"/>
    <w:rsid w:val="004F22A0"/>
    <w:rsid w:val="004F723A"/>
    <w:rsid w:val="0050091F"/>
    <w:rsid w:val="00507BFC"/>
    <w:rsid w:val="00512967"/>
    <w:rsid w:val="005204A5"/>
    <w:rsid w:val="00520FF1"/>
    <w:rsid w:val="0052571B"/>
    <w:rsid w:val="00532D2C"/>
    <w:rsid w:val="0053468A"/>
    <w:rsid w:val="00536FAD"/>
    <w:rsid w:val="00546C07"/>
    <w:rsid w:val="00566FDB"/>
    <w:rsid w:val="005737EA"/>
    <w:rsid w:val="00583287"/>
    <w:rsid w:val="005908F0"/>
    <w:rsid w:val="00596590"/>
    <w:rsid w:val="005A1623"/>
    <w:rsid w:val="005B2CFC"/>
    <w:rsid w:val="005C023F"/>
    <w:rsid w:val="005D3492"/>
    <w:rsid w:val="005D72AE"/>
    <w:rsid w:val="005E19A2"/>
    <w:rsid w:val="005E1FE0"/>
    <w:rsid w:val="005E500E"/>
    <w:rsid w:val="005E5D96"/>
    <w:rsid w:val="005E6420"/>
    <w:rsid w:val="005F5311"/>
    <w:rsid w:val="00601B4B"/>
    <w:rsid w:val="00605E72"/>
    <w:rsid w:val="006108B8"/>
    <w:rsid w:val="006113A2"/>
    <w:rsid w:val="0061337C"/>
    <w:rsid w:val="00614962"/>
    <w:rsid w:val="006169E6"/>
    <w:rsid w:val="00624BE1"/>
    <w:rsid w:val="006273C7"/>
    <w:rsid w:val="00630374"/>
    <w:rsid w:val="006325CF"/>
    <w:rsid w:val="00635471"/>
    <w:rsid w:val="00637CAB"/>
    <w:rsid w:val="0064540A"/>
    <w:rsid w:val="00677ABB"/>
    <w:rsid w:val="00695F31"/>
    <w:rsid w:val="00697B68"/>
    <w:rsid w:val="006A00BC"/>
    <w:rsid w:val="006A2492"/>
    <w:rsid w:val="006B5896"/>
    <w:rsid w:val="006C3BD2"/>
    <w:rsid w:val="006E1406"/>
    <w:rsid w:val="006E48C8"/>
    <w:rsid w:val="006E4DAD"/>
    <w:rsid w:val="006F0403"/>
    <w:rsid w:val="006F3757"/>
    <w:rsid w:val="006F6923"/>
    <w:rsid w:val="00701825"/>
    <w:rsid w:val="007036AE"/>
    <w:rsid w:val="00705C9E"/>
    <w:rsid w:val="00717469"/>
    <w:rsid w:val="00720AA7"/>
    <w:rsid w:val="007244AB"/>
    <w:rsid w:val="00741F06"/>
    <w:rsid w:val="00742E37"/>
    <w:rsid w:val="00743477"/>
    <w:rsid w:val="00753DD0"/>
    <w:rsid w:val="00756724"/>
    <w:rsid w:val="00773CE5"/>
    <w:rsid w:val="00774897"/>
    <w:rsid w:val="007812E0"/>
    <w:rsid w:val="007B11FA"/>
    <w:rsid w:val="007B6BBC"/>
    <w:rsid w:val="007C1057"/>
    <w:rsid w:val="007C6915"/>
    <w:rsid w:val="007C6E4A"/>
    <w:rsid w:val="007D373B"/>
    <w:rsid w:val="007D6290"/>
    <w:rsid w:val="007E5428"/>
    <w:rsid w:val="007E6549"/>
    <w:rsid w:val="007F0C40"/>
    <w:rsid w:val="007F2BB8"/>
    <w:rsid w:val="007F41FC"/>
    <w:rsid w:val="007F492A"/>
    <w:rsid w:val="00804655"/>
    <w:rsid w:val="00806F86"/>
    <w:rsid w:val="00814D8F"/>
    <w:rsid w:val="008233FE"/>
    <w:rsid w:val="00833B77"/>
    <w:rsid w:val="0085093E"/>
    <w:rsid w:val="00853810"/>
    <w:rsid w:val="00857803"/>
    <w:rsid w:val="008610DD"/>
    <w:rsid w:val="00880EE5"/>
    <w:rsid w:val="00882318"/>
    <w:rsid w:val="0088300D"/>
    <w:rsid w:val="008863C4"/>
    <w:rsid w:val="008875D8"/>
    <w:rsid w:val="008907AB"/>
    <w:rsid w:val="00896F69"/>
    <w:rsid w:val="008B27E5"/>
    <w:rsid w:val="008B4CC6"/>
    <w:rsid w:val="008B4DC5"/>
    <w:rsid w:val="008C3ACE"/>
    <w:rsid w:val="008D7378"/>
    <w:rsid w:val="008F2438"/>
    <w:rsid w:val="008F6E26"/>
    <w:rsid w:val="00900F45"/>
    <w:rsid w:val="009129BD"/>
    <w:rsid w:val="009150EC"/>
    <w:rsid w:val="00937A21"/>
    <w:rsid w:val="0095281C"/>
    <w:rsid w:val="0095597D"/>
    <w:rsid w:val="00956A61"/>
    <w:rsid w:val="009641D9"/>
    <w:rsid w:val="00970DED"/>
    <w:rsid w:val="00982C2B"/>
    <w:rsid w:val="00987E39"/>
    <w:rsid w:val="00990623"/>
    <w:rsid w:val="00997651"/>
    <w:rsid w:val="009A70D3"/>
    <w:rsid w:val="009B21BB"/>
    <w:rsid w:val="009B2295"/>
    <w:rsid w:val="009E5E09"/>
    <w:rsid w:val="009F06BE"/>
    <w:rsid w:val="009F183A"/>
    <w:rsid w:val="009F5BF9"/>
    <w:rsid w:val="00A02E31"/>
    <w:rsid w:val="00A04961"/>
    <w:rsid w:val="00A05CEB"/>
    <w:rsid w:val="00A121B4"/>
    <w:rsid w:val="00A1663A"/>
    <w:rsid w:val="00A16C78"/>
    <w:rsid w:val="00A41981"/>
    <w:rsid w:val="00A45125"/>
    <w:rsid w:val="00A5031C"/>
    <w:rsid w:val="00A52891"/>
    <w:rsid w:val="00A54E49"/>
    <w:rsid w:val="00A55EC9"/>
    <w:rsid w:val="00A66C51"/>
    <w:rsid w:val="00A74AD4"/>
    <w:rsid w:val="00A875C7"/>
    <w:rsid w:val="00A950BA"/>
    <w:rsid w:val="00A9716E"/>
    <w:rsid w:val="00AD39A6"/>
    <w:rsid w:val="00AD3B52"/>
    <w:rsid w:val="00AD4EAB"/>
    <w:rsid w:val="00AD7205"/>
    <w:rsid w:val="00AE4562"/>
    <w:rsid w:val="00AF7750"/>
    <w:rsid w:val="00B0269B"/>
    <w:rsid w:val="00B02D12"/>
    <w:rsid w:val="00B13298"/>
    <w:rsid w:val="00B1772E"/>
    <w:rsid w:val="00B321C1"/>
    <w:rsid w:val="00B3242F"/>
    <w:rsid w:val="00B3259A"/>
    <w:rsid w:val="00B563F7"/>
    <w:rsid w:val="00B60C03"/>
    <w:rsid w:val="00B6695C"/>
    <w:rsid w:val="00B67B0D"/>
    <w:rsid w:val="00B74A5A"/>
    <w:rsid w:val="00B866B5"/>
    <w:rsid w:val="00B90D05"/>
    <w:rsid w:val="00BA006A"/>
    <w:rsid w:val="00BA7F51"/>
    <w:rsid w:val="00BD2DF3"/>
    <w:rsid w:val="00BD529E"/>
    <w:rsid w:val="00BE0C3C"/>
    <w:rsid w:val="00BE19A0"/>
    <w:rsid w:val="00BF3119"/>
    <w:rsid w:val="00BF535C"/>
    <w:rsid w:val="00C07085"/>
    <w:rsid w:val="00C11ECE"/>
    <w:rsid w:val="00C20C5C"/>
    <w:rsid w:val="00C3435E"/>
    <w:rsid w:val="00C428C9"/>
    <w:rsid w:val="00C52E39"/>
    <w:rsid w:val="00C54966"/>
    <w:rsid w:val="00C54D24"/>
    <w:rsid w:val="00C57ECF"/>
    <w:rsid w:val="00C63CAF"/>
    <w:rsid w:val="00C67B02"/>
    <w:rsid w:val="00C67B6B"/>
    <w:rsid w:val="00C721E4"/>
    <w:rsid w:val="00C81743"/>
    <w:rsid w:val="00C8483C"/>
    <w:rsid w:val="00CA0903"/>
    <w:rsid w:val="00CA7289"/>
    <w:rsid w:val="00CA79F1"/>
    <w:rsid w:val="00CB283F"/>
    <w:rsid w:val="00CB3256"/>
    <w:rsid w:val="00CB7B4C"/>
    <w:rsid w:val="00CD502F"/>
    <w:rsid w:val="00CD5C2E"/>
    <w:rsid w:val="00CE7489"/>
    <w:rsid w:val="00D007A2"/>
    <w:rsid w:val="00D06DA0"/>
    <w:rsid w:val="00D20B9F"/>
    <w:rsid w:val="00D33607"/>
    <w:rsid w:val="00D36C01"/>
    <w:rsid w:val="00D4191C"/>
    <w:rsid w:val="00D425C4"/>
    <w:rsid w:val="00D463B0"/>
    <w:rsid w:val="00D51397"/>
    <w:rsid w:val="00D54D1D"/>
    <w:rsid w:val="00D5633A"/>
    <w:rsid w:val="00D73DB8"/>
    <w:rsid w:val="00D75024"/>
    <w:rsid w:val="00D83DC8"/>
    <w:rsid w:val="00D8725E"/>
    <w:rsid w:val="00DB14D0"/>
    <w:rsid w:val="00DD240A"/>
    <w:rsid w:val="00E0474F"/>
    <w:rsid w:val="00E055F7"/>
    <w:rsid w:val="00E07490"/>
    <w:rsid w:val="00E11FE4"/>
    <w:rsid w:val="00E22F30"/>
    <w:rsid w:val="00E27E26"/>
    <w:rsid w:val="00E37683"/>
    <w:rsid w:val="00E41CB9"/>
    <w:rsid w:val="00E50181"/>
    <w:rsid w:val="00E525D3"/>
    <w:rsid w:val="00E81321"/>
    <w:rsid w:val="00E841B4"/>
    <w:rsid w:val="00E85F1B"/>
    <w:rsid w:val="00E973DF"/>
    <w:rsid w:val="00EB353E"/>
    <w:rsid w:val="00EC26D0"/>
    <w:rsid w:val="00EC4F1D"/>
    <w:rsid w:val="00EE57D7"/>
    <w:rsid w:val="00EF194D"/>
    <w:rsid w:val="00F148C0"/>
    <w:rsid w:val="00F200A0"/>
    <w:rsid w:val="00F232F0"/>
    <w:rsid w:val="00F27EAC"/>
    <w:rsid w:val="00F344D7"/>
    <w:rsid w:val="00F4601F"/>
    <w:rsid w:val="00F51A5D"/>
    <w:rsid w:val="00F520FC"/>
    <w:rsid w:val="00F572AA"/>
    <w:rsid w:val="00F71DBC"/>
    <w:rsid w:val="00F771C6"/>
    <w:rsid w:val="00F824C4"/>
    <w:rsid w:val="00F86AE0"/>
    <w:rsid w:val="00FA2F28"/>
    <w:rsid w:val="00FA6B91"/>
    <w:rsid w:val="00FB4019"/>
    <w:rsid w:val="00FB4AFA"/>
    <w:rsid w:val="00FC6E7E"/>
    <w:rsid w:val="00FC7522"/>
    <w:rsid w:val="00FF2565"/>
    <w:rsid w:val="00FF25C9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D373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D373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169E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2001A"/>
  </w:style>
  <w:style w:type="paragraph" w:customStyle="1" w:styleId="2">
    <w:name w:val="Знак Знак2"/>
    <w:basedOn w:val="a"/>
    <w:rsid w:val="00FC752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9E5E09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9E5E09"/>
    <w:rPr>
      <w:rFonts w:ascii="Arial" w:hAnsi="Arial"/>
      <w:snapToGrid w:val="0"/>
      <w:sz w:val="24"/>
    </w:rPr>
  </w:style>
  <w:style w:type="paragraph" w:customStyle="1" w:styleId="20">
    <w:name w:val="Знак Знак Знак Знак Знак Знак2"/>
    <w:basedOn w:val="a"/>
    <w:rsid w:val="0009438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rsid w:val="00094384"/>
    <w:rPr>
      <w:sz w:val="24"/>
      <w:szCs w:val="24"/>
      <w:lang w:val="ru-RU" w:eastAsia="ru-RU" w:bidi="ar-SA"/>
    </w:rPr>
  </w:style>
  <w:style w:type="character" w:customStyle="1" w:styleId="4">
    <w:name w:val="Основной текст (4)_"/>
    <w:link w:val="40"/>
    <w:rsid w:val="00094384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094384"/>
    <w:pPr>
      <w:widowControl w:val="0"/>
      <w:shd w:val="clear" w:color="auto" w:fill="FFFFFF"/>
      <w:spacing w:before="420" w:after="180" w:line="230" w:lineRule="exact"/>
    </w:pPr>
    <w:rPr>
      <w:sz w:val="19"/>
      <w:szCs w:val="19"/>
    </w:rPr>
  </w:style>
  <w:style w:type="character" w:styleId="aa">
    <w:name w:val="Hyperlink"/>
    <w:rsid w:val="0064540A"/>
    <w:rPr>
      <w:color w:val="0000FF"/>
      <w:u w:val="single"/>
    </w:rPr>
  </w:style>
  <w:style w:type="paragraph" w:styleId="ab">
    <w:name w:val="No Spacing"/>
    <w:uiPriority w:val="1"/>
    <w:qFormat/>
    <w:rsid w:val="004348C1"/>
    <w:pPr>
      <w:widowControl w:val="0"/>
      <w:suppressAutoHyphens/>
      <w:autoSpaceDE w:val="0"/>
    </w:pPr>
    <w:rPr>
      <w:kern w:val="1"/>
      <w:lang w:bidi="ru-RU"/>
    </w:rPr>
  </w:style>
  <w:style w:type="paragraph" w:customStyle="1" w:styleId="1">
    <w:name w:val="Указатель1"/>
    <w:basedOn w:val="a"/>
    <w:rsid w:val="00630374"/>
    <w:pPr>
      <w:widowControl w:val="0"/>
      <w:suppressLineNumbers/>
      <w:suppressAutoHyphens/>
      <w:autoSpaceDE w:val="0"/>
    </w:pPr>
    <w:rPr>
      <w:rFonts w:cs="Mangal"/>
      <w:kern w:val="1"/>
      <w:sz w:val="20"/>
      <w:szCs w:val="20"/>
      <w:lang w:bidi="ru-RU"/>
    </w:rPr>
  </w:style>
  <w:style w:type="paragraph" w:styleId="ac">
    <w:name w:val="List Paragraph"/>
    <w:basedOn w:val="a"/>
    <w:uiPriority w:val="34"/>
    <w:qFormat/>
    <w:rsid w:val="00882318"/>
    <w:pPr>
      <w:ind w:left="720"/>
      <w:jc w:val="both"/>
    </w:pPr>
    <w:rPr>
      <w:rFonts w:ascii="Arial" w:eastAsia="Calibri" w:hAnsi="Arial"/>
      <w:color w:val="000000"/>
      <w:szCs w:val="22"/>
      <w:lang w:eastAsia="en-US"/>
    </w:rPr>
  </w:style>
  <w:style w:type="character" w:styleId="ad">
    <w:name w:val="annotation reference"/>
    <w:basedOn w:val="a0"/>
    <w:rsid w:val="00E27E26"/>
    <w:rPr>
      <w:sz w:val="16"/>
      <w:szCs w:val="16"/>
    </w:rPr>
  </w:style>
  <w:style w:type="paragraph" w:styleId="ae">
    <w:name w:val="annotation text"/>
    <w:basedOn w:val="a"/>
    <w:link w:val="af"/>
    <w:rsid w:val="00E27E26"/>
    <w:pPr>
      <w:widowControl w:val="0"/>
      <w:suppressAutoHyphens/>
      <w:autoSpaceDE w:val="0"/>
    </w:pPr>
    <w:rPr>
      <w:kern w:val="1"/>
      <w:sz w:val="20"/>
      <w:szCs w:val="20"/>
      <w:lang w:bidi="ru-RU"/>
    </w:rPr>
  </w:style>
  <w:style w:type="character" w:customStyle="1" w:styleId="af">
    <w:name w:val="Текст примечания Знак"/>
    <w:basedOn w:val="a0"/>
    <w:link w:val="ae"/>
    <w:rsid w:val="00E27E26"/>
    <w:rPr>
      <w:kern w:val="1"/>
      <w:lang w:bidi="ru-RU"/>
    </w:rPr>
  </w:style>
  <w:style w:type="character" w:customStyle="1" w:styleId="FontStyle13">
    <w:name w:val="Font Style13"/>
    <w:rsid w:val="00E27E26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Emphasis"/>
    <w:uiPriority w:val="20"/>
    <w:qFormat/>
    <w:rsid w:val="00583287"/>
    <w:rPr>
      <w:i/>
      <w:iCs/>
    </w:rPr>
  </w:style>
  <w:style w:type="paragraph" w:customStyle="1" w:styleId="af1">
    <w:name w:val="Заголовок таблицы"/>
    <w:basedOn w:val="a"/>
    <w:rsid w:val="00F86AE0"/>
    <w:pPr>
      <w:widowControl w:val="0"/>
      <w:suppressLineNumbers/>
      <w:suppressAutoHyphens/>
      <w:autoSpaceDE w:val="0"/>
      <w:jc w:val="center"/>
    </w:pPr>
    <w:rPr>
      <w:b/>
      <w:bCs/>
      <w:kern w:val="1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D373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D373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169E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2001A"/>
  </w:style>
  <w:style w:type="paragraph" w:customStyle="1" w:styleId="2">
    <w:name w:val="Знак Знак2"/>
    <w:basedOn w:val="a"/>
    <w:rsid w:val="00FC752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9E5E09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9E5E09"/>
    <w:rPr>
      <w:rFonts w:ascii="Arial" w:hAnsi="Arial"/>
      <w:snapToGrid w:val="0"/>
      <w:sz w:val="24"/>
    </w:rPr>
  </w:style>
  <w:style w:type="paragraph" w:customStyle="1" w:styleId="20">
    <w:name w:val="Знак Знак Знак Знак Знак Знак2"/>
    <w:basedOn w:val="a"/>
    <w:rsid w:val="0009438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rsid w:val="00094384"/>
    <w:rPr>
      <w:sz w:val="24"/>
      <w:szCs w:val="24"/>
      <w:lang w:val="ru-RU" w:eastAsia="ru-RU" w:bidi="ar-SA"/>
    </w:rPr>
  </w:style>
  <w:style w:type="character" w:customStyle="1" w:styleId="4">
    <w:name w:val="Основной текст (4)_"/>
    <w:link w:val="40"/>
    <w:rsid w:val="00094384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094384"/>
    <w:pPr>
      <w:widowControl w:val="0"/>
      <w:shd w:val="clear" w:color="auto" w:fill="FFFFFF"/>
      <w:spacing w:before="420" w:after="180" w:line="230" w:lineRule="exact"/>
    </w:pPr>
    <w:rPr>
      <w:sz w:val="19"/>
      <w:szCs w:val="19"/>
    </w:rPr>
  </w:style>
  <w:style w:type="character" w:styleId="aa">
    <w:name w:val="Hyperlink"/>
    <w:rsid w:val="0064540A"/>
    <w:rPr>
      <w:color w:val="0000FF"/>
      <w:u w:val="single"/>
    </w:rPr>
  </w:style>
  <w:style w:type="paragraph" w:styleId="ab">
    <w:name w:val="No Spacing"/>
    <w:uiPriority w:val="1"/>
    <w:qFormat/>
    <w:rsid w:val="004348C1"/>
    <w:pPr>
      <w:widowControl w:val="0"/>
      <w:suppressAutoHyphens/>
      <w:autoSpaceDE w:val="0"/>
    </w:pPr>
    <w:rPr>
      <w:kern w:val="1"/>
      <w:lang w:bidi="ru-RU"/>
    </w:rPr>
  </w:style>
  <w:style w:type="paragraph" w:customStyle="1" w:styleId="1">
    <w:name w:val="Указатель1"/>
    <w:basedOn w:val="a"/>
    <w:rsid w:val="00630374"/>
    <w:pPr>
      <w:widowControl w:val="0"/>
      <w:suppressLineNumbers/>
      <w:suppressAutoHyphens/>
      <w:autoSpaceDE w:val="0"/>
    </w:pPr>
    <w:rPr>
      <w:rFonts w:cs="Mangal"/>
      <w:kern w:val="1"/>
      <w:sz w:val="20"/>
      <w:szCs w:val="20"/>
      <w:lang w:bidi="ru-RU"/>
    </w:rPr>
  </w:style>
  <w:style w:type="paragraph" w:styleId="ac">
    <w:name w:val="List Paragraph"/>
    <w:basedOn w:val="a"/>
    <w:uiPriority w:val="34"/>
    <w:qFormat/>
    <w:rsid w:val="00882318"/>
    <w:pPr>
      <w:ind w:left="720"/>
      <w:jc w:val="both"/>
    </w:pPr>
    <w:rPr>
      <w:rFonts w:ascii="Arial" w:eastAsia="Calibri" w:hAnsi="Arial"/>
      <w:color w:val="000000"/>
      <w:szCs w:val="22"/>
      <w:lang w:eastAsia="en-US"/>
    </w:rPr>
  </w:style>
  <w:style w:type="character" w:styleId="ad">
    <w:name w:val="annotation reference"/>
    <w:basedOn w:val="a0"/>
    <w:rsid w:val="00E27E26"/>
    <w:rPr>
      <w:sz w:val="16"/>
      <w:szCs w:val="16"/>
    </w:rPr>
  </w:style>
  <w:style w:type="paragraph" w:styleId="ae">
    <w:name w:val="annotation text"/>
    <w:basedOn w:val="a"/>
    <w:link w:val="af"/>
    <w:rsid w:val="00E27E26"/>
    <w:pPr>
      <w:widowControl w:val="0"/>
      <w:suppressAutoHyphens/>
      <w:autoSpaceDE w:val="0"/>
    </w:pPr>
    <w:rPr>
      <w:kern w:val="1"/>
      <w:sz w:val="20"/>
      <w:szCs w:val="20"/>
      <w:lang w:bidi="ru-RU"/>
    </w:rPr>
  </w:style>
  <w:style w:type="character" w:customStyle="1" w:styleId="af">
    <w:name w:val="Текст примечания Знак"/>
    <w:basedOn w:val="a0"/>
    <w:link w:val="ae"/>
    <w:rsid w:val="00E27E26"/>
    <w:rPr>
      <w:kern w:val="1"/>
      <w:lang w:bidi="ru-RU"/>
    </w:rPr>
  </w:style>
  <w:style w:type="character" w:customStyle="1" w:styleId="FontStyle13">
    <w:name w:val="Font Style13"/>
    <w:rsid w:val="00E27E26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Emphasis"/>
    <w:uiPriority w:val="20"/>
    <w:qFormat/>
    <w:rsid w:val="00583287"/>
    <w:rPr>
      <w:i/>
      <w:iCs/>
    </w:rPr>
  </w:style>
  <w:style w:type="paragraph" w:customStyle="1" w:styleId="af1">
    <w:name w:val="Заголовок таблицы"/>
    <w:basedOn w:val="a"/>
    <w:rsid w:val="00F86AE0"/>
    <w:pPr>
      <w:widowControl w:val="0"/>
      <w:suppressLineNumbers/>
      <w:suppressAutoHyphens/>
      <w:autoSpaceDE w:val="0"/>
      <w:jc w:val="center"/>
    </w:pPr>
    <w:rPr>
      <w:b/>
      <w:bCs/>
      <w:kern w:val="1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1311</Words>
  <Characters>9268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Коротка характеристика препарату</vt:lpstr>
      <vt:lpstr>Коротка характеристика препарату</vt:lpstr>
    </vt:vector>
  </TitlesOfParts>
  <Company>Pfizer H.C.P.Corp., Украина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LALAVER</dc:creator>
  <cp:lastModifiedBy>Lyuba_Kalynovska</cp:lastModifiedBy>
  <cp:revision>9</cp:revision>
  <cp:lastPrinted>2014-01-29T13:03:00Z</cp:lastPrinted>
  <dcterms:created xsi:type="dcterms:W3CDTF">2024-04-12T07:32:00Z</dcterms:created>
  <dcterms:modified xsi:type="dcterms:W3CDTF">2024-05-16T12:45:00Z</dcterms:modified>
</cp:coreProperties>
</file>