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60" w:rsidRPr="003912DC" w:rsidRDefault="00035860" w:rsidP="000358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912DC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035860" w:rsidRPr="003912DC" w:rsidRDefault="00035860" w:rsidP="000358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912DC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</w:t>
      </w:r>
      <w:r>
        <w:rPr>
          <w:rFonts w:ascii="Times New Roman" w:hAnsi="Times New Roman"/>
          <w:sz w:val="24"/>
          <w:szCs w:val="24"/>
          <w:lang w:val="uk-UA"/>
        </w:rPr>
        <w:t>50</w:t>
      </w:r>
      <w:r w:rsidRPr="003912DC">
        <w:rPr>
          <w:rFonts w:ascii="Times New Roman" w:hAnsi="Times New Roman"/>
          <w:sz w:val="24"/>
          <w:szCs w:val="24"/>
          <w:lang w:val="uk-UA"/>
        </w:rPr>
        <w:t>-01-14</w:t>
      </w:r>
    </w:p>
    <w:p w:rsidR="00035860" w:rsidRDefault="00035860" w:rsidP="002E0DB0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</w:p>
    <w:p w:rsidR="009C1C4F" w:rsidRDefault="009C1C4F" w:rsidP="002E0DB0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</w:p>
    <w:p w:rsidR="002E0DB0" w:rsidRPr="00D43493" w:rsidRDefault="002E0DB0" w:rsidP="002E0D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D43493">
        <w:rPr>
          <w:rFonts w:ascii="Times New Roman" w:hAnsi="Times New Roman"/>
          <w:b/>
          <w:bCs/>
          <w:caps/>
          <w:sz w:val="24"/>
          <w:szCs w:val="24"/>
          <w:lang w:val="uk-UA"/>
        </w:rPr>
        <w:t>О</w:t>
      </w:r>
      <w:r w:rsidRPr="00D43493">
        <w:rPr>
          <w:rFonts w:ascii="Times New Roman" w:hAnsi="Times New Roman"/>
          <w:b/>
          <w:bCs/>
          <w:sz w:val="24"/>
          <w:szCs w:val="24"/>
          <w:lang w:val="uk-UA"/>
        </w:rPr>
        <w:t>тодерм</w:t>
      </w:r>
      <w:proofErr w:type="spellEnd"/>
    </w:p>
    <w:p w:rsidR="003077A4" w:rsidRPr="00D43493" w:rsidRDefault="003077A4" w:rsidP="002E0DB0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bCs/>
          <w:sz w:val="24"/>
          <w:szCs w:val="24"/>
          <w:lang w:val="uk-UA"/>
        </w:rPr>
        <w:t>(мазь)</w:t>
      </w:r>
    </w:p>
    <w:p w:rsidR="002E0DB0" w:rsidRPr="00D43493" w:rsidRDefault="002E0DB0" w:rsidP="002E0DB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color w:val="000000"/>
          <w:sz w:val="24"/>
          <w:szCs w:val="24"/>
          <w:lang w:val="uk-UA"/>
        </w:rPr>
        <w:t>листівка-вкладка</w:t>
      </w:r>
    </w:p>
    <w:p w:rsidR="002E0DB0" w:rsidRPr="00D43493" w:rsidRDefault="002E0DB0" w:rsidP="002E0DB0">
      <w:pPr>
        <w:spacing w:after="0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Опис</w:t>
      </w:r>
      <w:r w:rsidRPr="00D4349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2E0DB0" w:rsidRPr="00D43493" w:rsidRDefault="002E0DB0" w:rsidP="003A005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</w:rPr>
        <w:t xml:space="preserve">Мазь </w:t>
      </w:r>
      <w:proofErr w:type="spellStart"/>
      <w:r w:rsidRPr="00D43493">
        <w:rPr>
          <w:rFonts w:ascii="Times New Roman" w:hAnsi="Times New Roman"/>
          <w:sz w:val="24"/>
          <w:szCs w:val="24"/>
        </w:rPr>
        <w:t>від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eastAsia="MS Mincho" w:hAnsi="Times New Roman"/>
          <w:sz w:val="24"/>
          <w:szCs w:val="24"/>
        </w:rPr>
        <w:t>жовтого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або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жовто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-коричневого до </w:t>
      </w:r>
      <w:proofErr w:type="gramStart"/>
      <w:r w:rsidRPr="00D43493">
        <w:rPr>
          <w:rFonts w:ascii="Times New Roman" w:hAnsi="Times New Roman"/>
          <w:sz w:val="24"/>
          <w:szCs w:val="24"/>
        </w:rPr>
        <w:t>темно-бурого</w:t>
      </w:r>
      <w:proofErr w:type="gram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кольору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однорідної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консистенції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зі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слабким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специфічним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запахом</w:t>
      </w:r>
      <w:r w:rsidRPr="00D43493">
        <w:rPr>
          <w:rFonts w:ascii="Times New Roman" w:hAnsi="Times New Roman"/>
          <w:sz w:val="24"/>
          <w:szCs w:val="24"/>
          <w:lang w:val="uk-UA"/>
        </w:rPr>
        <w:t>.</w:t>
      </w:r>
    </w:p>
    <w:p w:rsidR="002E0DB0" w:rsidRPr="00D43493" w:rsidRDefault="002E0DB0" w:rsidP="002E0DB0">
      <w:pPr>
        <w:spacing w:after="0"/>
        <w:ind w:firstLine="567"/>
        <w:rPr>
          <w:rStyle w:val="a4"/>
          <w:rFonts w:ascii="Times New Roman" w:hAnsi="Times New Roman"/>
          <w:color w:val="000000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>С</w:t>
      </w:r>
      <w:r w:rsidRPr="00D43493">
        <w:rPr>
          <w:rStyle w:val="a4"/>
          <w:rFonts w:ascii="Times New Roman" w:hAnsi="Times New Roman"/>
          <w:color w:val="000000"/>
          <w:sz w:val="24"/>
          <w:szCs w:val="24"/>
          <w:lang w:val="uk-UA"/>
        </w:rPr>
        <w:t xml:space="preserve">клад </w:t>
      </w:r>
    </w:p>
    <w:p w:rsidR="002E0DB0" w:rsidRPr="00D43493" w:rsidRDefault="002E0DB0" w:rsidP="007F68D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smartTag w:uri="urn:schemas-microsoft-com:office:smarttags" w:element="metricconverter">
        <w:smartTagPr>
          <w:attr w:name="ProductID" w:val="1 г"/>
        </w:smartTagPr>
        <w:r w:rsidRPr="00D43493">
          <w:rPr>
            <w:rFonts w:ascii="Times New Roman" w:hAnsi="Times New Roman"/>
            <w:sz w:val="24"/>
            <w:szCs w:val="24"/>
            <w:lang w:val="uk-UA" w:eastAsia="uk-UA"/>
          </w:rPr>
          <w:t>1 г</w:t>
        </w:r>
      </w:smartTag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 препарату містить діючі речовини:</w:t>
      </w:r>
    </w:p>
    <w:p w:rsidR="002E0DB0" w:rsidRPr="00D43493" w:rsidRDefault="002E0DB0" w:rsidP="007F68D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ab/>
      </w:r>
      <w:proofErr w:type="spellStart"/>
      <w:r w:rsidRPr="00D43493">
        <w:rPr>
          <w:rFonts w:ascii="Times New Roman" w:hAnsi="Times New Roman"/>
          <w:sz w:val="24"/>
          <w:szCs w:val="24"/>
          <w:lang w:val="uk-UA" w:eastAsia="uk-UA"/>
        </w:rPr>
        <w:t>клотримазол</w:t>
      </w:r>
      <w:proofErr w:type="spellEnd"/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43493">
        <w:rPr>
          <w:rFonts w:ascii="Times New Roman" w:hAnsi="Times New Roman"/>
          <w:sz w:val="24"/>
          <w:szCs w:val="24"/>
        </w:rPr>
        <w:t xml:space="preserve"> 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43493">
        <w:rPr>
          <w:rFonts w:ascii="Times New Roman" w:hAnsi="Times New Roman"/>
          <w:sz w:val="24"/>
          <w:szCs w:val="24"/>
        </w:rPr>
        <w:t xml:space="preserve">10 </w:t>
      </w:r>
      <w:r w:rsidRPr="00D43493">
        <w:rPr>
          <w:rFonts w:ascii="Times New Roman" w:hAnsi="Times New Roman"/>
          <w:sz w:val="24"/>
          <w:szCs w:val="24"/>
          <w:lang w:val="uk-UA"/>
        </w:rPr>
        <w:t>м</w:t>
      </w:r>
      <w:r w:rsidRPr="00D43493">
        <w:rPr>
          <w:rFonts w:ascii="Times New Roman" w:hAnsi="Times New Roman"/>
          <w:sz w:val="24"/>
          <w:szCs w:val="24"/>
          <w:lang w:val="uk-UA" w:eastAsia="uk-UA"/>
        </w:rPr>
        <w:t>г,</w:t>
      </w:r>
    </w:p>
    <w:p w:rsidR="002E0DB0" w:rsidRPr="00D43493" w:rsidRDefault="002E0DB0" w:rsidP="007F68D2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43493">
        <w:rPr>
          <w:rFonts w:ascii="Times New Roman" w:hAnsi="Times New Roman"/>
          <w:sz w:val="24"/>
          <w:szCs w:val="24"/>
          <w:lang w:val="uk-UA" w:eastAsia="uk-UA"/>
        </w:rPr>
        <w:t>гентаміцину</w:t>
      </w:r>
      <w:proofErr w:type="spellEnd"/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 сульфат </w:t>
      </w:r>
      <w:r w:rsidRPr="00D43493">
        <w:rPr>
          <w:rFonts w:ascii="Times New Roman" w:hAnsi="Times New Roman"/>
          <w:sz w:val="24"/>
          <w:szCs w:val="24"/>
        </w:rPr>
        <w:t>(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у перерахунку на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гентаміцин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з активністю 600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мкг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>/мг</w:t>
      </w:r>
      <w:r w:rsidRPr="00D43493">
        <w:rPr>
          <w:rFonts w:ascii="Times New Roman" w:hAnsi="Times New Roman"/>
          <w:sz w:val="24"/>
          <w:szCs w:val="24"/>
        </w:rPr>
        <w:t xml:space="preserve">) </w:t>
      </w:r>
      <w:r w:rsidRPr="00D43493">
        <w:rPr>
          <w:rFonts w:ascii="Times New Roman" w:hAnsi="Times New Roman"/>
          <w:sz w:val="24"/>
          <w:szCs w:val="24"/>
          <w:lang w:val="uk-UA"/>
        </w:rPr>
        <w:t>- 1</w:t>
      </w:r>
      <w:r w:rsidRPr="00D43493">
        <w:rPr>
          <w:rFonts w:ascii="Times New Roman" w:hAnsi="Times New Roman"/>
          <w:sz w:val="24"/>
          <w:szCs w:val="24"/>
        </w:rPr>
        <w:t xml:space="preserve"> мг</w:t>
      </w:r>
      <w:r w:rsidRPr="00D43493">
        <w:rPr>
          <w:rFonts w:ascii="Times New Roman" w:hAnsi="Times New Roman"/>
          <w:sz w:val="24"/>
          <w:szCs w:val="24"/>
          <w:lang w:val="uk-UA"/>
        </w:rPr>
        <w:t>,</w:t>
      </w:r>
    </w:p>
    <w:p w:rsidR="002E0DB0" w:rsidRPr="00D43493" w:rsidRDefault="002E0DB0" w:rsidP="007F68D2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>екстракт густий нагідок - 50 мг,</w:t>
      </w:r>
    </w:p>
    <w:p w:rsidR="002E0DB0" w:rsidRPr="00D43493" w:rsidRDefault="002E0DB0" w:rsidP="007F68D2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>екстракт густий деревію - 20 мг.</w:t>
      </w:r>
    </w:p>
    <w:p w:rsidR="002E0DB0" w:rsidRPr="003A0051" w:rsidRDefault="002E0DB0" w:rsidP="003A0051">
      <w:pPr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 xml:space="preserve">Допоміжні речовини: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пропіленгліколь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поліетиленгліколь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400 (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макрогол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400),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поліетиленгліколь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1500 (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макрогол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1500), емульгатор № 1, вода очищена.</w:t>
      </w:r>
    </w:p>
    <w:p w:rsidR="002E0DB0" w:rsidRPr="00D43493" w:rsidRDefault="002E0DB0" w:rsidP="002E0DB0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Style w:val="a4"/>
          <w:rFonts w:ascii="Times New Roman" w:hAnsi="Times New Roman"/>
          <w:color w:val="000000"/>
          <w:sz w:val="24"/>
          <w:szCs w:val="24"/>
          <w:lang w:val="uk-UA"/>
        </w:rPr>
        <w:t>Фармакологічні властивості</w:t>
      </w:r>
    </w:p>
    <w:p w:rsidR="002E0DB0" w:rsidRPr="00B0095B" w:rsidRDefault="002E0DB0" w:rsidP="002E0DB0">
      <w:pPr>
        <w:pStyle w:val="a3"/>
        <w:spacing w:before="0" w:beforeAutospacing="0" w:after="0" w:afterAutospacing="0" w:line="276" w:lineRule="auto"/>
        <w:ind w:firstLine="540"/>
        <w:jc w:val="both"/>
        <w:rPr>
          <w:b/>
          <w:color w:val="000000"/>
          <w:lang w:val="uk-UA"/>
        </w:rPr>
      </w:pPr>
      <w:r w:rsidRPr="00B0095B">
        <w:rPr>
          <w:b/>
          <w:i/>
          <w:color w:val="000000"/>
          <w:lang w:val="uk-UA"/>
        </w:rPr>
        <w:t>АТС</w:t>
      </w:r>
      <w:r w:rsidRPr="00B0095B">
        <w:rPr>
          <w:b/>
          <w:i/>
          <w:color w:val="000000"/>
          <w:lang w:val="en-US"/>
        </w:rPr>
        <w:t>vet</w:t>
      </w:r>
      <w:r w:rsidRPr="00B0095B">
        <w:rPr>
          <w:b/>
          <w:i/>
          <w:color w:val="000000"/>
          <w:lang w:val="uk-UA"/>
        </w:rPr>
        <w:t xml:space="preserve"> </w:t>
      </w:r>
      <w:r w:rsidRPr="00B0095B">
        <w:rPr>
          <w:b/>
          <w:i/>
          <w:lang w:val="en-US"/>
        </w:rPr>
        <w:t>Q</w:t>
      </w:r>
      <w:r w:rsidRPr="00B0095B">
        <w:rPr>
          <w:b/>
          <w:i/>
        </w:rPr>
        <w:t>D</w:t>
      </w:r>
      <w:r w:rsidRPr="00B0095B">
        <w:rPr>
          <w:b/>
          <w:i/>
          <w:lang w:val="uk-UA"/>
        </w:rPr>
        <w:t>01</w:t>
      </w:r>
      <w:r w:rsidRPr="00B0095B">
        <w:rPr>
          <w:b/>
          <w:i/>
        </w:rPr>
        <w:t>A</w:t>
      </w:r>
      <w:r w:rsidRPr="00B0095B">
        <w:rPr>
          <w:b/>
          <w:lang w:val="uk-UA"/>
        </w:rPr>
        <w:t xml:space="preserve"> -</w:t>
      </w:r>
      <w:r w:rsidRPr="00B0095B">
        <w:rPr>
          <w:b/>
          <w:color w:val="000000"/>
          <w:lang w:val="uk-UA"/>
        </w:rPr>
        <w:t xml:space="preserve"> </w:t>
      </w:r>
      <w:r w:rsidRPr="00B0095B">
        <w:rPr>
          <w:b/>
          <w:lang w:val="uk-UA"/>
        </w:rPr>
        <w:t>п</w:t>
      </w:r>
      <w:proofErr w:type="spellStart"/>
      <w:r w:rsidRPr="00B0095B">
        <w:rPr>
          <w:b/>
        </w:rPr>
        <w:t>ротигрибкові</w:t>
      </w:r>
      <w:proofErr w:type="spellEnd"/>
      <w:r w:rsidRPr="00B0095B">
        <w:rPr>
          <w:b/>
        </w:rPr>
        <w:t xml:space="preserve"> </w:t>
      </w:r>
      <w:r w:rsidRPr="00B0095B">
        <w:rPr>
          <w:b/>
          <w:lang w:val="uk-UA"/>
        </w:rPr>
        <w:t>ветеринарні препарати</w:t>
      </w:r>
      <w:r w:rsidRPr="00B0095B">
        <w:rPr>
          <w:b/>
        </w:rPr>
        <w:t xml:space="preserve"> для </w:t>
      </w:r>
      <w:proofErr w:type="spellStart"/>
      <w:r w:rsidRPr="00B0095B">
        <w:rPr>
          <w:b/>
        </w:rPr>
        <w:t>місцевого</w:t>
      </w:r>
      <w:proofErr w:type="spellEnd"/>
      <w:r w:rsidRPr="00B0095B">
        <w:rPr>
          <w:b/>
        </w:rPr>
        <w:t xml:space="preserve"> </w:t>
      </w:r>
      <w:proofErr w:type="spellStart"/>
      <w:r w:rsidRPr="00B0095B">
        <w:rPr>
          <w:b/>
        </w:rPr>
        <w:t>застосування</w:t>
      </w:r>
      <w:proofErr w:type="spellEnd"/>
      <w:r w:rsidRPr="00B0095B">
        <w:rPr>
          <w:b/>
          <w:lang w:val="uk-UA"/>
        </w:rPr>
        <w:t>.</w:t>
      </w:r>
    </w:p>
    <w:p w:rsidR="002E0DB0" w:rsidRPr="00D43493" w:rsidRDefault="002E0DB0" w:rsidP="002E0DB0">
      <w:pPr>
        <w:pStyle w:val="a3"/>
        <w:spacing w:before="0" w:beforeAutospacing="0" w:after="0" w:afterAutospacing="0" w:line="276" w:lineRule="auto"/>
        <w:ind w:firstLine="540"/>
        <w:jc w:val="both"/>
        <w:rPr>
          <w:lang w:val="uk-UA"/>
        </w:rPr>
      </w:pPr>
      <w:proofErr w:type="spellStart"/>
      <w:r w:rsidRPr="00D43493">
        <w:rPr>
          <w:lang w:val="uk-UA"/>
        </w:rPr>
        <w:t>Отодерм</w:t>
      </w:r>
      <w:proofErr w:type="spellEnd"/>
      <w:r w:rsidRPr="00D43493">
        <w:rPr>
          <w:lang w:val="uk-UA"/>
        </w:rPr>
        <w:t xml:space="preserve"> – ефективний протигрибковий та антибактеріальний засіб із протизапальними та репаративними властивостями. Протигрибкова складова препарату – </w:t>
      </w:r>
      <w:proofErr w:type="spellStart"/>
      <w:r w:rsidRPr="00D43493">
        <w:rPr>
          <w:lang w:val="uk-UA"/>
        </w:rPr>
        <w:t>клотримазол</w:t>
      </w:r>
      <w:proofErr w:type="spellEnd"/>
      <w:r w:rsidRPr="00D43493">
        <w:rPr>
          <w:lang w:val="uk-UA"/>
        </w:rPr>
        <w:t xml:space="preserve"> (похідне </w:t>
      </w:r>
      <w:proofErr w:type="spellStart"/>
      <w:r w:rsidRPr="00D43493">
        <w:rPr>
          <w:lang w:val="uk-UA"/>
        </w:rPr>
        <w:t>імідазолів</w:t>
      </w:r>
      <w:proofErr w:type="spellEnd"/>
      <w:r w:rsidRPr="00D43493">
        <w:rPr>
          <w:lang w:val="uk-UA"/>
        </w:rPr>
        <w:t>), впливаючи на клітинну мембрану грибків, порушує її проникність для амінокислот, глюкози, фосфатів, іонів К</w:t>
      </w:r>
      <w:r w:rsidRPr="00D43493">
        <w:rPr>
          <w:vertAlign w:val="superscript"/>
          <w:lang w:val="uk-UA"/>
        </w:rPr>
        <w:t>+</w:t>
      </w:r>
      <w:r w:rsidRPr="00D43493">
        <w:rPr>
          <w:lang w:val="uk-UA"/>
        </w:rPr>
        <w:t xml:space="preserve"> та </w:t>
      </w:r>
      <w:proofErr w:type="spellStart"/>
      <w:r w:rsidRPr="00D43493">
        <w:t>Na</w:t>
      </w:r>
      <w:proofErr w:type="spellEnd"/>
      <w:r w:rsidRPr="00D43493">
        <w:rPr>
          <w:vertAlign w:val="superscript"/>
          <w:lang w:val="uk-UA"/>
        </w:rPr>
        <w:t>+</w:t>
      </w:r>
      <w:r w:rsidRPr="00D43493">
        <w:rPr>
          <w:lang w:val="uk-UA"/>
        </w:rPr>
        <w:t xml:space="preserve"> тощо, що призводить до лізису мікроорганізму. </w:t>
      </w:r>
      <w:proofErr w:type="spellStart"/>
      <w:r w:rsidRPr="00D43493">
        <w:rPr>
          <w:lang w:val="uk-UA"/>
        </w:rPr>
        <w:t>Клотримазол</w:t>
      </w:r>
      <w:proofErr w:type="spellEnd"/>
      <w:r w:rsidRPr="00D43493">
        <w:rPr>
          <w:lang w:val="uk-UA"/>
        </w:rPr>
        <w:t xml:space="preserve"> ефективний відносно </w:t>
      </w:r>
      <w:proofErr w:type="spellStart"/>
      <w:r w:rsidRPr="00D43493">
        <w:rPr>
          <w:lang w:val="uk-UA"/>
        </w:rPr>
        <w:t>дерматофітів</w:t>
      </w:r>
      <w:proofErr w:type="spellEnd"/>
      <w:r w:rsidRPr="00D43493">
        <w:rPr>
          <w:lang w:val="uk-UA"/>
        </w:rPr>
        <w:t xml:space="preserve"> (</w:t>
      </w:r>
      <w:proofErr w:type="spellStart"/>
      <w:r w:rsidRPr="00D43493">
        <w:rPr>
          <w:i/>
        </w:rPr>
        <w:t>Trichophyton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rubrum</w:t>
      </w:r>
      <w:proofErr w:type="spellEnd"/>
      <w:r w:rsidRPr="00D43493">
        <w:rPr>
          <w:lang w:val="uk-UA"/>
        </w:rPr>
        <w:t xml:space="preserve">, </w:t>
      </w:r>
      <w:proofErr w:type="spellStart"/>
      <w:r w:rsidRPr="00D43493">
        <w:rPr>
          <w:i/>
        </w:rPr>
        <w:t>Trichophyton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mentagrophytes</w:t>
      </w:r>
      <w:proofErr w:type="spellEnd"/>
      <w:r w:rsidRPr="00D43493">
        <w:rPr>
          <w:lang w:val="uk-UA"/>
        </w:rPr>
        <w:t xml:space="preserve">, </w:t>
      </w:r>
      <w:proofErr w:type="spellStart"/>
      <w:r w:rsidRPr="00D43493">
        <w:rPr>
          <w:i/>
        </w:rPr>
        <w:t>Epidermophyton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floccosum</w:t>
      </w:r>
      <w:proofErr w:type="spellEnd"/>
      <w:r w:rsidRPr="00D43493">
        <w:rPr>
          <w:lang w:val="uk-UA"/>
        </w:rPr>
        <w:t xml:space="preserve">), </w:t>
      </w:r>
      <w:proofErr w:type="spellStart"/>
      <w:r w:rsidRPr="00D43493">
        <w:rPr>
          <w:lang w:val="uk-UA"/>
        </w:rPr>
        <w:t>дріжджоподібних</w:t>
      </w:r>
      <w:proofErr w:type="spellEnd"/>
      <w:r w:rsidRPr="00D43493">
        <w:rPr>
          <w:lang w:val="uk-UA"/>
        </w:rPr>
        <w:t xml:space="preserve"> (</w:t>
      </w:r>
      <w:proofErr w:type="spellStart"/>
      <w:r w:rsidRPr="00D43493">
        <w:rPr>
          <w:i/>
        </w:rPr>
        <w:t>Candida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albicans</w:t>
      </w:r>
      <w:proofErr w:type="spellEnd"/>
      <w:r w:rsidRPr="00D43493">
        <w:rPr>
          <w:lang w:val="uk-UA"/>
        </w:rPr>
        <w:t xml:space="preserve">, </w:t>
      </w:r>
      <w:proofErr w:type="spellStart"/>
      <w:r w:rsidRPr="00D43493">
        <w:rPr>
          <w:i/>
        </w:rPr>
        <w:t>Candida</w:t>
      </w:r>
      <w:proofErr w:type="spellEnd"/>
      <w:r w:rsidRPr="00D43493">
        <w:rPr>
          <w:lang w:val="uk-UA"/>
        </w:rPr>
        <w:t xml:space="preserve"> </w:t>
      </w:r>
      <w:proofErr w:type="spellStart"/>
      <w:r w:rsidRPr="00D43493">
        <w:rPr>
          <w:i/>
        </w:rPr>
        <w:t>pseudotropicalis</w:t>
      </w:r>
      <w:proofErr w:type="spellEnd"/>
      <w:r w:rsidRPr="00D43493">
        <w:rPr>
          <w:lang w:val="uk-UA"/>
        </w:rPr>
        <w:t xml:space="preserve">, </w:t>
      </w:r>
      <w:proofErr w:type="spellStart"/>
      <w:r w:rsidRPr="00D43493">
        <w:rPr>
          <w:i/>
        </w:rPr>
        <w:t>Candida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neoformans</w:t>
      </w:r>
      <w:proofErr w:type="spellEnd"/>
      <w:r w:rsidRPr="00D43493">
        <w:rPr>
          <w:lang w:val="uk-UA"/>
        </w:rPr>
        <w:t xml:space="preserve">) та пліснявих грибів (рід </w:t>
      </w:r>
      <w:proofErr w:type="spellStart"/>
      <w:r w:rsidRPr="00D43493">
        <w:rPr>
          <w:i/>
        </w:rPr>
        <w:t>Aspergillus</w:t>
      </w:r>
      <w:proofErr w:type="spellEnd"/>
      <w:r w:rsidRPr="00D43493">
        <w:rPr>
          <w:lang w:val="uk-UA"/>
        </w:rPr>
        <w:t>).</w:t>
      </w:r>
    </w:p>
    <w:p w:rsidR="002E0DB0" w:rsidRPr="00D43493" w:rsidRDefault="002E0DB0" w:rsidP="002E0DB0">
      <w:pPr>
        <w:pStyle w:val="a3"/>
        <w:spacing w:before="0" w:beforeAutospacing="0" w:after="0" w:afterAutospacing="0" w:line="276" w:lineRule="auto"/>
        <w:ind w:firstLine="540"/>
        <w:jc w:val="both"/>
        <w:rPr>
          <w:lang w:val="uk-UA"/>
        </w:rPr>
      </w:pPr>
      <w:proofErr w:type="spellStart"/>
      <w:r w:rsidRPr="00D43493">
        <w:rPr>
          <w:lang w:val="uk-UA"/>
        </w:rPr>
        <w:t>Гентаміцин</w:t>
      </w:r>
      <w:proofErr w:type="spellEnd"/>
      <w:r w:rsidRPr="00D43493">
        <w:rPr>
          <w:lang w:val="uk-UA"/>
        </w:rPr>
        <w:t xml:space="preserve"> – </w:t>
      </w:r>
      <w:proofErr w:type="spellStart"/>
      <w:r w:rsidRPr="00D43493">
        <w:rPr>
          <w:lang w:val="uk-UA"/>
        </w:rPr>
        <w:t>аміноглікозидний</w:t>
      </w:r>
      <w:proofErr w:type="spellEnd"/>
      <w:r w:rsidRPr="00D43493">
        <w:rPr>
          <w:lang w:val="uk-UA"/>
        </w:rPr>
        <w:t xml:space="preserve"> антибіо</w:t>
      </w:r>
      <w:r w:rsidR="003A0051">
        <w:rPr>
          <w:lang w:val="uk-UA"/>
        </w:rPr>
        <w:t xml:space="preserve">тик, що </w:t>
      </w:r>
      <w:r w:rsidRPr="00D43493">
        <w:rPr>
          <w:lang w:val="uk-UA"/>
        </w:rPr>
        <w:t xml:space="preserve">потенціює дію препарату відносно </w:t>
      </w:r>
      <w:proofErr w:type="spellStart"/>
      <w:r w:rsidRPr="00D43493">
        <w:rPr>
          <w:lang w:val="uk-UA"/>
        </w:rPr>
        <w:t>грампозитивних</w:t>
      </w:r>
      <w:proofErr w:type="spellEnd"/>
      <w:r w:rsidRPr="00D43493">
        <w:rPr>
          <w:lang w:val="uk-UA"/>
        </w:rPr>
        <w:t xml:space="preserve"> </w:t>
      </w:r>
      <w:r w:rsidR="003A0051">
        <w:rPr>
          <w:lang w:val="uk-UA"/>
        </w:rPr>
        <w:t>бактерій (стафілококів</w:t>
      </w:r>
      <w:r w:rsidRPr="00D43493">
        <w:rPr>
          <w:lang w:val="uk-UA"/>
        </w:rPr>
        <w:t xml:space="preserve"> (у тому числі резистентних до пеніциліну і </w:t>
      </w:r>
      <w:proofErr w:type="spellStart"/>
      <w:r w:rsidRPr="00D43493">
        <w:rPr>
          <w:lang w:val="uk-UA"/>
        </w:rPr>
        <w:t>цефалоспоринів</w:t>
      </w:r>
      <w:proofErr w:type="spellEnd"/>
      <w:r w:rsidRPr="00D43493">
        <w:rPr>
          <w:lang w:val="uk-UA"/>
        </w:rPr>
        <w:t>) та стрептококів</w:t>
      </w:r>
      <w:r w:rsidR="003A0051">
        <w:rPr>
          <w:lang w:val="uk-UA"/>
        </w:rPr>
        <w:t>)</w:t>
      </w:r>
      <w:r w:rsidRPr="00D43493">
        <w:rPr>
          <w:lang w:val="uk-UA"/>
        </w:rPr>
        <w:t xml:space="preserve">. Він впливає на деякі </w:t>
      </w:r>
      <w:proofErr w:type="spellStart"/>
      <w:r w:rsidRPr="00D43493">
        <w:rPr>
          <w:lang w:val="uk-UA"/>
        </w:rPr>
        <w:t>грамнегативні</w:t>
      </w:r>
      <w:proofErr w:type="spellEnd"/>
      <w:r w:rsidRPr="00D43493">
        <w:rPr>
          <w:lang w:val="uk-UA"/>
        </w:rPr>
        <w:t xml:space="preserve"> бактерії</w:t>
      </w:r>
      <w:r w:rsidR="003A0051">
        <w:rPr>
          <w:lang w:val="uk-UA"/>
        </w:rPr>
        <w:t xml:space="preserve"> і гриби</w:t>
      </w:r>
      <w:r w:rsidRPr="00D43493">
        <w:rPr>
          <w:lang w:val="uk-UA"/>
        </w:rPr>
        <w:t xml:space="preserve"> (</w:t>
      </w:r>
      <w:proofErr w:type="spellStart"/>
      <w:r w:rsidRPr="00D43493">
        <w:rPr>
          <w:i/>
        </w:rPr>
        <w:t>Bacteroides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t>spp</w:t>
      </w:r>
      <w:proofErr w:type="spellEnd"/>
      <w:r w:rsidRPr="00D43493">
        <w:rPr>
          <w:lang w:val="uk-UA"/>
        </w:rPr>
        <w:t xml:space="preserve">., </w:t>
      </w:r>
      <w:proofErr w:type="spellStart"/>
      <w:proofErr w:type="gramStart"/>
      <w:r w:rsidR="002F56F1" w:rsidRPr="00D43493">
        <w:rPr>
          <w:i/>
        </w:rPr>
        <w:t>Corinebacterium</w:t>
      </w:r>
      <w:proofErr w:type="spellEnd"/>
      <w:r w:rsidR="002F56F1" w:rsidRPr="00D43493">
        <w:rPr>
          <w:i/>
          <w:lang w:val="uk-UA"/>
        </w:rPr>
        <w:t xml:space="preserve"> </w:t>
      </w:r>
      <w:proofErr w:type="spellStart"/>
      <w:r w:rsidR="002F56F1" w:rsidRPr="00D43493">
        <w:rPr>
          <w:i/>
        </w:rPr>
        <w:t>minutissimum</w:t>
      </w:r>
      <w:proofErr w:type="spellEnd"/>
      <w:r w:rsidR="002F56F1" w:rsidRPr="00D43493">
        <w:rPr>
          <w:lang w:val="uk-UA"/>
        </w:rPr>
        <w:t>,</w:t>
      </w:r>
      <w:r w:rsidR="002F56F1" w:rsidRPr="00D43493">
        <w:rPr>
          <w:i/>
          <w:iCs/>
          <w:lang w:val="uk-UA"/>
        </w:rPr>
        <w:t xml:space="preserve"> </w:t>
      </w:r>
      <w:proofErr w:type="spellStart"/>
      <w:r w:rsidR="002F56F1" w:rsidRPr="00D43493">
        <w:rPr>
          <w:i/>
          <w:iCs/>
        </w:rPr>
        <w:t>Pseudomonas</w:t>
      </w:r>
      <w:proofErr w:type="spellEnd"/>
      <w:r w:rsidR="002F56F1" w:rsidRPr="00D43493">
        <w:rPr>
          <w:i/>
          <w:iCs/>
          <w:lang w:val="uk-UA"/>
        </w:rPr>
        <w:t xml:space="preserve"> </w:t>
      </w:r>
      <w:proofErr w:type="spellStart"/>
      <w:r w:rsidR="002F56F1" w:rsidRPr="00D43493">
        <w:rPr>
          <w:i/>
          <w:iCs/>
        </w:rPr>
        <w:t>aeruginosa</w:t>
      </w:r>
      <w:proofErr w:type="spellEnd"/>
      <w:r w:rsidR="002F56F1">
        <w:rPr>
          <w:i/>
          <w:iCs/>
          <w:lang w:val="uk-UA"/>
        </w:rPr>
        <w:t>,</w:t>
      </w:r>
      <w:bookmarkStart w:id="0" w:name="_GoBack"/>
      <w:bookmarkEnd w:id="0"/>
      <w:r w:rsidR="002F56F1" w:rsidRPr="002F56F1">
        <w:rPr>
          <w:i/>
          <w:lang w:val="uk-UA"/>
        </w:rPr>
        <w:t xml:space="preserve"> </w:t>
      </w:r>
      <w:proofErr w:type="spellStart"/>
      <w:r w:rsidRPr="00D43493">
        <w:rPr>
          <w:i/>
        </w:rPr>
        <w:t>Malassezia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  <w:lang w:val="en-US"/>
        </w:rPr>
        <w:t>pitiriformis</w:t>
      </w:r>
      <w:proofErr w:type="spellEnd"/>
      <w:r w:rsidRPr="00D43493">
        <w:rPr>
          <w:lang w:val="uk-UA"/>
        </w:rPr>
        <w:t xml:space="preserve">, </w:t>
      </w:r>
      <w:proofErr w:type="spellStart"/>
      <w:r w:rsidRPr="00D43493">
        <w:rPr>
          <w:i/>
        </w:rPr>
        <w:t>Malassezia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pachydermatis</w:t>
      </w:r>
      <w:proofErr w:type="spellEnd"/>
      <w:r w:rsidRPr="00D43493">
        <w:rPr>
          <w:lang w:val="uk-UA"/>
        </w:rPr>
        <w:t xml:space="preserve">, </w:t>
      </w:r>
      <w:proofErr w:type="spellStart"/>
      <w:r w:rsidRPr="00D43493">
        <w:rPr>
          <w:i/>
        </w:rPr>
        <w:t>Malassezia</w:t>
      </w:r>
      <w:proofErr w:type="spellEnd"/>
      <w:r w:rsidRPr="00D43493">
        <w:rPr>
          <w:i/>
          <w:lang w:val="uk-UA"/>
        </w:rPr>
        <w:t xml:space="preserve"> </w:t>
      </w:r>
      <w:proofErr w:type="spellStart"/>
      <w:r w:rsidRPr="00D43493">
        <w:rPr>
          <w:i/>
        </w:rPr>
        <w:t>furtur</w:t>
      </w:r>
      <w:proofErr w:type="spellEnd"/>
      <w:r w:rsidRPr="00D43493">
        <w:rPr>
          <w:lang w:val="uk-UA"/>
        </w:rPr>
        <w:t xml:space="preserve">). </w:t>
      </w:r>
      <w:proofErr w:type="gramEnd"/>
    </w:p>
    <w:p w:rsidR="002E0DB0" w:rsidRPr="00D43493" w:rsidRDefault="002E0DB0" w:rsidP="002E0DB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 xml:space="preserve">Екстракти календули та деревію прискорюють процеси регенерації та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епітелізації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пошкодженої тканини. Гідрофільна основа, яка має високу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гіперосмолярну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активність, сприяє поглинанню запального ексудату, знижуючи тим самим концентрацію бактерій у вогнищі запалення, токсинів, які вони виділяють, і продуктів розпаду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некротизованих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тканин.</w:t>
      </w:r>
    </w:p>
    <w:p w:rsidR="001C3D23" w:rsidRPr="00D43493" w:rsidRDefault="003E69AA" w:rsidP="00DA6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Складові компоненти препарату не викликають </w:t>
      </w:r>
      <w:proofErr w:type="spellStart"/>
      <w:r w:rsidRPr="00D43493">
        <w:rPr>
          <w:rFonts w:ascii="Times New Roman" w:hAnsi="Times New Roman"/>
          <w:sz w:val="24"/>
          <w:szCs w:val="24"/>
          <w:lang w:val="uk-UA" w:eastAsia="uk-UA"/>
        </w:rPr>
        <w:t>шікрно-резорбтивної</w:t>
      </w:r>
      <w:proofErr w:type="spellEnd"/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 дії та не потрапляють у системний кровообіг.</w:t>
      </w:r>
    </w:p>
    <w:p w:rsidR="002E0DB0" w:rsidRPr="00D43493" w:rsidRDefault="002E0DB0" w:rsidP="002E0DB0">
      <w:pPr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Застосування</w:t>
      </w:r>
    </w:p>
    <w:p w:rsidR="009C1C4F" w:rsidRPr="00D43493" w:rsidRDefault="00FB3CCC" w:rsidP="004D0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4A04">
        <w:rPr>
          <w:rFonts w:ascii="Times New Roman" w:hAnsi="Times New Roman"/>
          <w:sz w:val="24"/>
          <w:szCs w:val="24"/>
          <w:lang w:val="uk-UA" w:eastAsia="uk-UA"/>
        </w:rPr>
        <w:t>Лікування собак та котів, хворих на гострі та хронічні зовнішні отити, дерматити</w:t>
      </w:r>
      <w:r w:rsidRPr="0059213F">
        <w:rPr>
          <w:rFonts w:ascii="Times New Roman" w:hAnsi="Times New Roman"/>
          <w:sz w:val="24"/>
          <w:szCs w:val="24"/>
          <w:lang w:val="uk-UA" w:eastAsia="uk-UA"/>
        </w:rPr>
        <w:t xml:space="preserve"> у д</w:t>
      </w:r>
      <w:r w:rsidR="0059213F" w:rsidRPr="0059213F"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59213F">
        <w:rPr>
          <w:rFonts w:ascii="Times New Roman" w:hAnsi="Times New Roman"/>
          <w:sz w:val="24"/>
          <w:szCs w:val="24"/>
          <w:lang w:val="uk-UA" w:eastAsia="uk-UA"/>
        </w:rPr>
        <w:t xml:space="preserve">лянці вуха, що спричинені грибами та </w:t>
      </w:r>
      <w:r w:rsidR="00547B17">
        <w:rPr>
          <w:rFonts w:ascii="Times New Roman" w:hAnsi="Times New Roman"/>
          <w:sz w:val="24"/>
          <w:szCs w:val="24"/>
          <w:lang w:val="uk-UA" w:eastAsia="uk-UA"/>
        </w:rPr>
        <w:t>бактеріями</w:t>
      </w:r>
      <w:r w:rsidRPr="0059213F">
        <w:rPr>
          <w:rFonts w:ascii="Times New Roman" w:hAnsi="Times New Roman"/>
          <w:sz w:val="24"/>
          <w:szCs w:val="24"/>
          <w:lang w:val="uk-UA" w:eastAsia="uk-UA"/>
        </w:rPr>
        <w:t xml:space="preserve">, чутливими до </w:t>
      </w:r>
      <w:proofErr w:type="spellStart"/>
      <w:r w:rsidRPr="0059213F">
        <w:rPr>
          <w:rFonts w:ascii="Times New Roman" w:hAnsi="Times New Roman"/>
          <w:sz w:val="24"/>
          <w:szCs w:val="24"/>
          <w:lang w:val="uk-UA" w:eastAsia="uk-UA"/>
        </w:rPr>
        <w:t>клотримазо</w:t>
      </w:r>
      <w:r w:rsidRPr="004A4A04">
        <w:rPr>
          <w:rFonts w:ascii="Times New Roman" w:hAnsi="Times New Roman"/>
          <w:sz w:val="24"/>
          <w:szCs w:val="24"/>
          <w:lang w:val="uk-UA" w:eastAsia="uk-UA"/>
        </w:rPr>
        <w:t>лу</w:t>
      </w:r>
      <w:proofErr w:type="spellEnd"/>
      <w:r w:rsidRPr="004A4A04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Pr="004A4A04">
        <w:rPr>
          <w:rFonts w:ascii="Times New Roman" w:hAnsi="Times New Roman"/>
          <w:sz w:val="24"/>
          <w:szCs w:val="24"/>
          <w:lang w:val="uk-UA" w:eastAsia="uk-UA"/>
        </w:rPr>
        <w:t>гентаміцину</w:t>
      </w:r>
      <w:proofErr w:type="spellEnd"/>
      <w:r w:rsidRPr="004A4A04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2E0DB0" w:rsidRPr="00D43493" w:rsidRDefault="002E0DB0" w:rsidP="002E0DB0">
      <w:pPr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Дозування</w:t>
      </w:r>
    </w:p>
    <w:p w:rsidR="002E0DB0" w:rsidRPr="00D43493" w:rsidRDefault="002E0DB0" w:rsidP="002E0D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3493">
        <w:rPr>
          <w:rFonts w:ascii="Times New Roman" w:hAnsi="Times New Roman"/>
          <w:color w:val="000000"/>
          <w:sz w:val="24"/>
          <w:szCs w:val="24"/>
          <w:lang w:val="uk-UA"/>
        </w:rPr>
        <w:t>Зовнішньо, місцево</w:t>
      </w:r>
      <w:r w:rsidRPr="00D4349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43493">
        <w:rPr>
          <w:rFonts w:ascii="Times New Roman" w:hAnsi="Times New Roman"/>
          <w:color w:val="000000"/>
          <w:sz w:val="24"/>
          <w:szCs w:val="24"/>
          <w:lang w:val="uk-UA"/>
        </w:rPr>
        <w:t>Препарат наносять тонким шаром на очищені від шерсті та бруду уражені</w:t>
      </w:r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ділянки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шкіри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1-</w:t>
      </w:r>
      <w:r w:rsidRPr="00D43493">
        <w:rPr>
          <w:rFonts w:ascii="Times New Roman" w:hAnsi="Times New Roman"/>
          <w:sz w:val="24"/>
          <w:szCs w:val="24"/>
        </w:rPr>
        <w:t>2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43493">
        <w:rPr>
          <w:rFonts w:ascii="Times New Roman" w:hAnsi="Times New Roman"/>
          <w:sz w:val="24"/>
          <w:szCs w:val="24"/>
        </w:rPr>
        <w:t xml:space="preserve">рази на день. Курс </w:t>
      </w:r>
      <w:proofErr w:type="spellStart"/>
      <w:r w:rsidRPr="00D43493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залежить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від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характеру, </w:t>
      </w:r>
      <w:proofErr w:type="spellStart"/>
      <w:r w:rsidRPr="00D43493">
        <w:rPr>
          <w:rFonts w:ascii="Times New Roman" w:hAnsi="Times New Roman"/>
          <w:sz w:val="24"/>
          <w:szCs w:val="24"/>
        </w:rPr>
        <w:t>тяжкості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перебігу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захворювання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43493">
        <w:rPr>
          <w:rFonts w:ascii="Times New Roman" w:hAnsi="Times New Roman"/>
          <w:sz w:val="24"/>
          <w:szCs w:val="24"/>
        </w:rPr>
        <w:t>площі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ураженої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поверхні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і становить у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середньому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від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r w:rsidRPr="00D43493">
        <w:rPr>
          <w:rFonts w:ascii="Times New Roman" w:hAnsi="Times New Roman"/>
          <w:sz w:val="24"/>
          <w:szCs w:val="24"/>
          <w:lang w:val="uk-UA"/>
        </w:rPr>
        <w:t>1</w:t>
      </w:r>
      <w:r w:rsidRPr="00D43493">
        <w:rPr>
          <w:rFonts w:ascii="Times New Roman" w:hAnsi="Times New Roman"/>
          <w:sz w:val="24"/>
          <w:szCs w:val="24"/>
        </w:rPr>
        <w:t xml:space="preserve"> до </w:t>
      </w:r>
      <w:r w:rsidRPr="00D43493">
        <w:rPr>
          <w:rFonts w:ascii="Times New Roman" w:hAnsi="Times New Roman"/>
          <w:sz w:val="24"/>
          <w:szCs w:val="24"/>
          <w:lang w:val="uk-UA"/>
        </w:rPr>
        <w:t>2</w:t>
      </w:r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тижні</w:t>
      </w:r>
      <w:proofErr w:type="gramStart"/>
      <w:r w:rsidRPr="00D4349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43493">
        <w:rPr>
          <w:rFonts w:ascii="Times New Roman" w:hAnsi="Times New Roman"/>
          <w:sz w:val="24"/>
          <w:szCs w:val="24"/>
        </w:rPr>
        <w:t>.</w:t>
      </w:r>
    </w:p>
    <w:p w:rsidR="00DA6805" w:rsidRPr="00D43493" w:rsidRDefault="00DA6805" w:rsidP="00DA68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 2</w:t>
      </w:r>
    </w:p>
    <w:p w:rsidR="00DA6805" w:rsidRPr="00D43493" w:rsidRDefault="00DA6805" w:rsidP="00DA68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АВ-05150-01-14</w:t>
      </w:r>
    </w:p>
    <w:p w:rsidR="00DA6805" w:rsidRDefault="00DA6805" w:rsidP="002E0D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12D1" w:rsidRDefault="00A112D1" w:rsidP="002E0D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DB0" w:rsidRPr="00D43493" w:rsidRDefault="002E0DB0" w:rsidP="002E0D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 xml:space="preserve">При лікуванні гострого ексудативного отиту, </w:t>
      </w:r>
      <w:r w:rsidR="00EC448A" w:rsidRPr="00D43493">
        <w:rPr>
          <w:rFonts w:ascii="Times New Roman" w:hAnsi="Times New Roman"/>
          <w:sz w:val="24"/>
          <w:szCs w:val="24"/>
          <w:lang w:val="uk-UA"/>
        </w:rPr>
        <w:t>препарат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вводять за допомогою гнучкої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канюлі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в вушний прохід залежно від розмірів тварини (від 0,5 до 2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мл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) 1-2 рази на добу. При лікуванні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без</w:t>
      </w:r>
      <w:r w:rsidR="00A921D1">
        <w:rPr>
          <w:rFonts w:ascii="Times New Roman" w:hAnsi="Times New Roman"/>
          <w:sz w:val="24"/>
          <w:szCs w:val="24"/>
          <w:lang w:val="uk-UA"/>
        </w:rPr>
        <w:t>ексудативних</w:t>
      </w:r>
      <w:proofErr w:type="spellEnd"/>
      <w:r w:rsidR="00A921D1">
        <w:rPr>
          <w:rFonts w:ascii="Times New Roman" w:hAnsi="Times New Roman"/>
          <w:sz w:val="24"/>
          <w:szCs w:val="24"/>
          <w:lang w:val="uk-UA"/>
        </w:rPr>
        <w:t>, грибкових отитів препарат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вводять глибоко у вушний прохід за допомогою змащеного тампону або наносять вушною паличкою 1-2 рази на добу.</w:t>
      </w:r>
    </w:p>
    <w:p w:rsidR="002E0DB0" w:rsidRPr="00DA6805" w:rsidRDefault="002E0DB0" w:rsidP="00DA6805">
      <w:pPr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>Курс лікування в середньому триває 10-14 діб. Тривалість лікування визначається індивідуально спеціалістом з ветеринарної медицини.</w:t>
      </w:r>
    </w:p>
    <w:p w:rsidR="00CF249A" w:rsidRPr="00D43493" w:rsidRDefault="002E0DB0" w:rsidP="00CF249A">
      <w:pPr>
        <w:spacing w:after="0"/>
        <w:ind w:firstLine="567"/>
        <w:rPr>
          <w:rStyle w:val="a4"/>
          <w:rFonts w:ascii="Times New Roman" w:hAnsi="Times New Roman"/>
          <w:color w:val="000000"/>
          <w:sz w:val="24"/>
          <w:szCs w:val="24"/>
          <w:lang w:val="uk-UA"/>
        </w:rPr>
      </w:pPr>
      <w:r w:rsidRPr="00D43493">
        <w:rPr>
          <w:rStyle w:val="a4"/>
          <w:rFonts w:ascii="Times New Roman" w:hAnsi="Times New Roman"/>
          <w:color w:val="000000"/>
          <w:sz w:val="24"/>
          <w:szCs w:val="24"/>
          <w:lang w:val="uk-UA"/>
        </w:rPr>
        <w:t>Протипоказання</w:t>
      </w:r>
    </w:p>
    <w:p w:rsidR="002E0DB0" w:rsidRPr="00DA6805" w:rsidRDefault="002E0DB0" w:rsidP="00DA680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D43493">
        <w:rPr>
          <w:rFonts w:ascii="Times New Roman" w:hAnsi="Times New Roman"/>
          <w:sz w:val="24"/>
          <w:szCs w:val="24"/>
        </w:rPr>
        <w:t>П</w:t>
      </w:r>
      <w:proofErr w:type="gramEnd"/>
      <w:r w:rsidRPr="00D43493">
        <w:rPr>
          <w:rFonts w:ascii="Times New Roman" w:hAnsi="Times New Roman"/>
          <w:sz w:val="24"/>
          <w:szCs w:val="24"/>
        </w:rPr>
        <w:t>ідвищена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чутливість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43493">
        <w:rPr>
          <w:rFonts w:ascii="Times New Roman" w:hAnsi="Times New Roman"/>
          <w:sz w:val="24"/>
          <w:szCs w:val="24"/>
        </w:rPr>
        <w:t>компонентів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препарату.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Не застосовувати одночасно з препаратами, що мають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ототоксичну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дію. Не використовувати у тварин з відомою перфорацією барабанної перетинки.</w:t>
      </w:r>
    </w:p>
    <w:p w:rsidR="002E0DB0" w:rsidRPr="00D43493" w:rsidRDefault="002E0DB0" w:rsidP="002E0DB0">
      <w:pPr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Застереження</w:t>
      </w:r>
    </w:p>
    <w:p w:rsidR="00CF249A" w:rsidRPr="00D43493" w:rsidRDefault="00CF249A" w:rsidP="001C4EDB">
      <w:pPr>
        <w:autoSpaceDE w:val="0"/>
        <w:autoSpaceDN w:val="0"/>
        <w:adjustRightInd w:val="0"/>
        <w:spacing w:after="0" w:line="23" w:lineRule="atLeast"/>
        <w:ind w:firstLine="567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i/>
          <w:sz w:val="24"/>
          <w:szCs w:val="24"/>
          <w:lang w:val="uk-UA" w:eastAsia="uk-UA"/>
        </w:rPr>
        <w:t>Побічна дія</w:t>
      </w:r>
    </w:p>
    <w:p w:rsidR="00CF249A" w:rsidRPr="00D43493" w:rsidRDefault="00CF249A" w:rsidP="001C4EDB">
      <w:pPr>
        <w:pStyle w:val="a3"/>
        <w:tabs>
          <w:tab w:val="left" w:pos="180"/>
        </w:tabs>
        <w:spacing w:before="0" w:beforeAutospacing="0" w:after="0" w:afterAutospacing="0" w:line="23" w:lineRule="atLeast"/>
        <w:ind w:firstLine="540"/>
        <w:jc w:val="both"/>
        <w:rPr>
          <w:bCs/>
          <w:color w:val="000000"/>
          <w:lang w:val="uk-UA"/>
        </w:rPr>
      </w:pPr>
      <w:r w:rsidRPr="00D43493">
        <w:rPr>
          <w:lang w:val="uk-UA"/>
        </w:rPr>
        <w:t xml:space="preserve">Можливий розвиток алергічних реакцій, у тому числі: еритема, свербіж, поява пухирів, локальний набряк, кропив’янка, контактний дерматит, загальне подразнення, сухість та лущення шкіри. </w:t>
      </w:r>
    </w:p>
    <w:p w:rsidR="00CF249A" w:rsidRPr="00D43493" w:rsidRDefault="00CF249A" w:rsidP="001C4EDB">
      <w:pPr>
        <w:spacing w:after="0" w:line="23" w:lineRule="atLeast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D43493">
        <w:rPr>
          <w:rFonts w:ascii="Times New Roman" w:hAnsi="Times New Roman"/>
          <w:i/>
          <w:sz w:val="24"/>
          <w:szCs w:val="24"/>
          <w:lang w:val="uk-UA"/>
        </w:rPr>
        <w:t>Особливі застереження при використанні</w:t>
      </w:r>
    </w:p>
    <w:p w:rsidR="00A02A5F" w:rsidRPr="00D43493" w:rsidRDefault="00A02A5F" w:rsidP="00A02A5F">
      <w:pPr>
        <w:pStyle w:val="a3"/>
        <w:tabs>
          <w:tab w:val="left" w:pos="180"/>
        </w:tabs>
        <w:spacing w:before="0" w:beforeAutospacing="0" w:after="0" w:afterAutospacing="0"/>
        <w:ind w:firstLine="540"/>
        <w:jc w:val="both"/>
        <w:rPr>
          <w:lang w:val="uk-UA" w:eastAsia="uk-UA"/>
        </w:rPr>
      </w:pPr>
      <w:r w:rsidRPr="00D43493">
        <w:rPr>
          <w:lang w:val="uk-UA" w:eastAsia="uk-UA"/>
        </w:rPr>
        <w:t>Перед застосуванням рекомендовано зробити тест на чутливість збудників захворювання до діючих речовин препарату.</w:t>
      </w:r>
    </w:p>
    <w:p w:rsidR="0013575C" w:rsidRPr="00D43493" w:rsidRDefault="002E0DB0" w:rsidP="001C4EDB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proofErr w:type="gramStart"/>
      <w:r w:rsidRPr="00D43493">
        <w:rPr>
          <w:rFonts w:ascii="Times New Roman" w:hAnsi="Times New Roman"/>
          <w:sz w:val="24"/>
          <w:szCs w:val="24"/>
        </w:rPr>
        <w:t>П</w:t>
      </w:r>
      <w:proofErr w:type="gramEnd"/>
      <w:r w:rsidRPr="00D43493">
        <w:rPr>
          <w:rFonts w:ascii="Times New Roman" w:hAnsi="Times New Roman"/>
          <w:sz w:val="24"/>
          <w:szCs w:val="24"/>
        </w:rPr>
        <w:t>ід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D43493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препаратом не </w:t>
      </w:r>
      <w:proofErr w:type="spellStart"/>
      <w:r w:rsidRPr="00D43493">
        <w:rPr>
          <w:rFonts w:ascii="Times New Roman" w:hAnsi="Times New Roman"/>
          <w:sz w:val="24"/>
          <w:szCs w:val="24"/>
        </w:rPr>
        <w:t>слід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r w:rsidRPr="00D43493">
        <w:rPr>
          <w:rFonts w:ascii="Times New Roman" w:hAnsi="Times New Roman"/>
          <w:sz w:val="24"/>
          <w:szCs w:val="24"/>
          <w:lang w:val="uk-UA"/>
        </w:rPr>
        <w:t>інші препарати для зовнішнього застосування</w:t>
      </w:r>
      <w:r w:rsidRPr="00D43493">
        <w:rPr>
          <w:rFonts w:ascii="Times New Roman" w:hAnsi="Times New Roman"/>
          <w:sz w:val="24"/>
          <w:szCs w:val="24"/>
        </w:rPr>
        <w:t xml:space="preserve">. Препарат </w:t>
      </w:r>
      <w:proofErr w:type="spellStart"/>
      <w:r w:rsidRPr="00D43493">
        <w:rPr>
          <w:rFonts w:ascii="Times New Roman" w:hAnsi="Times New Roman"/>
          <w:sz w:val="24"/>
          <w:szCs w:val="24"/>
        </w:rPr>
        <w:t>наносять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тільки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43493">
        <w:rPr>
          <w:rFonts w:ascii="Times New Roman" w:hAnsi="Times New Roman"/>
          <w:sz w:val="24"/>
          <w:szCs w:val="24"/>
        </w:rPr>
        <w:t>ушкоджену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ділянку</w:t>
      </w:r>
      <w:proofErr w:type="spellEnd"/>
      <w:r w:rsidRPr="00D43493">
        <w:rPr>
          <w:rFonts w:ascii="Times New Roman" w:hAnsi="Times New Roman"/>
          <w:sz w:val="24"/>
          <w:szCs w:val="24"/>
        </w:rPr>
        <w:t>.</w:t>
      </w:r>
      <w:r w:rsidR="0013575C" w:rsidRPr="00D43493">
        <w:rPr>
          <w:rFonts w:ascii="Times New Roman" w:hAnsi="Times New Roman"/>
          <w:sz w:val="24"/>
          <w:szCs w:val="24"/>
          <w:lang w:val="uk-UA"/>
        </w:rPr>
        <w:t xml:space="preserve"> Не за</w:t>
      </w:r>
      <w:r w:rsidR="00CF249A" w:rsidRPr="00D43493">
        <w:rPr>
          <w:rFonts w:ascii="Times New Roman" w:hAnsi="Times New Roman"/>
          <w:sz w:val="24"/>
          <w:szCs w:val="24"/>
          <w:lang w:val="uk-UA"/>
        </w:rPr>
        <w:t xml:space="preserve">стосовувати одночасно з препаратами, що мають </w:t>
      </w:r>
      <w:proofErr w:type="spellStart"/>
      <w:r w:rsidR="00CF249A" w:rsidRPr="00D43493">
        <w:rPr>
          <w:rFonts w:ascii="Times New Roman" w:hAnsi="Times New Roman"/>
          <w:sz w:val="24"/>
          <w:szCs w:val="24"/>
          <w:lang w:val="uk-UA"/>
        </w:rPr>
        <w:t>ототоксичну</w:t>
      </w:r>
      <w:proofErr w:type="spellEnd"/>
      <w:r w:rsidR="00CF249A" w:rsidRPr="00D43493">
        <w:rPr>
          <w:rFonts w:ascii="Times New Roman" w:hAnsi="Times New Roman"/>
          <w:sz w:val="24"/>
          <w:szCs w:val="24"/>
          <w:lang w:val="uk-UA"/>
        </w:rPr>
        <w:t xml:space="preserve"> дію, оскільки можливе посилення </w:t>
      </w:r>
      <w:r w:rsidR="0013575C" w:rsidRPr="00D43493">
        <w:rPr>
          <w:rFonts w:ascii="Times New Roman" w:hAnsi="Times New Roman"/>
          <w:sz w:val="24"/>
          <w:szCs w:val="24"/>
          <w:lang w:val="uk-UA"/>
        </w:rPr>
        <w:t xml:space="preserve">токсичних проявів при сумісному застосуванні. При лікуванні грибкових отитів у котів доцільність використання препарату має вирішувати спеціаліст з ветеринарної медицини. </w:t>
      </w:r>
      <w:r w:rsidRPr="00D43493">
        <w:rPr>
          <w:rFonts w:ascii="Times New Roman" w:hAnsi="Times New Roman"/>
          <w:sz w:val="24"/>
          <w:szCs w:val="24"/>
          <w:lang w:val="uk-UA" w:eastAsia="uk-UA"/>
        </w:rPr>
        <w:t>Не допускати потрапляння препарату в очі та злизування з ділянок нанесення.</w:t>
      </w:r>
    </w:p>
    <w:p w:rsidR="0013575C" w:rsidRPr="00D43493" w:rsidRDefault="0013575C" w:rsidP="001C4EDB">
      <w:pPr>
        <w:spacing w:after="0" w:line="23" w:lineRule="atLeast"/>
        <w:ind w:firstLine="567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i/>
          <w:sz w:val="24"/>
          <w:szCs w:val="24"/>
          <w:lang w:val="uk-UA" w:eastAsia="uk-UA"/>
        </w:rPr>
        <w:t>Використання під час вагітності та лактації</w:t>
      </w:r>
    </w:p>
    <w:p w:rsidR="006A51A4" w:rsidRPr="00D43493" w:rsidRDefault="006A51A4" w:rsidP="001C4EDB">
      <w:pPr>
        <w:spacing w:after="0" w:line="23" w:lineRule="atLeast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 xml:space="preserve">Літературні дані свідчать про відсутність абсорбції </w:t>
      </w:r>
      <w:proofErr w:type="spellStart"/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>клотримазолу</w:t>
      </w:r>
      <w:proofErr w:type="spellEnd"/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 xml:space="preserve"> та </w:t>
      </w:r>
      <w:proofErr w:type="spellStart"/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>гентаміцину</w:t>
      </w:r>
      <w:proofErr w:type="spellEnd"/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 xml:space="preserve"> при місцевому застосуванні, але  фармакокінетика </w:t>
      </w:r>
      <w:r w:rsidR="00A921D1">
        <w:rPr>
          <w:rFonts w:ascii="Times New Roman" w:hAnsi="Times New Roman"/>
          <w:bCs/>
          <w:iCs/>
          <w:sz w:val="24"/>
          <w:szCs w:val="24"/>
          <w:lang w:val="uk-UA"/>
        </w:rPr>
        <w:t>препарату</w:t>
      </w:r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 xml:space="preserve"> при нанесенні на </w:t>
      </w:r>
      <w:proofErr w:type="spellStart"/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>раневі</w:t>
      </w:r>
      <w:proofErr w:type="spellEnd"/>
      <w:r w:rsidRPr="00D43493">
        <w:rPr>
          <w:rFonts w:ascii="Times New Roman" w:hAnsi="Times New Roman"/>
          <w:bCs/>
          <w:iCs/>
          <w:sz w:val="24"/>
          <w:szCs w:val="24"/>
          <w:lang w:val="uk-UA"/>
        </w:rPr>
        <w:t xml:space="preserve"> поверхні вивчена недостатньо,  тому питання про доцільність використання препарату слід вирішувати індивідуально після консультації зі спеціалістом з ветеринарної медицини.</w:t>
      </w:r>
    </w:p>
    <w:p w:rsidR="002E0DB0" w:rsidRPr="00D43493" w:rsidRDefault="00676ABB" w:rsidP="001C4EDB">
      <w:pPr>
        <w:spacing w:after="0" w:line="23" w:lineRule="atLeast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D43493">
        <w:rPr>
          <w:rFonts w:ascii="Times New Roman" w:hAnsi="Times New Roman"/>
          <w:bCs/>
          <w:i/>
          <w:iCs/>
          <w:sz w:val="24"/>
          <w:szCs w:val="24"/>
          <w:lang w:val="uk-UA"/>
        </w:rPr>
        <w:t>Взаємодія з іншими засобами або інші форми взаємодії</w:t>
      </w:r>
    </w:p>
    <w:p w:rsidR="007D6063" w:rsidRPr="00DA6805" w:rsidRDefault="007D6063" w:rsidP="00DA6805">
      <w:pPr>
        <w:shd w:val="clear" w:color="auto" w:fill="FFFFFF"/>
        <w:spacing w:after="0" w:line="23" w:lineRule="atLeast"/>
        <w:ind w:right="53" w:firstLine="567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 xml:space="preserve">Не рекомендується одночасне застосування </w:t>
      </w:r>
      <w:r w:rsidR="00DF3BED" w:rsidRPr="00D43493">
        <w:rPr>
          <w:rFonts w:ascii="Times New Roman" w:hAnsi="Times New Roman"/>
          <w:sz w:val="24"/>
          <w:szCs w:val="24"/>
          <w:lang w:val="uk-UA"/>
        </w:rPr>
        <w:t>препарату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з маззю ністатину або </w:t>
      </w:r>
      <w:proofErr w:type="spellStart"/>
      <w:r w:rsidRPr="00D43493">
        <w:rPr>
          <w:rFonts w:ascii="Times New Roman" w:hAnsi="Times New Roman"/>
          <w:sz w:val="24"/>
          <w:szCs w:val="24"/>
          <w:lang w:val="uk-UA"/>
        </w:rPr>
        <w:t>амфотерицину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>, що може зменшити ефективність препарату.</w:t>
      </w:r>
    </w:p>
    <w:p w:rsidR="00354374" w:rsidRPr="00D43493" w:rsidRDefault="00354374" w:rsidP="00354374">
      <w:pPr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Форма випуску</w:t>
      </w:r>
    </w:p>
    <w:p w:rsidR="00544401" w:rsidRPr="009459B4" w:rsidRDefault="00354374" w:rsidP="009459B4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/>
        </w:rPr>
        <w:t xml:space="preserve">Алюмінієві туби по 15 г та </w:t>
      </w:r>
      <w:smartTag w:uri="urn:schemas-microsoft-com:office:smarttags" w:element="metricconverter">
        <w:smartTagPr>
          <w:attr w:name="ProductID" w:val="25 г"/>
        </w:smartTagPr>
        <w:r w:rsidRPr="00D43493">
          <w:rPr>
            <w:rFonts w:ascii="Times New Roman" w:hAnsi="Times New Roman"/>
            <w:sz w:val="24"/>
            <w:szCs w:val="24"/>
            <w:lang w:val="uk-UA"/>
          </w:rPr>
          <w:t>25 г</w:t>
        </w:r>
      </w:smartTag>
      <w:r w:rsidRPr="00D43493">
        <w:rPr>
          <w:rFonts w:ascii="Times New Roman" w:hAnsi="Times New Roman"/>
          <w:sz w:val="24"/>
          <w:szCs w:val="24"/>
          <w:lang w:val="uk-UA"/>
        </w:rPr>
        <w:t>.</w:t>
      </w:r>
    </w:p>
    <w:p w:rsidR="002E0DB0" w:rsidRPr="00D43493" w:rsidRDefault="002E0DB0" w:rsidP="002E0DB0">
      <w:pPr>
        <w:spacing w:after="0"/>
        <w:ind w:firstLine="567"/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bCs/>
          <w:sz w:val="24"/>
          <w:szCs w:val="24"/>
          <w:lang w:val="uk-UA"/>
        </w:rPr>
        <w:t>Зберігання</w:t>
      </w:r>
      <w:r w:rsidRPr="00D43493">
        <w:rPr>
          <w:rStyle w:val="a4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E0DB0" w:rsidRPr="00D43493" w:rsidRDefault="002E0DB0" w:rsidP="002E0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Сухе, </w:t>
      </w:r>
      <w:r w:rsidR="00822925" w:rsidRPr="00D4349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захищене від світла</w:t>
      </w:r>
      <w:r w:rsidRPr="00D4349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,  недоступне для дітей місце</w:t>
      </w:r>
      <w:r w:rsidR="00095B3F" w:rsidRPr="00D4349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,</w:t>
      </w:r>
      <w:r w:rsidRPr="00D4349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095B3F" w:rsidRPr="00D4349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за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температур</w:t>
      </w:r>
      <w:r w:rsidR="00095B3F" w:rsidRPr="00D43493">
        <w:rPr>
          <w:rFonts w:ascii="Times New Roman" w:hAnsi="Times New Roman"/>
          <w:sz w:val="24"/>
          <w:szCs w:val="24"/>
          <w:lang w:val="uk-UA"/>
        </w:rPr>
        <w:t>и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5B3F" w:rsidRPr="00D43493">
        <w:rPr>
          <w:rFonts w:ascii="Times New Roman" w:hAnsi="Times New Roman"/>
          <w:sz w:val="24"/>
          <w:szCs w:val="24"/>
          <w:lang w:val="uk-UA"/>
        </w:rPr>
        <w:t>не вище 25</w:t>
      </w:r>
      <w:r w:rsidR="001906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5B3F" w:rsidRPr="00D43493">
        <w:rPr>
          <w:rFonts w:ascii="Times New Roman" w:hAnsi="Times New Roman"/>
          <w:sz w:val="24"/>
          <w:szCs w:val="24"/>
          <w:lang w:val="uk-UA"/>
        </w:rPr>
        <w:t>°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С, окремо від </w:t>
      </w:r>
      <w:proofErr w:type="spellStart"/>
      <w:r w:rsidRPr="00D43493">
        <w:rPr>
          <w:rFonts w:ascii="Times New Roman" w:hAnsi="Times New Roman"/>
          <w:sz w:val="24"/>
          <w:szCs w:val="24"/>
        </w:rPr>
        <w:t>харчових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93">
        <w:rPr>
          <w:rFonts w:ascii="Times New Roman" w:hAnsi="Times New Roman"/>
          <w:sz w:val="24"/>
          <w:szCs w:val="24"/>
        </w:rPr>
        <w:t>продуктів</w:t>
      </w:r>
      <w:proofErr w:type="spellEnd"/>
      <w:r w:rsidRPr="00D43493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D43493">
        <w:rPr>
          <w:rFonts w:ascii="Times New Roman" w:hAnsi="Times New Roman"/>
          <w:sz w:val="24"/>
          <w:szCs w:val="24"/>
        </w:rPr>
        <w:t>кормів</w:t>
      </w:r>
      <w:proofErr w:type="spellEnd"/>
      <w:r w:rsidRPr="00D4349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43493">
        <w:rPr>
          <w:rFonts w:ascii="Times New Roman" w:hAnsi="Times New Roman"/>
          <w:sz w:val="24"/>
          <w:szCs w:val="24"/>
        </w:rPr>
        <w:t>тварин</w:t>
      </w:r>
      <w:proofErr w:type="spellEnd"/>
      <w:r w:rsidRPr="00D43493">
        <w:rPr>
          <w:rFonts w:ascii="Times New Roman" w:hAnsi="Times New Roman"/>
          <w:sz w:val="24"/>
          <w:szCs w:val="24"/>
        </w:rPr>
        <w:t>.</w:t>
      </w:r>
    </w:p>
    <w:p w:rsidR="002E0DB0" w:rsidRPr="009459B4" w:rsidRDefault="002E0DB0" w:rsidP="009459B4">
      <w:pPr>
        <w:spacing w:after="0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>Термін придатності – 2 роки.</w:t>
      </w:r>
    </w:p>
    <w:p w:rsidR="002E0DB0" w:rsidRPr="00D43493" w:rsidRDefault="002E0DB0" w:rsidP="002E0DB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b/>
          <w:sz w:val="24"/>
          <w:szCs w:val="24"/>
          <w:lang w:val="uk-UA" w:eastAsia="uk-UA"/>
        </w:rPr>
        <w:t>Для застосування у ветеринарній медицині!</w:t>
      </w:r>
    </w:p>
    <w:p w:rsidR="002E0DB0" w:rsidRPr="00D43493" w:rsidRDefault="002E0DB0" w:rsidP="002E0DB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Власник реєстраційного посвідчення:</w:t>
      </w:r>
    </w:p>
    <w:p w:rsidR="004609B3" w:rsidRPr="00D43493" w:rsidRDefault="004609B3" w:rsidP="004609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>ПАТ НВЦ “</w:t>
      </w:r>
      <w:proofErr w:type="spellStart"/>
      <w:r w:rsidRPr="00D43493">
        <w:rPr>
          <w:rFonts w:ascii="Times New Roman" w:hAnsi="Times New Roman"/>
          <w:sz w:val="24"/>
          <w:szCs w:val="24"/>
          <w:lang w:val="uk-UA" w:eastAsia="uk-UA"/>
        </w:rPr>
        <w:t>Борщагівський</w:t>
      </w:r>
      <w:proofErr w:type="spellEnd"/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 ХФЗ”</w:t>
      </w:r>
    </w:p>
    <w:p w:rsidR="002E0DB0" w:rsidRPr="00A112D1" w:rsidRDefault="002E0DB0" w:rsidP="00A112D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>Україна, 03134, м. Київ, вул. Миру, 17</w:t>
      </w:r>
      <w:r w:rsidRPr="00D4349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0DB0" w:rsidRPr="00D43493" w:rsidRDefault="002E0DB0" w:rsidP="002E0DB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43493">
        <w:rPr>
          <w:rFonts w:ascii="Times New Roman" w:hAnsi="Times New Roman"/>
          <w:b/>
          <w:sz w:val="24"/>
          <w:szCs w:val="24"/>
          <w:lang w:val="uk-UA"/>
        </w:rPr>
        <w:t>Виробник готового продукту:</w:t>
      </w:r>
    </w:p>
    <w:p w:rsidR="004609B3" w:rsidRPr="00D43493" w:rsidRDefault="004609B3" w:rsidP="004609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>ПАТ НВЦ “</w:t>
      </w:r>
      <w:proofErr w:type="spellStart"/>
      <w:r w:rsidRPr="00D43493">
        <w:rPr>
          <w:rFonts w:ascii="Times New Roman" w:hAnsi="Times New Roman"/>
          <w:sz w:val="24"/>
          <w:szCs w:val="24"/>
          <w:lang w:val="uk-UA" w:eastAsia="uk-UA"/>
        </w:rPr>
        <w:t>Борщагівський</w:t>
      </w:r>
      <w:proofErr w:type="spellEnd"/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 ХФЗ”</w:t>
      </w:r>
    </w:p>
    <w:p w:rsidR="002940D8" w:rsidRPr="00BE0264" w:rsidRDefault="002E0DB0" w:rsidP="00BE0264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43493">
        <w:rPr>
          <w:rFonts w:ascii="Times New Roman" w:hAnsi="Times New Roman"/>
          <w:sz w:val="24"/>
          <w:szCs w:val="24"/>
          <w:lang w:val="uk-UA" w:eastAsia="uk-UA"/>
        </w:rPr>
        <w:t xml:space="preserve">Україна, </w:t>
      </w:r>
      <w:smartTag w:uri="urn:schemas-microsoft-com:office:smarttags" w:element="metricconverter">
        <w:smartTagPr>
          <w:attr w:name="ProductID" w:val="03134, м"/>
        </w:smartTagPr>
        <w:r w:rsidRPr="00D43493">
          <w:rPr>
            <w:rFonts w:ascii="Times New Roman" w:hAnsi="Times New Roman"/>
            <w:sz w:val="24"/>
            <w:szCs w:val="24"/>
            <w:lang w:val="uk-UA" w:eastAsia="uk-UA"/>
          </w:rPr>
          <w:t>03134, м</w:t>
        </w:r>
      </w:smartTag>
      <w:r w:rsidRPr="00D43493">
        <w:rPr>
          <w:rFonts w:ascii="Times New Roman" w:hAnsi="Times New Roman"/>
          <w:sz w:val="24"/>
          <w:szCs w:val="24"/>
          <w:lang w:val="uk-UA" w:eastAsia="uk-UA"/>
        </w:rPr>
        <w:t>. Київ, вул. Миру, 17</w:t>
      </w:r>
    </w:p>
    <w:sectPr w:rsidR="002940D8" w:rsidRPr="00BE0264" w:rsidSect="00DA6805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60" w:rsidRDefault="00035860" w:rsidP="00035860">
      <w:pPr>
        <w:spacing w:after="0" w:line="240" w:lineRule="auto"/>
      </w:pPr>
      <w:r>
        <w:separator/>
      </w:r>
    </w:p>
  </w:endnote>
  <w:endnote w:type="continuationSeparator" w:id="0">
    <w:p w:rsidR="00035860" w:rsidRDefault="00035860" w:rsidP="000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60" w:rsidRDefault="00035860" w:rsidP="00035860">
      <w:pPr>
        <w:spacing w:after="0" w:line="240" w:lineRule="auto"/>
      </w:pPr>
      <w:r>
        <w:separator/>
      </w:r>
    </w:p>
  </w:footnote>
  <w:footnote w:type="continuationSeparator" w:id="0">
    <w:p w:rsidR="00035860" w:rsidRDefault="00035860" w:rsidP="0003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DB0"/>
    <w:rsid w:val="00035860"/>
    <w:rsid w:val="0007187F"/>
    <w:rsid w:val="00095B3F"/>
    <w:rsid w:val="001059E2"/>
    <w:rsid w:val="0013575C"/>
    <w:rsid w:val="00165389"/>
    <w:rsid w:val="001906C2"/>
    <w:rsid w:val="00195DF8"/>
    <w:rsid w:val="001971ED"/>
    <w:rsid w:val="001C3D23"/>
    <w:rsid w:val="001C4EDB"/>
    <w:rsid w:val="001D3D5F"/>
    <w:rsid w:val="00211C91"/>
    <w:rsid w:val="002940D8"/>
    <w:rsid w:val="002E0DB0"/>
    <w:rsid w:val="002F56F1"/>
    <w:rsid w:val="003077A4"/>
    <w:rsid w:val="00354374"/>
    <w:rsid w:val="003A0051"/>
    <w:rsid w:val="003B1542"/>
    <w:rsid w:val="003E69AA"/>
    <w:rsid w:val="004609B3"/>
    <w:rsid w:val="00476031"/>
    <w:rsid w:val="004B22B6"/>
    <w:rsid w:val="004D082C"/>
    <w:rsid w:val="00517783"/>
    <w:rsid w:val="00544401"/>
    <w:rsid w:val="005444E2"/>
    <w:rsid w:val="00547B17"/>
    <w:rsid w:val="00560039"/>
    <w:rsid w:val="0059213F"/>
    <w:rsid w:val="005C66C0"/>
    <w:rsid w:val="00612955"/>
    <w:rsid w:val="00676ABB"/>
    <w:rsid w:val="006A51A4"/>
    <w:rsid w:val="007C52AB"/>
    <w:rsid w:val="007D6063"/>
    <w:rsid w:val="007F68D2"/>
    <w:rsid w:val="00822925"/>
    <w:rsid w:val="00824D13"/>
    <w:rsid w:val="009459B4"/>
    <w:rsid w:val="009C1C4F"/>
    <w:rsid w:val="009F293C"/>
    <w:rsid w:val="00A02A5F"/>
    <w:rsid w:val="00A112D1"/>
    <w:rsid w:val="00A921D1"/>
    <w:rsid w:val="00AD15FE"/>
    <w:rsid w:val="00B0095B"/>
    <w:rsid w:val="00B52DCC"/>
    <w:rsid w:val="00B71428"/>
    <w:rsid w:val="00BE0264"/>
    <w:rsid w:val="00C065B8"/>
    <w:rsid w:val="00C116BA"/>
    <w:rsid w:val="00C65F00"/>
    <w:rsid w:val="00CC7C34"/>
    <w:rsid w:val="00CF249A"/>
    <w:rsid w:val="00D14DA0"/>
    <w:rsid w:val="00D43493"/>
    <w:rsid w:val="00D9188A"/>
    <w:rsid w:val="00DA6805"/>
    <w:rsid w:val="00DF3BED"/>
    <w:rsid w:val="00EC448A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0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E0DB0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3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860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3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86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BHFZ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to29</dc:creator>
  <cp:keywords/>
  <dc:description/>
  <cp:lastModifiedBy>Natalia_Ostapiv</cp:lastModifiedBy>
  <cp:revision>61</cp:revision>
  <cp:lastPrinted>2024-03-13T07:59:00Z</cp:lastPrinted>
  <dcterms:created xsi:type="dcterms:W3CDTF">2018-10-23T14:01:00Z</dcterms:created>
  <dcterms:modified xsi:type="dcterms:W3CDTF">2024-04-25T06:50:00Z</dcterms:modified>
</cp:coreProperties>
</file>