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23B6" w14:textId="7D553B9B" w:rsidR="002D519B" w:rsidRPr="005925CF" w:rsidRDefault="0014101A" w:rsidP="00F33C47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5CF">
        <w:rPr>
          <w:rFonts w:ascii="Times New Roman" w:hAnsi="Times New Roman" w:cs="Times New Roman"/>
          <w:b/>
          <w:bCs/>
          <w:sz w:val="24"/>
          <w:szCs w:val="24"/>
        </w:rPr>
        <w:t xml:space="preserve">СУПЕРІУМ </w:t>
      </w:r>
      <w:proofErr w:type="spellStart"/>
      <w:r w:rsidR="007813E7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Мілбест</w:t>
      </w:r>
      <w:proofErr w:type="spellEnd"/>
      <w:r w:rsidR="005925CF" w:rsidRPr="00592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25CF" w:rsidRPr="005925CF">
        <w:rPr>
          <w:rFonts w:ascii="Times New Roman" w:hAnsi="Times New Roman" w:cs="Times New Roman"/>
          <w:b/>
          <w:bCs/>
          <w:sz w:val="24"/>
          <w:szCs w:val="24"/>
        </w:rPr>
        <w:t>таблетк</w:t>
      </w:r>
      <w:proofErr w:type="spellEnd"/>
      <w:r w:rsidR="007813E7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5925CF" w:rsidRPr="00592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19B" w:rsidRPr="005925CF">
        <w:rPr>
          <w:rFonts w:ascii="Times New Roman" w:hAnsi="Times New Roman" w:cs="Times New Roman"/>
          <w:b/>
          <w:bCs/>
          <w:sz w:val="24"/>
          <w:szCs w:val="24"/>
        </w:rPr>
        <w:t>для собак</w:t>
      </w:r>
    </w:p>
    <w:p w14:paraId="1DBBE9C4" w14:textId="77777777" w:rsidR="002D519B" w:rsidRPr="005925CF" w:rsidRDefault="002D519B" w:rsidP="005925CF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5CF">
        <w:rPr>
          <w:rFonts w:ascii="Times New Roman" w:hAnsi="Times New Roman" w:cs="Times New Roman"/>
          <w:b/>
          <w:bCs/>
          <w:sz w:val="24"/>
          <w:szCs w:val="24"/>
        </w:rPr>
        <w:t>(таблетки)</w:t>
      </w:r>
    </w:p>
    <w:p w14:paraId="24D806CC" w14:textId="64745981" w:rsidR="002D519B" w:rsidRPr="005925CF" w:rsidRDefault="002D519B" w:rsidP="005925CF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b/>
          <w:bCs/>
          <w:sz w:val="24"/>
          <w:szCs w:val="24"/>
        </w:rPr>
        <w:t>листівка</w:t>
      </w:r>
      <w:proofErr w:type="spellEnd"/>
      <w:r w:rsidRPr="005925CF">
        <w:rPr>
          <w:rFonts w:ascii="Times New Roman" w:hAnsi="Times New Roman" w:cs="Times New Roman"/>
          <w:b/>
          <w:bCs/>
          <w:sz w:val="24"/>
          <w:szCs w:val="24"/>
        </w:rPr>
        <w:t>–вкладка</w:t>
      </w:r>
    </w:p>
    <w:p w14:paraId="0E897948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Pr="005925C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FE8956" w14:textId="3C6CC0E7" w:rsidR="002D519B" w:rsidRPr="00EB7FFB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Таблетки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округлої</w:t>
      </w:r>
      <w:proofErr w:type="spellEnd"/>
      <w:r w:rsidR="007504D8">
        <w:rPr>
          <w:rFonts w:ascii="Times New Roman" w:hAnsi="Times New Roman" w:cs="Times New Roman"/>
          <w:sz w:val="24"/>
          <w:szCs w:val="24"/>
          <w:lang w:val="uk-UA"/>
        </w:rPr>
        <w:t xml:space="preserve"> або овальної </w:t>
      </w:r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r w:rsidR="00EB7FFB">
        <w:rPr>
          <w:rFonts w:ascii="Times New Roman" w:hAnsi="Times New Roman" w:cs="Times New Roman"/>
          <w:sz w:val="24"/>
          <w:szCs w:val="24"/>
          <w:lang w:val="uk-UA"/>
        </w:rPr>
        <w:t>від білого до кремового кольору.</w:t>
      </w:r>
    </w:p>
    <w:p w14:paraId="21E77B57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5CF">
        <w:rPr>
          <w:rFonts w:ascii="Times New Roman" w:hAnsi="Times New Roman" w:cs="Times New Roman"/>
          <w:b/>
          <w:bCs/>
          <w:sz w:val="24"/>
          <w:szCs w:val="24"/>
        </w:rPr>
        <w:t>Склад</w:t>
      </w:r>
    </w:p>
    <w:p w14:paraId="48737CF1" w14:textId="08E04FAF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100 мг препарату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діючі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="00D3779F">
        <w:rPr>
          <w:rFonts w:ascii="Times New Roman" w:hAnsi="Times New Roman" w:cs="Times New Roman"/>
          <w:sz w:val="24"/>
          <w:szCs w:val="24"/>
        </w:rPr>
        <w:t xml:space="preserve"> (мг)</w:t>
      </w:r>
      <w:r w:rsidRPr="005925CF">
        <w:rPr>
          <w:rFonts w:ascii="Times New Roman" w:hAnsi="Times New Roman" w:cs="Times New Roman"/>
          <w:sz w:val="24"/>
          <w:szCs w:val="24"/>
        </w:rPr>
        <w:t>:</w:t>
      </w:r>
    </w:p>
    <w:p w14:paraId="74108BAA" w14:textId="6256AA37" w:rsidR="00432F87" w:rsidRPr="005925CF" w:rsidRDefault="00432F87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мільбеміцин</w:t>
      </w:r>
      <w:r w:rsidR="005925CF" w:rsidRPr="005925C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оксим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– </w:t>
      </w:r>
      <w:r w:rsidR="0061730C" w:rsidRPr="005925CF">
        <w:rPr>
          <w:rFonts w:ascii="Times New Roman" w:hAnsi="Times New Roman" w:cs="Times New Roman"/>
          <w:sz w:val="24"/>
          <w:szCs w:val="24"/>
        </w:rPr>
        <w:t>1,25</w:t>
      </w:r>
      <w:r w:rsidR="00D3779F">
        <w:rPr>
          <w:rFonts w:ascii="Times New Roman" w:hAnsi="Times New Roman" w:cs="Times New Roman"/>
          <w:sz w:val="24"/>
          <w:szCs w:val="24"/>
        </w:rPr>
        <w:t>;</w:t>
      </w:r>
    </w:p>
    <w:p w14:paraId="67CDFBC2" w14:textId="327D203E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празіквантел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– </w:t>
      </w:r>
      <w:r w:rsidR="002E6101" w:rsidRPr="005925CF">
        <w:rPr>
          <w:rFonts w:ascii="Times New Roman" w:hAnsi="Times New Roman" w:cs="Times New Roman"/>
          <w:sz w:val="24"/>
          <w:szCs w:val="24"/>
        </w:rPr>
        <w:t>12,5</w:t>
      </w:r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64403DA1" w14:textId="57151253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Допоміжні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целюлоза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мікрокристалічна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лактози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моногідрат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повідон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натрію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кроскармелоза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кремній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колоїдний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безводний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магнію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стеарат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ароматизатор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м'ясний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0F8948DF" w14:textId="77777777" w:rsidR="002D519B" w:rsidRPr="00ED6431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6431">
        <w:rPr>
          <w:rFonts w:ascii="Times New Roman" w:hAnsi="Times New Roman" w:cs="Times New Roman"/>
          <w:b/>
          <w:bCs/>
          <w:sz w:val="24"/>
          <w:szCs w:val="24"/>
        </w:rPr>
        <w:t>Фармакологічні</w:t>
      </w:r>
      <w:proofErr w:type="spellEnd"/>
      <w:r w:rsidRPr="00ED6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431">
        <w:rPr>
          <w:rFonts w:ascii="Times New Roman" w:hAnsi="Times New Roman" w:cs="Times New Roman"/>
          <w:b/>
          <w:bCs/>
          <w:sz w:val="24"/>
          <w:szCs w:val="24"/>
        </w:rPr>
        <w:t>властивості</w:t>
      </w:r>
      <w:proofErr w:type="spellEnd"/>
    </w:p>
    <w:p w14:paraId="20BD3E66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ATCvet</w:t>
      </w:r>
      <w:proofErr w:type="spellEnd"/>
      <w:r w:rsidRPr="00592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QP54, </w:t>
      </w:r>
      <w:proofErr w:type="spellStart"/>
      <w:r w:rsidRPr="00592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ендектоциди</w:t>
      </w:r>
      <w:proofErr w:type="spellEnd"/>
      <w:r w:rsidRPr="00592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(QP54АВ51, </w:t>
      </w:r>
      <w:proofErr w:type="spellStart"/>
      <w:r w:rsidRPr="00592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мільбеміцин</w:t>
      </w:r>
      <w:proofErr w:type="spellEnd"/>
      <w:r w:rsidRPr="00592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комбінації</w:t>
      </w:r>
      <w:proofErr w:type="spellEnd"/>
      <w:r w:rsidRPr="00592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170F890D" w14:textId="5B2A39B3" w:rsidR="002D519B" w:rsidRPr="005925CF" w:rsidRDefault="0014101A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СУПЕРІУМ </w:t>
      </w:r>
      <w:bookmarkStart w:id="0" w:name="_Hlk150957093"/>
      <w:proofErr w:type="spellStart"/>
      <w:r w:rsidR="007813E7">
        <w:rPr>
          <w:rFonts w:ascii="Times New Roman" w:hAnsi="Times New Roman" w:cs="Times New Roman"/>
          <w:sz w:val="24"/>
          <w:szCs w:val="24"/>
          <w:lang w:val="uk-UA"/>
        </w:rPr>
        <w:t>Мілбест</w:t>
      </w:r>
      <w:proofErr w:type="spellEnd"/>
      <w:r w:rsidR="00592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38E5" w:rsidRPr="005925CF">
        <w:rPr>
          <w:rFonts w:ascii="Times New Roman" w:hAnsi="Times New Roman" w:cs="Times New Roman"/>
          <w:sz w:val="24"/>
          <w:szCs w:val="24"/>
        </w:rPr>
        <w:t>таблетки</w:t>
      </w:r>
      <w:r w:rsidR="00F33C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38E5" w:rsidRPr="005925CF">
        <w:rPr>
          <w:rFonts w:ascii="Times New Roman" w:hAnsi="Times New Roman" w:cs="Times New Roman"/>
          <w:sz w:val="24"/>
          <w:szCs w:val="24"/>
        </w:rPr>
        <w:t>для собак</w:t>
      </w:r>
      <w:bookmarkEnd w:id="0"/>
      <w:r w:rsidR="00BC5338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ендектоцидів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активні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діючі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. Таблетки належать до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комбінованих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антигельмінтних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препаратів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нематодоцидної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цестодоцидної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Активні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до складу препарату,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широкий спектр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антигельмінтної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9B" w:rsidRPr="005925CF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="002D519B" w:rsidRPr="005925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981D4" w14:textId="54BEAE96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i/>
          <w:iCs/>
          <w:sz w:val="24"/>
          <w:szCs w:val="24"/>
        </w:rPr>
        <w:t>Мільбеміцин</w:t>
      </w:r>
      <w:proofErr w:type="spellEnd"/>
      <w:r w:rsidR="005925CF" w:rsidRPr="005925CF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5925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i/>
          <w:iCs/>
          <w:sz w:val="24"/>
          <w:szCs w:val="24"/>
        </w:rPr>
        <w:t>оксим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макроциклічний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лактон,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отримується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ферментативної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Streptomyces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hygroscopicus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Aureolacrimosus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79F">
        <w:rPr>
          <w:rFonts w:ascii="Times New Roman" w:hAnsi="Times New Roman" w:cs="Times New Roman"/>
          <w:sz w:val="24"/>
          <w:szCs w:val="24"/>
        </w:rPr>
        <w:t>ефективний</w:t>
      </w:r>
      <w:proofErr w:type="spellEnd"/>
      <w:r w:rsidR="00D37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личинок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імаго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нематод,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паразитуючих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 </w:t>
      </w:r>
      <w:r w:rsidR="00E262C2">
        <w:rPr>
          <w:rFonts w:ascii="Times New Roman" w:hAnsi="Times New Roman" w:cs="Times New Roman"/>
          <w:sz w:val="24"/>
          <w:szCs w:val="24"/>
        </w:rPr>
        <w:t>травному канал</w:t>
      </w:r>
      <w:r w:rsidR="00E262C2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5925CF">
        <w:rPr>
          <w:rFonts w:ascii="Times New Roman" w:hAnsi="Times New Roman" w:cs="Times New Roman"/>
          <w:sz w:val="24"/>
          <w:szCs w:val="24"/>
        </w:rPr>
        <w:t xml:space="preserve">собак та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цуценят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а також личинок </w:t>
      </w:r>
      <w:proofErr w:type="spellStart"/>
      <w:r w:rsidRPr="00E262C2">
        <w:rPr>
          <w:rFonts w:ascii="Times New Roman" w:hAnsi="Times New Roman" w:cs="Times New Roman"/>
          <w:i/>
          <w:iCs/>
          <w:sz w:val="24"/>
          <w:szCs w:val="24"/>
        </w:rPr>
        <w:t>Dirofilaria</w:t>
      </w:r>
      <w:proofErr w:type="spellEnd"/>
      <w:r w:rsidRPr="00E262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62C2" w:rsidRPr="00E262C2">
        <w:rPr>
          <w:rFonts w:ascii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="00E262C2" w:rsidRPr="00E262C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262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C66E24" w14:textId="2E316D00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мільбеміцин</w:t>
      </w:r>
      <w:proofErr w:type="spellEnd"/>
      <w:r w:rsidR="005925CF" w:rsidRPr="005925C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5338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338" w:rsidRPr="005925CF">
        <w:rPr>
          <w:rFonts w:ascii="Times New Roman" w:hAnsi="Times New Roman" w:cs="Times New Roman"/>
          <w:sz w:val="24"/>
          <w:szCs w:val="24"/>
        </w:rPr>
        <w:t>оксиму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обумовлений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підвищенням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проникності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клітинних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мембран для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іонів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хлору (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–),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надмірної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поляризації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мембран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клітин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нервової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м'язової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тканини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паралічу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загибелі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паразита. Максимальна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концентрація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мільбеміцин</w:t>
      </w:r>
      <w:proofErr w:type="spellEnd"/>
      <w:r w:rsidR="005925CF" w:rsidRPr="005925C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оксиму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плазмі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крові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тварини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досягається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2-4 годин,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біодоступність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становить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80%.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виводиться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 основному 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незмінному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7C7C49E5" w14:textId="285C77EC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i/>
          <w:iCs/>
          <w:sz w:val="24"/>
          <w:szCs w:val="24"/>
        </w:rPr>
        <w:t>Празіквантел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ацильованим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похідним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піразинізохіноліна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вираженою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дією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цестод і </w:t>
      </w:r>
      <w:r w:rsidR="00F638E5" w:rsidRPr="005925CF">
        <w:rPr>
          <w:rFonts w:ascii="Times New Roman" w:hAnsi="Times New Roman" w:cs="Times New Roman"/>
          <w:sz w:val="24"/>
          <w:szCs w:val="24"/>
        </w:rPr>
        <w:t>тре</w:t>
      </w:r>
      <w:r w:rsidRPr="005925CF">
        <w:rPr>
          <w:rFonts w:ascii="Times New Roman" w:hAnsi="Times New Roman" w:cs="Times New Roman"/>
          <w:sz w:val="24"/>
          <w:szCs w:val="24"/>
        </w:rPr>
        <w:t xml:space="preserve">матод.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Підвищуючи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проникність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клітинних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мембран паразита для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іонів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кальцію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(Ca2+),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деполяризацію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мембран,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мускулатури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руйнування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тегументу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загибелі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паразита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виведенню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тварини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. Максимальна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концентрація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празіквантелу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плазмі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крові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тварин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досягається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через 1-4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піддається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швидкій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практично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повній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біотрансформації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печінці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зв'язування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плазмі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становить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80%,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виводиться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діб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 основному з сечею.</w:t>
      </w:r>
    </w:p>
    <w:p w14:paraId="472BC8D5" w14:textId="03C2278F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Таблетки для собак за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ступенем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малонебезпечних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рекомендованих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дозах не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сенсибілізуючу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ембріотоксичну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тератогенну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добре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переносяться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собаками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порід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469EB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токсичний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бджіл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а також риб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гідробіонтів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0B2054B6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b/>
          <w:bCs/>
          <w:sz w:val="24"/>
          <w:szCs w:val="24"/>
        </w:rPr>
        <w:t>Застосування</w:t>
      </w:r>
      <w:proofErr w:type="spellEnd"/>
    </w:p>
    <w:p w14:paraId="6636336A" w14:textId="6F5FC854" w:rsidR="002F0AFF" w:rsidRPr="005925CF" w:rsidRDefault="002F0AFF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0957159"/>
      <w:r w:rsidRPr="005925CF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призначають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дорослим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собакам та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цуценятам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ураженні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6618A50F" w14:textId="77777777" w:rsidR="00E262C2" w:rsidRPr="00101726" w:rsidRDefault="00E262C2" w:rsidP="00E262C2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01726">
        <w:rPr>
          <w:rFonts w:ascii="Times New Roman" w:hAnsi="Times New Roman"/>
          <w:sz w:val="24"/>
          <w:szCs w:val="24"/>
        </w:rPr>
        <w:t>цестодами</w:t>
      </w:r>
      <w:r w:rsidRPr="00E262C2">
        <w:rPr>
          <w:rFonts w:ascii="Times New Roman" w:hAnsi="Times New Roman"/>
          <w:sz w:val="24"/>
          <w:szCs w:val="24"/>
        </w:rPr>
        <w:t xml:space="preserve"> (</w:t>
      </w:r>
      <w:r w:rsidRPr="00101726">
        <w:rPr>
          <w:rFonts w:ascii="Times New Roman" w:hAnsi="Times New Roman"/>
          <w:sz w:val="24"/>
          <w:szCs w:val="24"/>
        </w:rPr>
        <w:t>за</w:t>
      </w:r>
      <w:r w:rsidRPr="00E26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726">
        <w:rPr>
          <w:rFonts w:ascii="Times New Roman" w:hAnsi="Times New Roman"/>
          <w:sz w:val="24"/>
          <w:szCs w:val="24"/>
        </w:rPr>
        <w:t>імагінальних</w:t>
      </w:r>
      <w:proofErr w:type="spellEnd"/>
      <w:r w:rsidRPr="00E262C2">
        <w:rPr>
          <w:rFonts w:ascii="Times New Roman" w:hAnsi="Times New Roman"/>
          <w:sz w:val="24"/>
          <w:szCs w:val="24"/>
        </w:rPr>
        <w:t xml:space="preserve"> </w:t>
      </w:r>
      <w:r w:rsidRPr="00101726">
        <w:rPr>
          <w:rFonts w:ascii="Times New Roman" w:hAnsi="Times New Roman"/>
          <w:sz w:val="24"/>
          <w:szCs w:val="24"/>
        </w:rPr>
        <w:t>та</w:t>
      </w:r>
      <w:r w:rsidRPr="00E26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726">
        <w:rPr>
          <w:rFonts w:ascii="Times New Roman" w:hAnsi="Times New Roman"/>
          <w:sz w:val="24"/>
          <w:szCs w:val="24"/>
        </w:rPr>
        <w:t>преімагінальних</w:t>
      </w:r>
      <w:proofErr w:type="spellEnd"/>
      <w:r w:rsidRPr="00E26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726">
        <w:rPr>
          <w:rFonts w:ascii="Times New Roman" w:hAnsi="Times New Roman"/>
          <w:sz w:val="24"/>
          <w:szCs w:val="24"/>
        </w:rPr>
        <w:t>стадій</w:t>
      </w:r>
      <w:proofErr w:type="spellEnd"/>
      <w:r w:rsidRPr="00E262C2">
        <w:rPr>
          <w:rFonts w:ascii="Times New Roman" w:hAnsi="Times New Roman"/>
          <w:sz w:val="24"/>
          <w:szCs w:val="24"/>
        </w:rPr>
        <w:t xml:space="preserve">): </w:t>
      </w:r>
      <w:r w:rsidRPr="00101726">
        <w:rPr>
          <w:rFonts w:ascii="Times New Roman" w:hAnsi="Times New Roman"/>
          <w:i/>
          <w:iCs/>
          <w:sz w:val="24"/>
          <w:szCs w:val="24"/>
          <w:lang w:val="en-US"/>
        </w:rPr>
        <w:t>Dipylidium</w:t>
      </w:r>
      <w:r w:rsidRPr="00E262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01726">
        <w:rPr>
          <w:rFonts w:ascii="Times New Roman" w:hAnsi="Times New Roman"/>
          <w:i/>
          <w:iCs/>
          <w:sz w:val="24"/>
          <w:szCs w:val="24"/>
          <w:lang w:val="en-US"/>
        </w:rPr>
        <w:t>caninum</w:t>
      </w:r>
      <w:r w:rsidRPr="00E262C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01726">
        <w:rPr>
          <w:rFonts w:ascii="Times New Roman" w:hAnsi="Times New Roman"/>
          <w:i/>
          <w:iCs/>
          <w:sz w:val="24"/>
          <w:szCs w:val="24"/>
          <w:lang w:val="en-US"/>
        </w:rPr>
        <w:t>Taenia</w:t>
      </w:r>
      <w:r w:rsidRPr="00E262C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  <w:lang w:val="en-US"/>
        </w:rPr>
        <w:t>spp</w:t>
      </w:r>
      <w:proofErr w:type="spellEnd"/>
      <w:r w:rsidRPr="00E262C2">
        <w:rPr>
          <w:rFonts w:ascii="Times New Roman" w:hAnsi="Times New Roman"/>
          <w:i/>
          <w:iCs/>
          <w:sz w:val="24"/>
          <w:szCs w:val="24"/>
        </w:rPr>
        <w:t xml:space="preserve">., </w:t>
      </w:r>
      <w:r w:rsidRPr="00101726">
        <w:rPr>
          <w:rFonts w:ascii="Times New Roman" w:hAnsi="Times New Roman"/>
          <w:i/>
          <w:iCs/>
          <w:sz w:val="24"/>
          <w:szCs w:val="24"/>
          <w:lang w:val="en-US"/>
        </w:rPr>
        <w:t>Echinococcus</w:t>
      </w:r>
      <w:r w:rsidRPr="00E262C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  <w:lang w:val="en-US"/>
        </w:rPr>
        <w:t>spp</w:t>
      </w:r>
      <w:proofErr w:type="spellEnd"/>
      <w:r w:rsidRPr="00E262C2">
        <w:rPr>
          <w:rFonts w:ascii="Times New Roman" w:hAnsi="Times New Roman"/>
          <w:i/>
          <w:iCs/>
          <w:sz w:val="24"/>
          <w:szCs w:val="24"/>
        </w:rPr>
        <w:t xml:space="preserve">.,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  <w:lang w:val="en-US"/>
        </w:rPr>
        <w:t>Mesocestoides</w:t>
      </w:r>
      <w:proofErr w:type="spellEnd"/>
      <w:r w:rsidRPr="00E262C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  <w:lang w:val="en-US"/>
        </w:rPr>
        <w:t>spp</w:t>
      </w:r>
      <w:proofErr w:type="spellEnd"/>
      <w:r w:rsidRPr="00E262C2">
        <w:rPr>
          <w:rFonts w:ascii="Times New Roman" w:hAnsi="Times New Roman"/>
          <w:i/>
          <w:iCs/>
          <w:sz w:val="24"/>
          <w:szCs w:val="24"/>
        </w:rPr>
        <w:t>.</w:t>
      </w:r>
      <w:r w:rsidRPr="00101726">
        <w:rPr>
          <w:rFonts w:ascii="Times New Roman" w:hAnsi="Times New Roman"/>
          <w:sz w:val="24"/>
          <w:szCs w:val="24"/>
          <w:lang w:val="uk-UA"/>
        </w:rPr>
        <w:t>;</w:t>
      </w:r>
    </w:p>
    <w:p w14:paraId="5A812F60" w14:textId="77777777" w:rsidR="00E262C2" w:rsidRPr="00101726" w:rsidRDefault="00E262C2" w:rsidP="00E262C2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01726">
        <w:rPr>
          <w:rFonts w:ascii="Times New Roman" w:hAnsi="Times New Roman"/>
          <w:sz w:val="24"/>
          <w:szCs w:val="24"/>
          <w:lang w:val="uk-UA"/>
        </w:rPr>
        <w:t xml:space="preserve">нематодами (за статевозрілих і личинкових стадій):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Ancylostoma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caninum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Ancylostoma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tubaeforme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bookmarkStart w:id="2" w:name="_Hlk160301224"/>
      <w:proofErr w:type="spellStart"/>
      <w:r w:rsidRPr="00101726">
        <w:rPr>
          <w:rFonts w:ascii="Times New Roman" w:hAnsi="Times New Roman"/>
          <w:i/>
          <w:iCs/>
          <w:sz w:val="24"/>
          <w:szCs w:val="24"/>
          <w:lang w:val="uk-UA" w:eastAsia="uk-UA"/>
        </w:rPr>
        <w:t>Uncinaria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  <w:lang w:val="uk-UA" w:eastAsia="uk-UA"/>
        </w:rPr>
        <w:t>stenocephala</w:t>
      </w:r>
      <w:bookmarkEnd w:id="2"/>
      <w:proofErr w:type="spellEnd"/>
      <w:r w:rsidRPr="00101726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Toxocara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101726">
        <w:rPr>
          <w:rFonts w:ascii="Times New Roman" w:hAnsi="Times New Roman"/>
          <w:i/>
          <w:iCs/>
          <w:sz w:val="24"/>
          <w:szCs w:val="24"/>
        </w:rPr>
        <w:t>canis</w:t>
      </w:r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bookmarkStart w:id="3" w:name="_Hlk160274200"/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Toxascaris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leonina</w:t>
      </w:r>
      <w:bookmarkEnd w:id="3"/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Trichuris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vulpis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Thelazia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callipaeda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Angiostrongylus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vasorum</w:t>
      </w:r>
      <w:proofErr w:type="spellEnd"/>
      <w:r w:rsidRPr="00101726">
        <w:rPr>
          <w:rFonts w:ascii="Times New Roman" w:hAnsi="Times New Roman"/>
          <w:sz w:val="24"/>
          <w:szCs w:val="24"/>
          <w:lang w:val="uk-UA"/>
        </w:rPr>
        <w:t xml:space="preserve"> (знижує інтенсивність зараження),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Crenosoma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lastRenderedPageBreak/>
        <w:t>vulpis</w:t>
      </w:r>
      <w:proofErr w:type="spellEnd"/>
      <w:r w:rsidRPr="00101726">
        <w:rPr>
          <w:rFonts w:ascii="Times New Roman" w:hAnsi="Times New Roman"/>
          <w:sz w:val="24"/>
          <w:szCs w:val="24"/>
          <w:lang w:val="uk-UA"/>
        </w:rPr>
        <w:t xml:space="preserve"> (знижує інтенсивність зараження), а також за змішаних </w:t>
      </w:r>
      <w:proofErr w:type="spellStart"/>
      <w:r w:rsidRPr="00101726">
        <w:rPr>
          <w:rFonts w:ascii="Times New Roman" w:hAnsi="Times New Roman"/>
          <w:sz w:val="24"/>
          <w:szCs w:val="24"/>
          <w:lang w:val="uk-UA"/>
        </w:rPr>
        <w:t>нематодо-цестодозних</w:t>
      </w:r>
      <w:proofErr w:type="spellEnd"/>
      <w:r w:rsidRPr="00101726">
        <w:rPr>
          <w:rFonts w:ascii="Times New Roman" w:hAnsi="Times New Roman"/>
          <w:sz w:val="24"/>
          <w:szCs w:val="24"/>
          <w:lang w:val="uk-UA"/>
        </w:rPr>
        <w:t xml:space="preserve"> інвазіях.</w:t>
      </w:r>
    </w:p>
    <w:p w14:paraId="29036A8A" w14:textId="611A3E91" w:rsidR="00E262C2" w:rsidRPr="00101726" w:rsidRDefault="00E262C2" w:rsidP="00E262C2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01726">
        <w:rPr>
          <w:rFonts w:ascii="Times New Roman" w:hAnsi="Times New Roman"/>
          <w:sz w:val="24"/>
          <w:szCs w:val="24"/>
          <w:lang w:val="uk-UA"/>
        </w:rPr>
        <w:t xml:space="preserve">Профілактика </w:t>
      </w:r>
      <w:proofErr w:type="spellStart"/>
      <w:r w:rsidRPr="00101726">
        <w:rPr>
          <w:rFonts w:ascii="Times New Roman" w:hAnsi="Times New Roman"/>
          <w:sz w:val="24"/>
          <w:szCs w:val="24"/>
          <w:lang w:val="uk-UA"/>
        </w:rPr>
        <w:t>дирофіляріозу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: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Dirofilaria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01726">
        <w:rPr>
          <w:rFonts w:ascii="Times New Roman" w:hAnsi="Times New Roman"/>
          <w:i/>
          <w:iCs/>
          <w:sz w:val="24"/>
          <w:szCs w:val="24"/>
        </w:rPr>
        <w:t>spp</w:t>
      </w:r>
      <w:proofErr w:type="spellEnd"/>
      <w:r w:rsidRPr="00101726">
        <w:rPr>
          <w:rFonts w:ascii="Times New Roman" w:hAnsi="Times New Roman"/>
          <w:i/>
          <w:iCs/>
          <w:sz w:val="24"/>
          <w:szCs w:val="24"/>
          <w:lang w:val="uk-UA"/>
        </w:rPr>
        <w:t>.</w:t>
      </w:r>
      <w:r w:rsidR="00354C56">
        <w:rPr>
          <w:rFonts w:ascii="Times New Roman" w:hAnsi="Times New Roman"/>
          <w:i/>
          <w:iCs/>
          <w:sz w:val="24"/>
          <w:szCs w:val="24"/>
          <w:lang w:val="uk-UA"/>
        </w:rPr>
        <w:t>.</w:t>
      </w:r>
    </w:p>
    <w:p w14:paraId="2C671484" w14:textId="77777777" w:rsidR="002D519B" w:rsidRPr="00D3779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3779F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Дозування</w:t>
      </w:r>
    </w:p>
    <w:p w14:paraId="6838B82F" w14:textId="5761C6F8" w:rsidR="003D795C" w:rsidRPr="00D3779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9F">
        <w:rPr>
          <w:rFonts w:ascii="Times New Roman" w:hAnsi="Times New Roman" w:cs="Times New Roman"/>
          <w:sz w:val="24"/>
          <w:szCs w:val="24"/>
          <w:lang w:val="uk-UA"/>
        </w:rPr>
        <w:t>Препарат застосовують собакам одноразово під час годування з невеликою кількістю корму або вводять примусово на корінь язика після годування, з розрахунку:</w:t>
      </w:r>
    </w:p>
    <w:p w14:paraId="5D1B0257" w14:textId="6A132DDA" w:rsidR="0055149F" w:rsidRPr="00D3779F" w:rsidRDefault="00120C84" w:rsidP="005925CF">
      <w:pPr>
        <w:rPr>
          <w:lang w:val="uk-UA"/>
        </w:rPr>
      </w:pPr>
      <w:r w:rsidRPr="00D3779F">
        <w:rPr>
          <w:lang w:val="uk-UA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1"/>
        <w:gridCol w:w="1271"/>
        <w:gridCol w:w="1848"/>
        <w:gridCol w:w="1984"/>
        <w:gridCol w:w="1559"/>
        <w:gridCol w:w="1843"/>
      </w:tblGrid>
      <w:tr w:rsidR="005A3F48" w:rsidRPr="008B3880" w14:paraId="749E9B9E" w14:textId="442A12B1" w:rsidTr="008B3880">
        <w:trPr>
          <w:trHeight w:val="483"/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6BCCCDC6" w14:textId="53490367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bookmarkStart w:id="4" w:name="_Hlk161671479"/>
            <w:r w:rsidRPr="008B3880">
              <w:rPr>
                <w:rFonts w:ascii="Times New Roman" w:hAnsi="Times New Roman" w:cs="Times New Roman"/>
              </w:rPr>
              <w:t>Вага таблетки, г</w:t>
            </w:r>
          </w:p>
        </w:tc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22FC49AD" w14:textId="61C8B4CC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Вага собаки, кг</w:t>
            </w:r>
          </w:p>
        </w:tc>
        <w:tc>
          <w:tcPr>
            <w:tcW w:w="3832" w:type="dxa"/>
            <w:gridSpan w:val="2"/>
            <w:shd w:val="clear" w:color="auto" w:fill="FFFFFF" w:themeFill="background1"/>
            <w:vAlign w:val="center"/>
          </w:tcPr>
          <w:p w14:paraId="2847832D" w14:textId="7A095C9F" w:rsidR="005A3F48" w:rsidRPr="008B3880" w:rsidRDefault="005A3F48" w:rsidP="008B38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880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8B3880">
              <w:rPr>
                <w:rFonts w:ascii="Times New Roman" w:hAnsi="Times New Roman" w:cs="Times New Roman"/>
              </w:rPr>
              <w:t xml:space="preserve"> таблеток для </w:t>
            </w:r>
            <w:proofErr w:type="spellStart"/>
            <w:r w:rsidRPr="008B3880">
              <w:rPr>
                <w:rFonts w:ascii="Times New Roman" w:hAnsi="Times New Roman" w:cs="Times New Roman"/>
              </w:rPr>
              <w:t>прийому</w:t>
            </w:r>
            <w:proofErr w:type="spellEnd"/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D1BEFB0" w14:textId="69CD15E5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proofErr w:type="spellStart"/>
            <w:r w:rsidRPr="008B3880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8B38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880">
              <w:rPr>
                <w:rFonts w:ascii="Times New Roman" w:hAnsi="Times New Roman" w:cs="Times New Roman"/>
              </w:rPr>
              <w:t>діючих</w:t>
            </w:r>
            <w:proofErr w:type="spellEnd"/>
            <w:r w:rsidRPr="008B38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880">
              <w:rPr>
                <w:rFonts w:ascii="Times New Roman" w:hAnsi="Times New Roman" w:cs="Times New Roman"/>
              </w:rPr>
              <w:t>речовин</w:t>
            </w:r>
            <w:proofErr w:type="spellEnd"/>
            <w:r w:rsidRPr="008B388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B3880">
              <w:rPr>
                <w:rFonts w:ascii="Times New Roman" w:hAnsi="Times New Roman" w:cs="Times New Roman"/>
              </w:rPr>
              <w:t>дозі</w:t>
            </w:r>
            <w:proofErr w:type="spellEnd"/>
            <w:r w:rsidRPr="008B3880">
              <w:rPr>
                <w:rFonts w:ascii="Times New Roman" w:hAnsi="Times New Roman" w:cs="Times New Roman"/>
              </w:rPr>
              <w:t>, мг</w:t>
            </w:r>
          </w:p>
        </w:tc>
      </w:tr>
      <w:tr w:rsidR="005A3F48" w:rsidRPr="008B3880" w14:paraId="20ED8E00" w14:textId="53C6EF2E" w:rsidTr="007813E7">
        <w:trPr>
          <w:trHeight w:val="1206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167D3AEA" w14:textId="630AD80C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0140E12E" w14:textId="2AFF12B4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54CFEDE4" w14:textId="426CBF42" w:rsidR="005A3F48" w:rsidRPr="008B3880" w:rsidRDefault="007813E7" w:rsidP="008B3880">
            <w:pPr>
              <w:jc w:val="center"/>
              <w:rPr>
                <w:rFonts w:ascii="Times New Roman" w:hAnsi="Times New Roman" w:cs="Times New Roman"/>
              </w:rPr>
            </w:pPr>
            <w:r w:rsidRPr="000F05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СУПЕРІУМ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Мілбест</w:t>
            </w:r>
            <w:proofErr w:type="spellEnd"/>
            <w:r w:rsidRPr="000F05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таблетки для собак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F0504">
                <w:rPr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  <w:r w:rsidRPr="000F0504">
                <w:rPr>
                  <w:rFonts w:ascii="Times New Roman" w:hAnsi="Times New Roman"/>
                  <w:sz w:val="24"/>
                  <w:szCs w:val="24"/>
                </w:rPr>
                <w:t xml:space="preserve"> кг</w:t>
              </w:r>
            </w:smartTag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E62768" w14:textId="761FEAF1" w:rsidR="005A3F48" w:rsidRPr="008B3880" w:rsidRDefault="007813E7" w:rsidP="008B3880">
            <w:pPr>
              <w:jc w:val="center"/>
              <w:rPr>
                <w:rFonts w:ascii="Times New Roman" w:hAnsi="Times New Roman" w:cs="Times New Roman"/>
              </w:rPr>
            </w:pPr>
            <w:r w:rsidRPr="000F05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СУПЕРІУМ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Мілбест</w:t>
            </w:r>
            <w:proofErr w:type="spellEnd"/>
            <w:r w:rsidRPr="000F05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таблетки для собак </w:t>
            </w:r>
            <w:proofErr w:type="spellStart"/>
            <w:r w:rsidR="00CF08DE" w:rsidRPr="008B3880">
              <w:rPr>
                <w:rFonts w:ascii="Times New Roman" w:hAnsi="Times New Roman" w:cs="Times New Roman"/>
              </w:rPr>
              <w:t>від</w:t>
            </w:r>
            <w:proofErr w:type="spellEnd"/>
            <w:r w:rsidR="00CF08DE" w:rsidRPr="008B3880">
              <w:rPr>
                <w:rFonts w:ascii="Times New Roman" w:hAnsi="Times New Roman" w:cs="Times New Roman"/>
              </w:rPr>
              <w:t xml:space="preserve"> 10</w:t>
            </w:r>
            <w:r w:rsidR="005A3F48" w:rsidRPr="008B3880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D73EB7" w14:textId="6E9E8510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proofErr w:type="spellStart"/>
            <w:r w:rsidRPr="008B3880">
              <w:rPr>
                <w:rFonts w:ascii="Times New Roman" w:hAnsi="Times New Roman" w:cs="Times New Roman"/>
              </w:rPr>
              <w:t>Мільбеміцин</w:t>
            </w:r>
            <w:r w:rsidR="005925CF" w:rsidRPr="008B3880">
              <w:rPr>
                <w:rFonts w:ascii="Times New Roman" w:hAnsi="Times New Roman" w:cs="Times New Roman"/>
              </w:rPr>
              <w:t>у</w:t>
            </w:r>
            <w:proofErr w:type="spellEnd"/>
            <w:r w:rsidRPr="008B38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880">
              <w:rPr>
                <w:rFonts w:ascii="Times New Roman" w:hAnsi="Times New Roman" w:cs="Times New Roman"/>
              </w:rPr>
              <w:t>оксим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D2930D" w14:textId="5BA64FE8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proofErr w:type="spellStart"/>
            <w:r w:rsidRPr="008B3880">
              <w:rPr>
                <w:rFonts w:ascii="Times New Roman" w:hAnsi="Times New Roman" w:cs="Times New Roman"/>
              </w:rPr>
              <w:t>Празіквантел</w:t>
            </w:r>
            <w:proofErr w:type="spellEnd"/>
          </w:p>
        </w:tc>
      </w:tr>
      <w:tr w:rsidR="005A3F48" w:rsidRPr="008B3880" w14:paraId="623469BE" w14:textId="56601D4F" w:rsidTr="007813E7">
        <w:trPr>
          <w:trHeight w:val="20"/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7822DD45" w14:textId="26DD4F9D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4A12651A" w14:textId="311D8E4E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0,5 - 1,0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3EBD7408" w14:textId="6C4A9438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½ табл.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5192BBB" w14:textId="7B4B04AB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2EA525D1" w14:textId="5E55F4C4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843" w:type="dxa"/>
            <w:shd w:val="clear" w:color="auto" w:fill="FFFFFF" w:themeFill="background1"/>
          </w:tcPr>
          <w:p w14:paraId="40513365" w14:textId="500BA5B6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12,5</w:t>
            </w:r>
          </w:p>
        </w:tc>
      </w:tr>
      <w:tr w:rsidR="005A3F48" w:rsidRPr="008B3880" w14:paraId="6C4DE5F4" w14:textId="062D7F6A" w:rsidTr="007813E7">
        <w:trPr>
          <w:trHeight w:val="28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5E4EDA04" w14:textId="60869A60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0FC995E9" w14:textId="5DE32CDB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1,0 – 5,0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4388D719" w14:textId="2EA6E6A0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1 табл.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B0B08C" w14:textId="07FF008C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2F1182B2" w14:textId="7B59ECE7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  <w:shd w:val="clear" w:color="auto" w:fill="FFFFFF" w:themeFill="background1"/>
          </w:tcPr>
          <w:p w14:paraId="1A7DB132" w14:textId="5EE17AD6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25,0</w:t>
            </w:r>
          </w:p>
        </w:tc>
      </w:tr>
      <w:tr w:rsidR="005A3F48" w:rsidRPr="008B3880" w14:paraId="526EC1AE" w14:textId="63037AAB" w:rsidTr="007813E7">
        <w:trPr>
          <w:trHeight w:val="20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56E7FFEB" w14:textId="77777777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037BB4A9" w14:textId="6DC1B907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5,0 – 10,0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3BCE63FA" w14:textId="3048FE28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2 табл.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7DE4A94" w14:textId="58EB176B" w:rsidR="005A3F48" w:rsidRPr="00F33C47" w:rsidRDefault="00F33C47" w:rsidP="005925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3513524E" w14:textId="32D8A882" w:rsidR="005A3F48" w:rsidRPr="008B3880" w:rsidRDefault="00CF08DE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shd w:val="clear" w:color="auto" w:fill="FFFFFF" w:themeFill="background1"/>
          </w:tcPr>
          <w:p w14:paraId="1785D21B" w14:textId="200EAAEC" w:rsidR="005A3F48" w:rsidRPr="008B3880" w:rsidRDefault="00CF08DE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50,0</w:t>
            </w:r>
          </w:p>
        </w:tc>
      </w:tr>
      <w:tr w:rsidR="005A3F48" w:rsidRPr="008B3880" w14:paraId="6C5B1E10" w14:textId="03DA2370" w:rsidTr="007813E7">
        <w:trPr>
          <w:trHeight w:val="20"/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626A0E10" w14:textId="3FCF075C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7E0907F3" w14:textId="1CA2306A" w:rsidR="005A3F48" w:rsidRPr="008B3880" w:rsidRDefault="00CF08DE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10</w:t>
            </w:r>
            <w:r w:rsidR="005A3F48" w:rsidRPr="008B3880">
              <w:rPr>
                <w:rFonts w:ascii="Times New Roman" w:hAnsi="Times New Roman" w:cs="Times New Roman"/>
              </w:rPr>
              <w:t>,0 – 25,0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3B82EA04" w14:textId="5EBF57DE" w:rsidR="005A3F48" w:rsidRPr="00F33C47" w:rsidRDefault="00F33C47" w:rsidP="005925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58754B" w14:textId="782A4057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1 табл.</w:t>
            </w:r>
          </w:p>
        </w:tc>
        <w:tc>
          <w:tcPr>
            <w:tcW w:w="1559" w:type="dxa"/>
            <w:shd w:val="clear" w:color="auto" w:fill="FFFFFF" w:themeFill="background1"/>
          </w:tcPr>
          <w:p w14:paraId="33D343AB" w14:textId="1B73D2EA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843" w:type="dxa"/>
            <w:shd w:val="clear" w:color="auto" w:fill="FFFFFF" w:themeFill="background1"/>
          </w:tcPr>
          <w:p w14:paraId="628E3A0E" w14:textId="53BBEEFE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125,0</w:t>
            </w:r>
          </w:p>
        </w:tc>
      </w:tr>
      <w:tr w:rsidR="005A3F48" w:rsidRPr="008B3880" w14:paraId="14A0B3C3" w14:textId="05561809" w:rsidTr="007813E7">
        <w:trPr>
          <w:trHeight w:val="20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3A480F70" w14:textId="77777777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7E9D3DED" w14:textId="7B77A209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25,0 – 50,0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715D9F83" w14:textId="6D9ABAAF" w:rsidR="005A3F48" w:rsidRPr="00F33C47" w:rsidRDefault="00F33C47" w:rsidP="005925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FBD4C84" w14:textId="48EC7D2E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2 табл.</w:t>
            </w:r>
          </w:p>
        </w:tc>
        <w:tc>
          <w:tcPr>
            <w:tcW w:w="1559" w:type="dxa"/>
            <w:shd w:val="clear" w:color="auto" w:fill="FFFFFF" w:themeFill="background1"/>
          </w:tcPr>
          <w:p w14:paraId="54641FF2" w14:textId="0FA7D4B1" w:rsidR="005A3F48" w:rsidRPr="008B3880" w:rsidRDefault="00CF08DE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3" w:type="dxa"/>
            <w:shd w:val="clear" w:color="auto" w:fill="FFFFFF" w:themeFill="background1"/>
          </w:tcPr>
          <w:p w14:paraId="52E4C8CA" w14:textId="5A6B8C0A" w:rsidR="00CF08DE" w:rsidRPr="008B3880" w:rsidRDefault="00CF08DE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250,0</w:t>
            </w:r>
          </w:p>
        </w:tc>
      </w:tr>
      <w:tr w:rsidR="005A3F48" w:rsidRPr="008B3880" w14:paraId="4AE47FC4" w14:textId="2DF7DE14" w:rsidTr="007813E7">
        <w:trPr>
          <w:trHeight w:val="20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14:paraId="02A5E190" w14:textId="77777777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741D0213" w14:textId="59B5BCDB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50,0 – 75,0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17E582A0" w14:textId="63F8C003" w:rsidR="005A3F48" w:rsidRPr="00F33C47" w:rsidRDefault="00F33C47" w:rsidP="005925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D0E101" w14:textId="7F05A089" w:rsidR="005A3F48" w:rsidRPr="008B3880" w:rsidRDefault="005A3F48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3 табл.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504EFD" w14:textId="37D340DF" w:rsidR="005A3F48" w:rsidRPr="008B3880" w:rsidRDefault="00CF08DE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0F5FF0" w14:textId="03DB8BAB" w:rsidR="00CF08DE" w:rsidRPr="008B3880" w:rsidRDefault="00CF08DE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375,0</w:t>
            </w:r>
          </w:p>
        </w:tc>
      </w:tr>
      <w:tr w:rsidR="006E1673" w:rsidRPr="008B3880" w14:paraId="29FC5686" w14:textId="77777777" w:rsidTr="008B3880">
        <w:trPr>
          <w:trHeight w:val="20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14:paraId="76E2924C" w14:textId="77777777" w:rsidR="006E1673" w:rsidRPr="008B3880" w:rsidRDefault="006E1673" w:rsidP="00592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1C0F3FD7" w14:textId="4C3BD725" w:rsidR="006E1673" w:rsidRPr="008B3880" w:rsidRDefault="006E1673" w:rsidP="005925CF">
            <w:pPr>
              <w:rPr>
                <w:rFonts w:ascii="Times New Roman" w:hAnsi="Times New Roman" w:cs="Times New Roman"/>
              </w:rPr>
            </w:pPr>
            <w:r w:rsidRPr="008B3880">
              <w:rPr>
                <w:rFonts w:ascii="Times New Roman" w:hAnsi="Times New Roman" w:cs="Times New Roman"/>
              </w:rPr>
              <w:t>&gt; 75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6F9E3E20" w14:textId="77777777" w:rsidR="006E1673" w:rsidRPr="008B3880" w:rsidRDefault="006E1673" w:rsidP="00592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14:paraId="1EFEA493" w14:textId="4FB06031" w:rsidR="006E1673" w:rsidRPr="008B3880" w:rsidRDefault="006E1673" w:rsidP="005925CF">
            <w:pPr>
              <w:rPr>
                <w:rFonts w:ascii="Times New Roman" w:hAnsi="Times New Roman" w:cs="Times New Roman"/>
              </w:rPr>
            </w:pPr>
            <w:proofErr w:type="spellStart"/>
            <w:r w:rsidRPr="008B3880">
              <w:rPr>
                <w:rFonts w:ascii="Times New Roman" w:hAnsi="Times New Roman" w:cs="Times New Roman"/>
              </w:rPr>
              <w:t>Відповідна</w:t>
            </w:r>
            <w:proofErr w:type="spellEnd"/>
            <w:r w:rsidRPr="008B38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880">
              <w:rPr>
                <w:rFonts w:ascii="Times New Roman" w:hAnsi="Times New Roman" w:cs="Times New Roman"/>
              </w:rPr>
              <w:t>комбінація</w:t>
            </w:r>
            <w:proofErr w:type="spellEnd"/>
            <w:r w:rsidRPr="008B3880">
              <w:rPr>
                <w:rFonts w:ascii="Times New Roman" w:hAnsi="Times New Roman" w:cs="Times New Roman"/>
              </w:rPr>
              <w:t xml:space="preserve"> таблеток</w:t>
            </w:r>
          </w:p>
        </w:tc>
      </w:tr>
      <w:bookmarkEnd w:id="4"/>
    </w:tbl>
    <w:p w14:paraId="30982770" w14:textId="77777777" w:rsidR="0014101A" w:rsidRPr="005925CF" w:rsidRDefault="0014101A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532483" w14:textId="75F49548" w:rsidR="0025386B" w:rsidRPr="005925CF" w:rsidRDefault="0025386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0960038"/>
      <w:r w:rsidRPr="005925CF">
        <w:rPr>
          <w:rFonts w:ascii="Times New Roman" w:hAnsi="Times New Roman" w:cs="Times New Roman"/>
          <w:sz w:val="24"/>
          <w:szCs w:val="24"/>
        </w:rPr>
        <w:t xml:space="preserve">СУПЕРІУМ </w:t>
      </w:r>
      <w:proofErr w:type="spellStart"/>
      <w:r w:rsidR="007813E7">
        <w:rPr>
          <w:rFonts w:ascii="Times New Roman" w:hAnsi="Times New Roman" w:cs="Times New Roman"/>
          <w:sz w:val="24"/>
          <w:szCs w:val="24"/>
          <w:lang w:val="uk-UA"/>
        </w:rPr>
        <w:t>Мілбест</w:t>
      </w:r>
      <w:proofErr w:type="spellEnd"/>
      <w:r w:rsidR="007813E7">
        <w:rPr>
          <w:rFonts w:ascii="Times New Roman" w:hAnsi="Times New Roman" w:cs="Times New Roman"/>
          <w:sz w:val="24"/>
          <w:szCs w:val="24"/>
          <w:lang w:val="uk-UA"/>
        </w:rPr>
        <w:t xml:space="preserve"> таблетки</w:t>
      </w:r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r w:rsidR="00CF08DE" w:rsidRPr="005925CF">
        <w:rPr>
          <w:rFonts w:ascii="Times New Roman" w:hAnsi="Times New Roman" w:cs="Times New Roman"/>
          <w:sz w:val="24"/>
          <w:szCs w:val="24"/>
        </w:rPr>
        <w:t>для собак</w:t>
      </w:r>
      <w:r w:rsidRPr="005925CF">
        <w:rPr>
          <w:rFonts w:ascii="Times New Roman" w:hAnsi="Times New Roman" w:cs="Times New Roman"/>
          <w:sz w:val="24"/>
          <w:szCs w:val="24"/>
        </w:rPr>
        <w:t xml:space="preserve"> для </w:t>
      </w:r>
      <w:bookmarkStart w:id="6" w:name="_Hlk157678893"/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="008B3880">
        <w:rPr>
          <w:rFonts w:ascii="Times New Roman" w:hAnsi="Times New Roman" w:cs="Times New Roman"/>
          <w:sz w:val="24"/>
          <w:szCs w:val="24"/>
          <w:lang w:val="uk-UA"/>
        </w:rPr>
        <w:t xml:space="preserve"> достатньо прийому</w:t>
      </w:r>
      <w:r w:rsidRPr="005925CF">
        <w:rPr>
          <w:rFonts w:ascii="Times New Roman" w:hAnsi="Times New Roman" w:cs="Times New Roman"/>
          <w:sz w:val="24"/>
          <w:szCs w:val="24"/>
        </w:rPr>
        <w:t xml:space="preserve">  один раз </w:t>
      </w:r>
      <w:r w:rsidR="008B388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D6431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="008B3880">
        <w:rPr>
          <w:rFonts w:ascii="Times New Roman" w:hAnsi="Times New Roman" w:cs="Times New Roman"/>
          <w:sz w:val="24"/>
          <w:szCs w:val="24"/>
          <w:lang w:val="uk-UA"/>
        </w:rPr>
        <w:t xml:space="preserve">місяці </w:t>
      </w:r>
      <w:bookmarkEnd w:id="6"/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паразитів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перерахованих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а також за 2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вакцинації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55B1C804" w14:textId="2FC2FAC7" w:rsidR="0025386B" w:rsidRPr="005925CF" w:rsidRDefault="0025386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Попередньої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голодної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дієти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послаблюючих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дегельмінтизацією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вимагається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30BEA3F4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дегельмінтизації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собак при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інвазії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спричиненій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31">
        <w:rPr>
          <w:rFonts w:ascii="Times New Roman" w:hAnsi="Times New Roman" w:cs="Times New Roman"/>
          <w:i/>
          <w:iCs/>
          <w:sz w:val="24"/>
          <w:szCs w:val="24"/>
        </w:rPr>
        <w:t>Angiostrongylus</w:t>
      </w:r>
      <w:proofErr w:type="spellEnd"/>
      <w:r w:rsidRPr="00ED64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6431">
        <w:rPr>
          <w:rFonts w:ascii="Times New Roman" w:hAnsi="Times New Roman" w:cs="Times New Roman"/>
          <w:i/>
          <w:iCs/>
          <w:sz w:val="24"/>
          <w:szCs w:val="24"/>
        </w:rPr>
        <w:t>vasorum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таблетки для собак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лікувальною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чотириразово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інтервалом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діб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з метою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кожні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терапевтичній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дозі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1CA48E27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дегельмінтизації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собак при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інвазії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викликаній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31">
        <w:rPr>
          <w:rFonts w:ascii="Times New Roman" w:hAnsi="Times New Roman" w:cs="Times New Roman"/>
          <w:i/>
          <w:iCs/>
          <w:sz w:val="24"/>
          <w:szCs w:val="24"/>
        </w:rPr>
        <w:t>Thelazia</w:t>
      </w:r>
      <w:proofErr w:type="spellEnd"/>
      <w:r w:rsidRPr="00ED64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6431">
        <w:rPr>
          <w:rFonts w:ascii="Times New Roman" w:hAnsi="Times New Roman" w:cs="Times New Roman"/>
          <w:i/>
          <w:iCs/>
          <w:sz w:val="24"/>
          <w:szCs w:val="24"/>
        </w:rPr>
        <w:t>callipaeda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препарат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дворазово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інтервалом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діб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6FEE1EB8" w14:textId="27F8E63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дирофіляріозу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несприятливих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захворювання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регіонах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препарат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весняно-літньо-осінній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: перед початком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льоту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комарів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москітів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переносників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збудника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i/>
          <w:iCs/>
          <w:sz w:val="24"/>
          <w:szCs w:val="24"/>
        </w:rPr>
        <w:t>Dirofilaria</w:t>
      </w:r>
      <w:proofErr w:type="spellEnd"/>
      <w:r w:rsidRPr="008B3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62C2">
        <w:rPr>
          <w:rFonts w:ascii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="00E262C2" w:rsidRPr="00E262C2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Pr="005925CF">
        <w:rPr>
          <w:rFonts w:ascii="Times New Roman" w:hAnsi="Times New Roman" w:cs="Times New Roman"/>
          <w:sz w:val="24"/>
          <w:szCs w:val="24"/>
        </w:rPr>
        <w:t xml:space="preserve">) одноразово,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1 раз на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раз 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сезоні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за 1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льоту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комах. Перед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дегельмінтизацією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проконсультуватися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ветеринарним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лікарем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виключити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тварини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крові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мікрофілярій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1D1D6DA9" w14:textId="77777777" w:rsidR="002D519B" w:rsidRPr="008B3880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3880">
        <w:rPr>
          <w:rFonts w:ascii="Times New Roman" w:hAnsi="Times New Roman" w:cs="Times New Roman"/>
          <w:b/>
          <w:bCs/>
          <w:sz w:val="24"/>
          <w:szCs w:val="24"/>
        </w:rPr>
        <w:t>Протипоказання</w:t>
      </w:r>
      <w:proofErr w:type="spellEnd"/>
    </w:p>
    <w:p w14:paraId="0D04A6C4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тваринам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відомою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підвищеною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індивідуальною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чутливістю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компонентів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препарату (у тому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анамнезі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)!</w:t>
      </w:r>
    </w:p>
    <w:p w14:paraId="067E73CA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тваринам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вираженим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нирок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печінки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2CC3E8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виснаженим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тваринам та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хворим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інфекційні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!</w:t>
      </w:r>
    </w:p>
    <w:p w14:paraId="1C64659D" w14:textId="470EC426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цуценятам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молодше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2-тижневого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0,5 кг.                   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препарату при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застосуванні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скасуванні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виявлено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4412049B" w14:textId="77777777" w:rsidR="00C5665C" w:rsidRPr="008B3880" w:rsidRDefault="00C5665C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50960129"/>
      <w:proofErr w:type="spellStart"/>
      <w:r w:rsidRPr="008B38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Побічна</w:t>
      </w:r>
      <w:proofErr w:type="spellEnd"/>
      <w:r w:rsidRPr="008B3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b/>
          <w:bCs/>
          <w:sz w:val="24"/>
          <w:szCs w:val="24"/>
        </w:rPr>
        <w:t>дія</w:t>
      </w:r>
      <w:proofErr w:type="spellEnd"/>
    </w:p>
    <w:p w14:paraId="1C87AEF0" w14:textId="0DD744A0" w:rsidR="00C5665C" w:rsidRPr="005925CF" w:rsidRDefault="00C5665C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01527265"/>
      <w:r w:rsidRPr="005925C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рідких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препарат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пригнічений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стан,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слинотечу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парез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м'язів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тремтіння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(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хитку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ходу.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симптоми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проходять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спонтанно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тварині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призначають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симптоматичної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529AF2B4" w14:textId="77777777" w:rsidR="002D519B" w:rsidRPr="00ED6431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6431">
        <w:rPr>
          <w:rFonts w:ascii="Times New Roman" w:hAnsi="Times New Roman" w:cs="Times New Roman"/>
          <w:b/>
          <w:bCs/>
          <w:sz w:val="24"/>
          <w:szCs w:val="24"/>
        </w:rPr>
        <w:t>Застереження</w:t>
      </w:r>
      <w:proofErr w:type="spellEnd"/>
    </w:p>
    <w:p w14:paraId="1D5DC5D9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Таблетки для собак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сумісні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селамектином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сумісність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препарату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макроциклічними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лактонами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відсутні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5BC10D12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Дегельмінтизацію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цуценятам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породи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коллі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бобтейл та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шелті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наглядом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ветеринарного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181F4861" w14:textId="661B77C3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препарату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вагітності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лактації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лікар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ветеринарної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врахуванням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можливих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ризиків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.</w:t>
      </w:r>
    </w:p>
    <w:p w14:paraId="46CE5B04" w14:textId="233D87E8" w:rsidR="005C1B9B" w:rsidRPr="005925CF" w:rsidRDefault="005C1B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собак з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високою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кількістю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циркулюючих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мікродирофілярій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6431">
        <w:rPr>
          <w:rFonts w:ascii="Times New Roman" w:hAnsi="Times New Roman" w:cs="Times New Roman"/>
          <w:i/>
          <w:iCs/>
          <w:sz w:val="24"/>
          <w:szCs w:val="24"/>
        </w:rPr>
        <w:t>Dirofilaria</w:t>
      </w:r>
      <w:proofErr w:type="spellEnd"/>
      <w:r w:rsidRPr="00ED64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779F">
        <w:rPr>
          <w:rFonts w:ascii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="00D3779F" w:rsidRPr="007813E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B388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призводити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побічних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реакцій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блідість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слизових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оболонок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блювота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, тремор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м'язів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утруднене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гіперсалівація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реакції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вивільненням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білків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мертвих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мікрофілярій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вказують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пряму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токсичність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препарату.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мікрофіляремії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собак (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личинок у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крові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) препаратом не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>.</w:t>
      </w:r>
    </w:p>
    <w:p w14:paraId="032866BE" w14:textId="77777777" w:rsidR="002D519B" w:rsidRPr="008B3880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3880">
        <w:rPr>
          <w:rFonts w:ascii="Times New Roman" w:hAnsi="Times New Roman" w:cs="Times New Roman"/>
          <w:b/>
          <w:bCs/>
          <w:sz w:val="24"/>
          <w:szCs w:val="24"/>
        </w:rPr>
        <w:t>Спеціальні</w:t>
      </w:r>
      <w:proofErr w:type="spellEnd"/>
      <w:r w:rsidRPr="008B3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b/>
          <w:bCs/>
          <w:sz w:val="24"/>
          <w:szCs w:val="24"/>
        </w:rPr>
        <w:t>застереження</w:t>
      </w:r>
      <w:proofErr w:type="spellEnd"/>
      <w:r w:rsidRPr="008B3880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 w:rsidRPr="008B3880">
        <w:rPr>
          <w:rFonts w:ascii="Times New Roman" w:hAnsi="Times New Roman" w:cs="Times New Roman"/>
          <w:b/>
          <w:bCs/>
          <w:sz w:val="24"/>
          <w:szCs w:val="24"/>
        </w:rPr>
        <w:t>осіб</w:t>
      </w:r>
      <w:proofErr w:type="spellEnd"/>
      <w:r w:rsidRPr="008B3880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8B3880">
        <w:rPr>
          <w:rFonts w:ascii="Times New Roman" w:hAnsi="Times New Roman" w:cs="Times New Roman"/>
          <w:b/>
          <w:bCs/>
          <w:sz w:val="24"/>
          <w:szCs w:val="24"/>
        </w:rPr>
        <w:t>обслуговуючого</w:t>
      </w:r>
      <w:proofErr w:type="spellEnd"/>
      <w:r w:rsidRPr="008B3880">
        <w:rPr>
          <w:rFonts w:ascii="Times New Roman" w:hAnsi="Times New Roman" w:cs="Times New Roman"/>
          <w:b/>
          <w:bCs/>
          <w:sz w:val="24"/>
          <w:szCs w:val="24"/>
        </w:rPr>
        <w:t xml:space="preserve"> персоналу</w:t>
      </w:r>
    </w:p>
    <w:p w14:paraId="3FFA2EA9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 препаратом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гігієни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ветеринарними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препаратами.</w:t>
      </w:r>
    </w:p>
    <w:p w14:paraId="7BDCE69B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доступу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до ветеринарного препарату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діставати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одній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таблетці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блістера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ховати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блістер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в упаковку.</w:t>
      </w:r>
    </w:p>
    <w:p w14:paraId="6487B7A6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 препаратом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вимити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руки з милом.</w:t>
      </w:r>
    </w:p>
    <w:p w14:paraId="459D5883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випадковому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заковтуванні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препарату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розлади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нервової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тому у таких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листівку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-вкладку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етикетку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препарату).</w:t>
      </w:r>
    </w:p>
    <w:p w14:paraId="21F70D08" w14:textId="6A1AF1B1" w:rsidR="002D519B" w:rsidRPr="008B3880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880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proofErr w:type="spellStart"/>
      <w:r w:rsidRPr="008B3880">
        <w:rPr>
          <w:rFonts w:ascii="Times New Roman" w:hAnsi="Times New Roman" w:cs="Times New Roman"/>
          <w:b/>
          <w:bCs/>
          <w:sz w:val="24"/>
          <w:szCs w:val="24"/>
        </w:rPr>
        <w:t>випуску</w:t>
      </w:r>
      <w:proofErr w:type="spellEnd"/>
    </w:p>
    <w:p w14:paraId="4DD8BC6F" w14:textId="1E706E5D" w:rsidR="00EB7FFB" w:rsidRDefault="00EB7FFB" w:rsidP="00EB7F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9" w:name="_Hlk101528872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Таблетки запаковані по 2 </w:t>
      </w:r>
      <w:proofErr w:type="spellStart"/>
      <w:r w:rsidR="007504D8">
        <w:rPr>
          <w:rFonts w:ascii="Times New Roman" w:hAnsi="Times New Roman" w:cs="Times New Roman"/>
          <w:bCs/>
          <w:sz w:val="24"/>
          <w:szCs w:val="24"/>
          <w:lang w:val="uk-UA"/>
        </w:rPr>
        <w:t>шт</w:t>
      </w:r>
      <w:proofErr w:type="spellEnd"/>
      <w:r w:rsidR="00E262C2" w:rsidRPr="00E262C2">
        <w:rPr>
          <w:rFonts w:ascii="Times New Roman" w:hAnsi="Times New Roman" w:cs="Times New Roman"/>
          <w:bCs/>
          <w:sz w:val="24"/>
          <w:szCs w:val="24"/>
        </w:rPr>
        <w:t>.</w:t>
      </w:r>
      <w:r w:rsidR="007504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 блістери з фольги ОПА/А1/ПВХ холодного штампування. Блістери упаковані в картонну коробку.</w:t>
      </w:r>
    </w:p>
    <w:p w14:paraId="548BBA8A" w14:textId="77777777" w:rsidR="0025386B" w:rsidRPr="005925CF" w:rsidRDefault="0025386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Для тварин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різної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випускають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таблетки по: </w:t>
      </w:r>
    </w:p>
    <w:p w14:paraId="0F802836" w14:textId="545543FA" w:rsidR="0025386B" w:rsidRPr="005925CF" w:rsidRDefault="0025386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>0</w:t>
      </w:r>
      <w:r w:rsidR="002D6E76" w:rsidRPr="005925CF">
        <w:rPr>
          <w:rFonts w:ascii="Times New Roman" w:hAnsi="Times New Roman" w:cs="Times New Roman"/>
          <w:sz w:val="24"/>
          <w:szCs w:val="24"/>
        </w:rPr>
        <w:t>,</w:t>
      </w:r>
      <w:r w:rsidR="0061730C" w:rsidRPr="005925CF">
        <w:rPr>
          <w:rFonts w:ascii="Times New Roman" w:hAnsi="Times New Roman" w:cs="Times New Roman"/>
          <w:sz w:val="24"/>
          <w:szCs w:val="24"/>
        </w:rPr>
        <w:t>2</w:t>
      </w:r>
      <w:r w:rsidR="002D6E76" w:rsidRPr="005925CF">
        <w:rPr>
          <w:rFonts w:ascii="Times New Roman" w:hAnsi="Times New Roman" w:cs="Times New Roman"/>
          <w:sz w:val="24"/>
          <w:szCs w:val="24"/>
        </w:rPr>
        <w:t xml:space="preserve"> </w:t>
      </w:r>
      <w:r w:rsidRPr="005925CF">
        <w:rPr>
          <w:rFonts w:ascii="Times New Roman" w:hAnsi="Times New Roman" w:cs="Times New Roman"/>
          <w:sz w:val="24"/>
          <w:szCs w:val="24"/>
        </w:rPr>
        <w:t xml:space="preserve">г - для собак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r w:rsidR="0061730C" w:rsidRPr="005925CF">
        <w:rPr>
          <w:rFonts w:ascii="Times New Roman" w:hAnsi="Times New Roman" w:cs="Times New Roman"/>
          <w:sz w:val="24"/>
          <w:szCs w:val="24"/>
        </w:rPr>
        <w:t>1,0</w:t>
      </w:r>
      <w:r w:rsidRPr="005925CF">
        <w:rPr>
          <w:rFonts w:ascii="Times New Roman" w:hAnsi="Times New Roman" w:cs="Times New Roman"/>
          <w:sz w:val="24"/>
          <w:szCs w:val="24"/>
        </w:rPr>
        <w:t xml:space="preserve"> - </w:t>
      </w:r>
      <w:r w:rsidR="0061730C" w:rsidRPr="005925CF">
        <w:rPr>
          <w:rFonts w:ascii="Times New Roman" w:hAnsi="Times New Roman" w:cs="Times New Roman"/>
          <w:sz w:val="24"/>
          <w:szCs w:val="24"/>
        </w:rPr>
        <w:t>5</w:t>
      </w:r>
      <w:r w:rsidRPr="005925CF">
        <w:rPr>
          <w:rFonts w:ascii="Times New Roman" w:hAnsi="Times New Roman" w:cs="Times New Roman"/>
          <w:sz w:val="24"/>
          <w:szCs w:val="24"/>
        </w:rPr>
        <w:t>,0 кг;</w:t>
      </w:r>
    </w:p>
    <w:p w14:paraId="2A9F5D9B" w14:textId="0F6183D5" w:rsidR="0025386B" w:rsidRPr="005925CF" w:rsidRDefault="0061730C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1,0 </w:t>
      </w:r>
      <w:r w:rsidR="0025386B" w:rsidRPr="005925CF">
        <w:rPr>
          <w:rFonts w:ascii="Times New Roman" w:hAnsi="Times New Roman" w:cs="Times New Roman"/>
          <w:sz w:val="24"/>
          <w:szCs w:val="24"/>
        </w:rPr>
        <w:t xml:space="preserve">г - для собак </w:t>
      </w:r>
      <w:proofErr w:type="spellStart"/>
      <w:r w:rsidR="0025386B" w:rsidRPr="005925CF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="0025386B"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6B" w:rsidRPr="005925CF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="0025386B" w:rsidRPr="005925CF">
        <w:rPr>
          <w:rFonts w:ascii="Times New Roman" w:hAnsi="Times New Roman" w:cs="Times New Roman"/>
          <w:sz w:val="24"/>
          <w:szCs w:val="24"/>
        </w:rPr>
        <w:t xml:space="preserve"> </w:t>
      </w:r>
      <w:r w:rsidRPr="005925CF">
        <w:rPr>
          <w:rFonts w:ascii="Times New Roman" w:hAnsi="Times New Roman" w:cs="Times New Roman"/>
          <w:sz w:val="24"/>
          <w:szCs w:val="24"/>
        </w:rPr>
        <w:t>10,0 - 25,0</w:t>
      </w:r>
      <w:r w:rsidR="0025386B" w:rsidRPr="005925CF">
        <w:rPr>
          <w:rFonts w:ascii="Times New Roman" w:hAnsi="Times New Roman" w:cs="Times New Roman"/>
          <w:sz w:val="24"/>
          <w:szCs w:val="24"/>
        </w:rPr>
        <w:t xml:space="preserve"> кг; </w:t>
      </w:r>
    </w:p>
    <w:bookmarkEnd w:id="9"/>
    <w:p w14:paraId="439EB019" w14:textId="77777777" w:rsidR="002D519B" w:rsidRPr="008B3880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3880">
        <w:rPr>
          <w:rFonts w:ascii="Times New Roman" w:hAnsi="Times New Roman" w:cs="Times New Roman"/>
          <w:b/>
          <w:bCs/>
          <w:sz w:val="24"/>
          <w:szCs w:val="24"/>
        </w:rPr>
        <w:t>Зберігання</w:t>
      </w:r>
      <w:proofErr w:type="spellEnd"/>
    </w:p>
    <w:p w14:paraId="39D691C3" w14:textId="073E2712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0960327"/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препарат в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оригінальній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упаковці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у сухому,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захищеному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світла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та недоступному для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і тварин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 </w:t>
      </w:r>
      <w:r w:rsidR="00F722E6" w:rsidRPr="005925CF">
        <w:rPr>
          <w:rFonts w:ascii="Times New Roman" w:hAnsi="Times New Roman" w:cs="Times New Roman"/>
          <w:sz w:val="24"/>
          <w:szCs w:val="24"/>
        </w:rPr>
        <w:t>5</w:t>
      </w:r>
      <w:r w:rsidRPr="005925CF">
        <w:rPr>
          <w:rFonts w:ascii="Times New Roman" w:hAnsi="Times New Roman" w:cs="Times New Roman"/>
          <w:sz w:val="24"/>
          <w:szCs w:val="24"/>
        </w:rPr>
        <w:t xml:space="preserve"> до </w:t>
      </w:r>
      <w:r w:rsidR="00F722E6" w:rsidRPr="005925CF">
        <w:rPr>
          <w:rFonts w:ascii="Times New Roman" w:hAnsi="Times New Roman" w:cs="Times New Roman"/>
          <w:sz w:val="24"/>
          <w:szCs w:val="24"/>
        </w:rPr>
        <w:t>25</w:t>
      </w:r>
      <w:r w:rsidRPr="005925CF">
        <w:rPr>
          <w:rFonts w:ascii="Times New Roman" w:hAnsi="Times New Roman" w:cs="Times New Roman"/>
          <w:sz w:val="24"/>
          <w:szCs w:val="24"/>
        </w:rPr>
        <w:t xml:space="preserve"> °С.</w:t>
      </w:r>
    </w:p>
    <w:bookmarkEnd w:id="10"/>
    <w:p w14:paraId="02074037" w14:textId="1938AA87" w:rsidR="002D519B" w:rsidRPr="008B3880" w:rsidRDefault="002D519B" w:rsidP="008B3880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3880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sz w:val="24"/>
          <w:szCs w:val="24"/>
        </w:rPr>
        <w:t>придатності</w:t>
      </w:r>
      <w:proofErr w:type="spellEnd"/>
      <w:r w:rsidRPr="008B3880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50960333"/>
      <w:r w:rsidR="008B3880" w:rsidRPr="008B388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650B4" w:rsidRPr="005925CF">
        <w:rPr>
          <w:rFonts w:ascii="Times New Roman" w:hAnsi="Times New Roman" w:cs="Times New Roman"/>
          <w:sz w:val="24"/>
          <w:szCs w:val="24"/>
        </w:rPr>
        <w:t>3 роки</w:t>
      </w:r>
      <w:r w:rsidRPr="005925CF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14:paraId="52B1322B" w14:textId="77777777" w:rsidR="007813E7" w:rsidRDefault="007813E7" w:rsidP="008B3880">
      <w:pPr>
        <w:ind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bookmarkStart w:id="12" w:name="_Hlk150960339"/>
    </w:p>
    <w:p w14:paraId="5C9792AA" w14:textId="77777777" w:rsidR="007813E7" w:rsidRDefault="007813E7" w:rsidP="008B3880">
      <w:pPr>
        <w:ind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33686161" w14:textId="72DE7E13" w:rsidR="001650B4" w:rsidRPr="008B3880" w:rsidRDefault="001650B4" w:rsidP="008B3880">
      <w:pPr>
        <w:ind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3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</w:t>
      </w:r>
      <w:proofErr w:type="spellStart"/>
      <w:r w:rsidRPr="008B3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застосування</w:t>
      </w:r>
      <w:proofErr w:type="spellEnd"/>
      <w:r w:rsidRPr="008B3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 </w:t>
      </w:r>
      <w:proofErr w:type="spellStart"/>
      <w:r w:rsidRPr="008B3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ветеринарній</w:t>
      </w:r>
      <w:proofErr w:type="spellEnd"/>
      <w:r w:rsidRPr="008B3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3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медицині</w:t>
      </w:r>
      <w:proofErr w:type="spellEnd"/>
      <w:r w:rsidRPr="008B3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5A35D75F" w14:textId="03F6F7A0" w:rsidR="00F33C47" w:rsidRPr="00F33C47" w:rsidRDefault="00F33C47" w:rsidP="00F33C47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3" w:name="_Hlk69307579"/>
      <w:bookmarkStart w:id="14" w:name="_Hlk157679197"/>
      <w:r w:rsidRPr="00F33C47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Назва та місцезнаходження власника реєстраційного посвідчення:</w:t>
      </w:r>
    </w:p>
    <w:p w14:paraId="500993A7" w14:textId="7E548E44" w:rsidR="001650B4" w:rsidRPr="00F33C47" w:rsidRDefault="001650B4" w:rsidP="00F33C4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ТОВ «КОЛЛАР КОМПАНІ», 14000, м.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Чернігів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. Гетьмана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Полуботка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, б</w:t>
      </w:r>
      <w:proofErr w:type="spellStart"/>
      <w:r w:rsidR="00F33C47">
        <w:rPr>
          <w:rFonts w:ascii="Times New Roman" w:hAnsi="Times New Roman" w:cs="Times New Roman"/>
          <w:sz w:val="24"/>
          <w:szCs w:val="24"/>
          <w:lang w:val="uk-UA"/>
        </w:rPr>
        <w:t>уд</w:t>
      </w:r>
      <w:proofErr w:type="spellEnd"/>
      <w:r w:rsidR="00F33C4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925CF"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 w:rsidR="00F33C47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="00F33C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13"/>
    <w:p w14:paraId="1A7250E0" w14:textId="6E82D7D0" w:rsidR="001650B4" w:rsidRPr="00F33C47" w:rsidRDefault="00F33C47" w:rsidP="00F33C47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3C47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Назва та місцезнаходження в</w:t>
      </w:r>
      <w:proofErr w:type="spellStart"/>
      <w:r w:rsidR="001650B4" w:rsidRPr="00F33C47">
        <w:rPr>
          <w:rFonts w:ascii="Times New Roman" w:hAnsi="Times New Roman" w:cs="Times New Roman"/>
          <w:b/>
          <w:bCs/>
          <w:sz w:val="24"/>
          <w:szCs w:val="24"/>
        </w:rPr>
        <w:t>иробник</w:t>
      </w:r>
      <w:proofErr w:type="spellEnd"/>
      <w:r w:rsidRPr="00F33C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 </w:t>
      </w:r>
      <w:r w:rsidR="001650B4" w:rsidRPr="00F33C47">
        <w:rPr>
          <w:rFonts w:ascii="Times New Roman" w:hAnsi="Times New Roman" w:cs="Times New Roman"/>
          <w:b/>
          <w:bCs/>
          <w:sz w:val="24"/>
          <w:szCs w:val="24"/>
        </w:rPr>
        <w:t>готового продукту</w:t>
      </w:r>
      <w:r w:rsidRPr="00F33C4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2E9567BC" w14:textId="31AAE6DE" w:rsidR="001650B4" w:rsidRPr="00F33C47" w:rsidRDefault="001650B4" w:rsidP="00F33C4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69305904"/>
      <w:r w:rsidRPr="005925CF">
        <w:rPr>
          <w:rFonts w:ascii="Times New Roman" w:hAnsi="Times New Roman" w:cs="Times New Roman"/>
          <w:sz w:val="24"/>
          <w:szCs w:val="24"/>
        </w:rPr>
        <w:t xml:space="preserve">ТОВ «ІНТЕР ЛЕК», 61010, м.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25CF">
        <w:rPr>
          <w:rFonts w:ascii="Times New Roman" w:hAnsi="Times New Roman" w:cs="Times New Roman"/>
          <w:sz w:val="24"/>
          <w:szCs w:val="24"/>
        </w:rPr>
        <w:t>Гордієнківська</w:t>
      </w:r>
      <w:proofErr w:type="spellEnd"/>
      <w:r w:rsidRPr="005925CF">
        <w:rPr>
          <w:rFonts w:ascii="Times New Roman" w:hAnsi="Times New Roman" w:cs="Times New Roman"/>
          <w:sz w:val="24"/>
          <w:szCs w:val="24"/>
        </w:rPr>
        <w:t>, б</w:t>
      </w:r>
      <w:proofErr w:type="spellStart"/>
      <w:r w:rsidR="00F33C47">
        <w:rPr>
          <w:rFonts w:ascii="Times New Roman" w:hAnsi="Times New Roman" w:cs="Times New Roman"/>
          <w:sz w:val="24"/>
          <w:szCs w:val="24"/>
          <w:lang w:val="uk-UA"/>
        </w:rPr>
        <w:t>уд</w:t>
      </w:r>
      <w:proofErr w:type="spellEnd"/>
      <w:r w:rsidR="00F33C4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925CF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F33C47">
        <w:rPr>
          <w:rFonts w:ascii="Times New Roman" w:hAnsi="Times New Roman" w:cs="Times New Roman"/>
          <w:sz w:val="24"/>
          <w:szCs w:val="24"/>
        </w:rPr>
        <w:t>Україна</w:t>
      </w:r>
      <w:bookmarkEnd w:id="15"/>
      <w:proofErr w:type="spellEnd"/>
      <w:r w:rsidR="00F33C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12"/>
    <w:p w14:paraId="7B6B6426" w14:textId="15404C64" w:rsidR="00120C84" w:rsidRPr="005925CF" w:rsidRDefault="00120C84" w:rsidP="00F33C4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4"/>
    <w:p w14:paraId="3F574858" w14:textId="77777777" w:rsidR="002D519B" w:rsidRPr="005925CF" w:rsidRDefault="002D519B" w:rsidP="005925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D519B" w:rsidRPr="005925CF" w:rsidSect="004502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2337" w14:textId="77777777" w:rsidR="00FC695A" w:rsidRDefault="00FC695A" w:rsidP="00F638E5">
      <w:pPr>
        <w:spacing w:after="0" w:line="240" w:lineRule="auto"/>
      </w:pPr>
      <w:r>
        <w:separator/>
      </w:r>
    </w:p>
  </w:endnote>
  <w:endnote w:type="continuationSeparator" w:id="0">
    <w:p w14:paraId="1B62E2C1" w14:textId="77777777" w:rsidR="00FC695A" w:rsidRDefault="00FC695A" w:rsidP="00F6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F502" w14:textId="77777777" w:rsidR="00FC695A" w:rsidRDefault="00FC695A" w:rsidP="00F638E5">
      <w:pPr>
        <w:spacing w:after="0" w:line="240" w:lineRule="auto"/>
      </w:pPr>
      <w:r>
        <w:separator/>
      </w:r>
    </w:p>
  </w:footnote>
  <w:footnote w:type="continuationSeparator" w:id="0">
    <w:p w14:paraId="5B094478" w14:textId="77777777" w:rsidR="00FC695A" w:rsidRDefault="00FC695A" w:rsidP="00F6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2628"/>
    <w:multiLevelType w:val="hybridMultilevel"/>
    <w:tmpl w:val="E3061F64"/>
    <w:lvl w:ilvl="0" w:tplc="7940FA4C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9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9B"/>
    <w:rsid w:val="00120C84"/>
    <w:rsid w:val="001225A5"/>
    <w:rsid w:val="0014101A"/>
    <w:rsid w:val="001650B4"/>
    <w:rsid w:val="001C106B"/>
    <w:rsid w:val="001D7B07"/>
    <w:rsid w:val="0025386B"/>
    <w:rsid w:val="002709E3"/>
    <w:rsid w:val="002D519B"/>
    <w:rsid w:val="002D6E76"/>
    <w:rsid w:val="002E6101"/>
    <w:rsid w:val="002F0AFF"/>
    <w:rsid w:val="00354C56"/>
    <w:rsid w:val="00375915"/>
    <w:rsid w:val="003D795C"/>
    <w:rsid w:val="0041241A"/>
    <w:rsid w:val="00432F87"/>
    <w:rsid w:val="00450202"/>
    <w:rsid w:val="00471149"/>
    <w:rsid w:val="004E5BCE"/>
    <w:rsid w:val="0055149F"/>
    <w:rsid w:val="005925CF"/>
    <w:rsid w:val="005A3F48"/>
    <w:rsid w:val="005C1B9B"/>
    <w:rsid w:val="0061730C"/>
    <w:rsid w:val="006E1673"/>
    <w:rsid w:val="007504D8"/>
    <w:rsid w:val="007813E7"/>
    <w:rsid w:val="007A52AB"/>
    <w:rsid w:val="008B3880"/>
    <w:rsid w:val="0094256F"/>
    <w:rsid w:val="009D1EF2"/>
    <w:rsid w:val="00BC5338"/>
    <w:rsid w:val="00C251EE"/>
    <w:rsid w:val="00C5665C"/>
    <w:rsid w:val="00CF08DE"/>
    <w:rsid w:val="00D013C2"/>
    <w:rsid w:val="00D35B86"/>
    <w:rsid w:val="00D3779F"/>
    <w:rsid w:val="00E262C2"/>
    <w:rsid w:val="00EA5CF6"/>
    <w:rsid w:val="00EB7FFB"/>
    <w:rsid w:val="00ED6431"/>
    <w:rsid w:val="00F33C47"/>
    <w:rsid w:val="00F638E5"/>
    <w:rsid w:val="00F722E6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097E83"/>
  <w15:chartTrackingRefBased/>
  <w15:docId w15:val="{6542B656-8DB1-46F8-AA4C-DA33B75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8E5"/>
  </w:style>
  <w:style w:type="paragraph" w:styleId="a5">
    <w:name w:val="footer"/>
    <w:basedOn w:val="a"/>
    <w:link w:val="a6"/>
    <w:uiPriority w:val="99"/>
    <w:unhideWhenUsed/>
    <w:rsid w:val="00F6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8E5"/>
  </w:style>
  <w:style w:type="paragraph" w:styleId="a7">
    <w:name w:val="List Paragraph"/>
    <w:basedOn w:val="a"/>
    <w:uiPriority w:val="34"/>
    <w:qFormat/>
    <w:rsid w:val="002F0AFF"/>
    <w:pPr>
      <w:ind w:left="720"/>
      <w:contextualSpacing/>
    </w:pPr>
  </w:style>
  <w:style w:type="table" w:styleId="a8">
    <w:name w:val="Table Grid"/>
    <w:basedOn w:val="a1"/>
    <w:uiPriority w:val="39"/>
    <w:rsid w:val="001D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пк-2</cp:lastModifiedBy>
  <cp:revision>15</cp:revision>
  <cp:lastPrinted>2024-04-09T07:21:00Z</cp:lastPrinted>
  <dcterms:created xsi:type="dcterms:W3CDTF">2023-11-15T09:12:00Z</dcterms:created>
  <dcterms:modified xsi:type="dcterms:W3CDTF">2024-04-09T07:27:00Z</dcterms:modified>
</cp:coreProperties>
</file>