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FD5B" w14:textId="77777777" w:rsidR="00474126" w:rsidRPr="0084376A" w:rsidRDefault="00474126" w:rsidP="00474126">
      <w:pPr>
        <w:spacing w:after="0" w:line="240" w:lineRule="auto"/>
        <w:ind w:left="5760" w:right="253" w:firstLine="720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376A">
        <w:rPr>
          <w:rFonts w:ascii="Times New Roman" w:hAnsi="Times New Roman"/>
          <w:sz w:val="24"/>
          <w:szCs w:val="24"/>
        </w:rPr>
        <w:t>Додаток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r w:rsidRPr="0084376A">
        <w:rPr>
          <w:rFonts w:ascii="Times New Roman" w:hAnsi="Times New Roman"/>
          <w:sz w:val="24"/>
          <w:szCs w:val="24"/>
          <w:lang w:val="uk-UA"/>
        </w:rPr>
        <w:t>1</w:t>
      </w:r>
    </w:p>
    <w:p w14:paraId="29BCFD5C" w14:textId="77777777" w:rsidR="00474126" w:rsidRPr="0084376A" w:rsidRDefault="00474126" w:rsidP="00474126">
      <w:pPr>
        <w:spacing w:after="0" w:line="240" w:lineRule="auto"/>
        <w:ind w:right="253"/>
        <w:jc w:val="right"/>
        <w:rPr>
          <w:rFonts w:ascii="Times New Roman" w:hAnsi="Times New Roman"/>
          <w:sz w:val="24"/>
          <w:szCs w:val="24"/>
        </w:rPr>
      </w:pPr>
      <w:r w:rsidRPr="0084376A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84376A">
        <w:rPr>
          <w:rFonts w:ascii="Times New Roman" w:hAnsi="Times New Roman"/>
          <w:sz w:val="24"/>
          <w:szCs w:val="24"/>
        </w:rPr>
        <w:t>реєстраційного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посвідчення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</w:p>
    <w:p w14:paraId="29BCFD5D" w14:textId="77777777" w:rsidR="00474126" w:rsidRPr="0084376A" w:rsidRDefault="00474126" w:rsidP="00474126">
      <w:pPr>
        <w:spacing w:after="0"/>
        <w:ind w:right="253"/>
        <w:jc w:val="right"/>
        <w:rPr>
          <w:rFonts w:cs="Calibri"/>
          <w:b/>
          <w:sz w:val="24"/>
          <w:szCs w:val="24"/>
        </w:rPr>
      </w:pPr>
      <w:r w:rsidRPr="0084376A">
        <w:rPr>
          <w:rFonts w:cs="Calibri"/>
          <w:b/>
          <w:sz w:val="24"/>
          <w:szCs w:val="24"/>
        </w:rPr>
        <w:t xml:space="preserve">              </w:t>
      </w:r>
    </w:p>
    <w:p w14:paraId="29BCFD5E" w14:textId="77777777" w:rsidR="00474126" w:rsidRPr="0084376A" w:rsidRDefault="00474126" w:rsidP="00474126">
      <w:pPr>
        <w:ind w:right="25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sz w:val="24"/>
          <w:szCs w:val="24"/>
          <w:lang w:val="uk-UA"/>
        </w:rPr>
        <w:t>Коротка характеристика препарату</w:t>
      </w:r>
    </w:p>
    <w:p w14:paraId="29BCFD5F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sz w:val="24"/>
          <w:szCs w:val="24"/>
          <w:lang w:val="uk-UA"/>
        </w:rPr>
        <w:t>1.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376A">
        <w:rPr>
          <w:rFonts w:ascii="Times New Roman" w:hAnsi="Times New Roman"/>
          <w:b/>
          <w:sz w:val="24"/>
          <w:szCs w:val="24"/>
          <w:lang w:val="uk-UA"/>
        </w:rPr>
        <w:t>Назва</w:t>
      </w:r>
    </w:p>
    <w:p w14:paraId="29BCFD60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МОЛ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Х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ІВІТ</w:t>
      </w:r>
    </w:p>
    <w:p w14:paraId="29BCFD61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  <w:lang w:val="uk-UA"/>
        </w:rPr>
        <w:t>2. Склад</w:t>
      </w:r>
    </w:p>
    <w:p w14:paraId="29BCFD62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1 мл препарату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містить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діючі речовини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9BCFD63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en-US" w:eastAsia="ru-RU"/>
        </w:rPr>
        <w:t>DL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метіонін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2,1 </w:t>
      </w:r>
      <w:proofErr w:type="gram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мг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  <w:proofErr w:type="gramEnd"/>
    </w:p>
    <w:p w14:paraId="29BCFD64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-аргініну гідрохлорид - 2,0 </w:t>
      </w:r>
      <w:proofErr w:type="gram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мг;</w:t>
      </w:r>
      <w:proofErr w:type="gramEnd"/>
    </w:p>
    <w:p w14:paraId="29BCFD65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гістидину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гідрохлорид моногідрат - 2,1 </w:t>
      </w:r>
      <w:proofErr w:type="gram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мг;</w:t>
      </w:r>
      <w:proofErr w:type="gramEnd"/>
    </w:p>
    <w:p w14:paraId="29BCFD66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en-US" w:eastAsia="ru-RU"/>
        </w:rPr>
        <w:t>L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-лейцин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2,1 </w:t>
      </w:r>
      <w:proofErr w:type="gram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мг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  <w:proofErr w:type="gramEnd"/>
    </w:p>
    <w:p w14:paraId="29BCFD67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L-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лізин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10,0 мг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9BCFD68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L-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гліцин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4,2 мг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9BCFD69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L-триптофан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0,5 мг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9BCFD6A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L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треонін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- 1,0 мг;</w:t>
      </w:r>
    </w:p>
    <w:p w14:paraId="29BCFD6B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L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-валін - 2,0 мг;</w:t>
      </w:r>
    </w:p>
    <w:p w14:paraId="29BCFD6C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натрію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аденозинтрифосфат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(АТФ) - 3,0 мг;</w:t>
      </w:r>
    </w:p>
    <w:p w14:paraId="29BCFD6D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ретинолу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пальмітат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(вітамін А) - 30 000 МО;</w:t>
      </w:r>
    </w:p>
    <w:p w14:paraId="29BCFD6E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ціанокобаламін (вітамін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12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84376A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-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0,05 мг;</w:t>
      </w:r>
    </w:p>
    <w:p w14:paraId="29BCFD6F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холекальциферол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(вітамін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84376A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3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) - 10 000 МО;</w:t>
      </w:r>
    </w:p>
    <w:p w14:paraId="29BCFD70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альфа-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токоферилацетат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ітамін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Е)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10,0 мг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9BCFD71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заліза амонію цитрат - 4,0 мг;</w:t>
      </w:r>
    </w:p>
    <w:p w14:paraId="29BCFD72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натрію хлорид - 0,42 мг;</w:t>
      </w:r>
    </w:p>
    <w:p w14:paraId="29BCFD73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натрію гліцерофосфат - 10,0 мг;</w:t>
      </w:r>
    </w:p>
    <w:p w14:paraId="29BCFD74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кальцію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глюконат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- 0,038 мг;</w:t>
      </w:r>
    </w:p>
    <w:p w14:paraId="29BCFD75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кобальту хлорид - 0,201 мг;</w:t>
      </w:r>
    </w:p>
    <w:p w14:paraId="29BCFD76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магнію хлорид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гексагідрат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- 4,1 мг;</w:t>
      </w:r>
    </w:p>
    <w:p w14:paraId="29BCFD77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ц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инку глюконат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1,672 мг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9BCFD78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натрію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глутамат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4,2 мг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9BCFD79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натрію селеніт - 0,5 мг;</w:t>
      </w:r>
    </w:p>
    <w:p w14:paraId="29BCFD7A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калію йодиду - 2,0 мг.</w:t>
      </w:r>
    </w:p>
    <w:p w14:paraId="29BCFD7B" w14:textId="77777777" w:rsidR="00A013AB" w:rsidRDefault="00A013AB" w:rsidP="004741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BCFD7C" w14:textId="77777777" w:rsidR="00474126" w:rsidRPr="0084376A" w:rsidRDefault="00474126" w:rsidP="004741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Cs/>
          <w:sz w:val="24"/>
          <w:szCs w:val="24"/>
          <w:lang w:val="uk-UA"/>
        </w:rPr>
        <w:t xml:space="preserve">Допоміжні речовини: </w:t>
      </w:r>
      <w:proofErr w:type="spellStart"/>
      <w:r w:rsidRPr="0084376A">
        <w:rPr>
          <w:rFonts w:ascii="Times New Roman" w:hAnsi="Times New Roman"/>
          <w:bCs/>
          <w:sz w:val="24"/>
          <w:szCs w:val="24"/>
          <w:lang w:val="uk-UA"/>
        </w:rPr>
        <w:t>пропіленгліколь</w:t>
      </w:r>
      <w:proofErr w:type="spellEnd"/>
      <w:r w:rsidRPr="0084376A">
        <w:rPr>
          <w:rFonts w:ascii="Times New Roman" w:hAnsi="Times New Roman"/>
          <w:bCs/>
          <w:sz w:val="24"/>
          <w:szCs w:val="24"/>
          <w:lang w:val="uk-UA"/>
        </w:rPr>
        <w:t xml:space="preserve">, натрію </w:t>
      </w:r>
      <w:proofErr w:type="spellStart"/>
      <w:r w:rsidRPr="0084376A">
        <w:rPr>
          <w:rFonts w:ascii="Times New Roman" w:hAnsi="Times New Roman"/>
          <w:bCs/>
          <w:sz w:val="24"/>
          <w:szCs w:val="24"/>
          <w:lang w:val="uk-UA"/>
        </w:rPr>
        <w:t>метилпарабен</w:t>
      </w:r>
      <w:proofErr w:type="spellEnd"/>
      <w:r w:rsidRPr="0084376A">
        <w:rPr>
          <w:rFonts w:ascii="Times New Roman" w:hAnsi="Times New Roman"/>
          <w:bCs/>
          <w:sz w:val="24"/>
          <w:szCs w:val="24"/>
          <w:lang w:val="uk-UA"/>
        </w:rPr>
        <w:t xml:space="preserve">, натрію </w:t>
      </w:r>
      <w:proofErr w:type="spellStart"/>
      <w:r w:rsidRPr="0084376A">
        <w:rPr>
          <w:rFonts w:ascii="Times New Roman" w:hAnsi="Times New Roman"/>
          <w:bCs/>
          <w:sz w:val="24"/>
          <w:szCs w:val="24"/>
          <w:lang w:val="uk-UA"/>
        </w:rPr>
        <w:t>пропілпарабен</w:t>
      </w:r>
      <w:proofErr w:type="spellEnd"/>
      <w:r w:rsidRPr="0084376A">
        <w:rPr>
          <w:rFonts w:ascii="Times New Roman" w:hAnsi="Times New Roman"/>
          <w:bCs/>
          <w:sz w:val="24"/>
          <w:szCs w:val="24"/>
          <w:lang w:val="uk-UA"/>
        </w:rPr>
        <w:t xml:space="preserve">, спирт </w:t>
      </w:r>
      <w:proofErr w:type="spellStart"/>
      <w:r w:rsidRPr="0084376A">
        <w:rPr>
          <w:rFonts w:ascii="Times New Roman" w:hAnsi="Times New Roman"/>
          <w:bCs/>
          <w:sz w:val="24"/>
          <w:szCs w:val="24"/>
          <w:lang w:val="uk-UA"/>
        </w:rPr>
        <w:t>бензиловий</w:t>
      </w:r>
      <w:proofErr w:type="spellEnd"/>
      <w:r w:rsidRPr="0084376A">
        <w:rPr>
          <w:rFonts w:ascii="Times New Roman" w:hAnsi="Times New Roman"/>
          <w:bCs/>
          <w:sz w:val="24"/>
          <w:szCs w:val="24"/>
          <w:lang w:val="uk-UA"/>
        </w:rPr>
        <w:t>, вода для ін'єкцій.</w:t>
      </w:r>
    </w:p>
    <w:p w14:paraId="29BCFD7D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Фармацевтична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форма</w:t>
      </w:r>
    </w:p>
    <w:p w14:paraId="29BCFD7E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376A">
        <w:rPr>
          <w:rFonts w:ascii="Times New Roman" w:hAnsi="Times New Roman"/>
          <w:sz w:val="24"/>
          <w:szCs w:val="24"/>
        </w:rPr>
        <w:t>Розчин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4376A">
        <w:rPr>
          <w:rFonts w:ascii="Times New Roman" w:hAnsi="Times New Roman"/>
          <w:sz w:val="24"/>
          <w:szCs w:val="24"/>
        </w:rPr>
        <w:t>ін'єкцій</w:t>
      </w:r>
      <w:proofErr w:type="spellEnd"/>
      <w:r w:rsidRPr="0084376A">
        <w:rPr>
          <w:rFonts w:ascii="Times New Roman" w:hAnsi="Times New Roman"/>
          <w:sz w:val="24"/>
          <w:szCs w:val="24"/>
        </w:rPr>
        <w:t>.</w:t>
      </w:r>
    </w:p>
    <w:p w14:paraId="29BCFD7F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bCs/>
          <w:sz w:val="24"/>
          <w:szCs w:val="24"/>
          <w:lang w:val="uk-UA"/>
        </w:rPr>
        <w:t>4. Фармакологічні властивості</w:t>
      </w:r>
    </w:p>
    <w:p w14:paraId="29BCFD80" w14:textId="77777777" w:rsidR="00474126" w:rsidRPr="0084376A" w:rsidRDefault="00474126" w:rsidP="00474126">
      <w:pPr>
        <w:pStyle w:val="a8"/>
        <w:rPr>
          <w:rFonts w:ascii="Times New Roman" w:hAnsi="Times New Roman"/>
          <w:b/>
          <w:i/>
          <w:sz w:val="24"/>
          <w:szCs w:val="24"/>
          <w:lang w:val="uk-UA"/>
        </w:rPr>
      </w:pPr>
      <w:r w:rsidRPr="0084376A">
        <w:rPr>
          <w:lang w:val="uk-UA"/>
        </w:rPr>
        <w:tab/>
      </w:r>
      <w:r w:rsidRPr="0084376A">
        <w:rPr>
          <w:rFonts w:ascii="Times New Roman" w:hAnsi="Times New Roman"/>
          <w:b/>
          <w:i/>
          <w:sz w:val="24"/>
          <w:szCs w:val="24"/>
          <w:lang w:val="uk-UA"/>
        </w:rPr>
        <w:t xml:space="preserve">ATC </w:t>
      </w:r>
      <w:proofErr w:type="spellStart"/>
      <w:r w:rsidRPr="0084376A">
        <w:rPr>
          <w:rFonts w:ascii="Times New Roman" w:hAnsi="Times New Roman"/>
          <w:b/>
          <w:i/>
          <w:sz w:val="24"/>
          <w:szCs w:val="24"/>
          <w:lang w:val="uk-UA"/>
        </w:rPr>
        <w:t>vet</w:t>
      </w:r>
      <w:proofErr w:type="spellEnd"/>
      <w:r w:rsidRPr="0084376A">
        <w:rPr>
          <w:rFonts w:ascii="Times New Roman" w:hAnsi="Times New Roman"/>
          <w:b/>
          <w:i/>
          <w:sz w:val="24"/>
          <w:szCs w:val="24"/>
          <w:lang w:val="uk-UA"/>
        </w:rPr>
        <w:t xml:space="preserve"> класифікаційний код </w:t>
      </w:r>
      <w:r w:rsidRPr="0084376A">
        <w:rPr>
          <w:rFonts w:ascii="Times New Roman" w:hAnsi="Times New Roman"/>
          <w:b/>
          <w:i/>
          <w:sz w:val="24"/>
          <w:szCs w:val="24"/>
        </w:rPr>
        <w:t>QA</w:t>
      </w:r>
      <w:r w:rsidRPr="0084376A">
        <w:rPr>
          <w:rFonts w:ascii="Times New Roman" w:hAnsi="Times New Roman"/>
          <w:b/>
          <w:i/>
          <w:sz w:val="24"/>
          <w:szCs w:val="24"/>
          <w:lang w:val="uk-UA"/>
        </w:rPr>
        <w:t>11</w:t>
      </w:r>
      <w:r w:rsidRPr="0084376A">
        <w:rPr>
          <w:rFonts w:ascii="Times New Roman" w:hAnsi="Times New Roman"/>
          <w:b/>
          <w:i/>
          <w:sz w:val="24"/>
          <w:szCs w:val="24"/>
        </w:rPr>
        <w:t>JC</w:t>
      </w:r>
      <w:r w:rsidRPr="0084376A">
        <w:rPr>
          <w:rFonts w:ascii="Times New Roman" w:hAnsi="Times New Roman"/>
          <w:b/>
          <w:i/>
          <w:sz w:val="24"/>
          <w:szCs w:val="24"/>
          <w:lang w:val="uk-UA"/>
        </w:rPr>
        <w:t xml:space="preserve"> – вітаміни, інші комбінації</w:t>
      </w:r>
    </w:p>
    <w:p w14:paraId="29BCFD81" w14:textId="77777777" w:rsidR="00E8010C" w:rsidRPr="00E8010C" w:rsidRDefault="00474126" w:rsidP="00E801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84376A">
        <w:rPr>
          <w:rFonts w:ascii="Times New Roman" w:hAnsi="Times New Roman"/>
          <w:i/>
          <w:sz w:val="24"/>
          <w:szCs w:val="24"/>
          <w:lang w:val="uk-UA"/>
        </w:rPr>
        <w:t>Вітамін А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  нормалізує тканинний обмін, бере участь в окисно-відновних процесах (через велику кількість ненасичених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), синтезі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мукополісахаридів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, білків, ліпідів, мінеральному обміні. Гальмує активність інсуліну, впливає на вуглеводний і жировий обмін, активізує метаболізм кальцію і магнію. Входячи до складу ліпідного шару клітинних мембран, гальмує утворення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кератиногіалінових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зерен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у ліпідному шарі клітинних мембран, підтримуючи еластичність оболонок клітин. Регулює засвоєння кисню в біохімічних процесах. Бере участь у взаємодії білків та ліпідів у мембранах клітин, регулює їхнє функціонування і проникність. Нормалізує функції органів зору, шкіри, дихальних шляхів, травного каналу, матки, стимулює репродуктивні функції: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сперміо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- та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овогенез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>, ріст ембріонів, настання статевої зрілості, синтез статевих гормонів, прискорює регенерацію шкіри.</w:t>
      </w:r>
      <w:r w:rsidRPr="0084376A">
        <w:rPr>
          <w:rFonts w:ascii="Times New Roman" w:hAnsi="Times New Roman"/>
          <w:sz w:val="24"/>
          <w:szCs w:val="24"/>
          <w:highlight w:val="white"/>
          <w:lang w:val="uk-UA"/>
        </w:rPr>
        <w:t xml:space="preserve"> </w:t>
      </w:r>
    </w:p>
    <w:p w14:paraId="29BCFD82" w14:textId="77777777" w:rsidR="00E8010C" w:rsidRPr="00E8010C" w:rsidRDefault="00E8010C" w:rsidP="00E8010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</w:t>
      </w:r>
      <w:r w:rsidRPr="00E8010C">
        <w:rPr>
          <w:rFonts w:ascii="Times New Roman" w:hAnsi="Times New Roman"/>
          <w:sz w:val="24"/>
          <w:szCs w:val="24"/>
          <w:lang w:val="uk-UA"/>
        </w:rPr>
        <w:t>одатк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8010C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29BCFD83" w14:textId="77777777" w:rsidR="00E8010C" w:rsidRPr="00A013AB" w:rsidRDefault="00E8010C" w:rsidP="00E8010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8010C">
        <w:rPr>
          <w:rFonts w:ascii="Times New Roman" w:hAnsi="Times New Roman"/>
          <w:sz w:val="24"/>
          <w:szCs w:val="24"/>
          <w:lang w:val="uk-UA"/>
        </w:rPr>
        <w:t>до реєстраційного посвідчення</w:t>
      </w:r>
    </w:p>
    <w:p w14:paraId="29BCFD84" w14:textId="77777777" w:rsidR="00E8010C" w:rsidRPr="00A013AB" w:rsidRDefault="00E8010C" w:rsidP="00E8010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9BCFD85" w14:textId="77777777" w:rsidR="00E8010C" w:rsidRPr="00A013AB" w:rsidRDefault="00E8010C" w:rsidP="00E8010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highlight w:val="white"/>
        </w:rPr>
      </w:pPr>
    </w:p>
    <w:p w14:paraId="29BCFD86" w14:textId="77777777" w:rsidR="00474126" w:rsidRPr="0084376A" w:rsidRDefault="00474126" w:rsidP="004741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376A">
        <w:rPr>
          <w:rFonts w:ascii="Times New Roman" w:hAnsi="Times New Roman"/>
          <w:sz w:val="24"/>
          <w:szCs w:val="24"/>
          <w:highlight w:val="white"/>
          <w:lang w:val="uk-UA"/>
        </w:rPr>
        <w:t xml:space="preserve">Ретинол розподіляється в організмі нерівномірно. Найбільше його в печінці та сітківці, набагато менше </w:t>
      </w:r>
      <w:r w:rsidRPr="0084376A">
        <w:rPr>
          <w:rFonts w:ascii="Times New Roman" w:hAnsi="Times New Roman"/>
          <w:sz w:val="24"/>
          <w:szCs w:val="24"/>
          <w:lang w:val="uk-UA"/>
        </w:rPr>
        <w:t>–</w:t>
      </w:r>
      <w:r w:rsidRPr="0084376A">
        <w:rPr>
          <w:rFonts w:ascii="Times New Roman" w:hAnsi="Times New Roman"/>
          <w:sz w:val="24"/>
          <w:szCs w:val="24"/>
          <w:highlight w:val="white"/>
          <w:lang w:val="uk-UA"/>
        </w:rPr>
        <w:t xml:space="preserve"> в нирках, жирових депо, надниркових та інших залозах внутрішньої секреції.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Продукти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обміну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ретинолу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виводяться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нирками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>. Т</w:t>
      </w:r>
      <w:r w:rsidRPr="0084376A">
        <w:rPr>
          <w:rFonts w:ascii="Times New Roman" w:hAnsi="Times New Roman"/>
          <w:sz w:val="24"/>
          <w:szCs w:val="24"/>
          <w:highlight w:val="white"/>
          <w:vertAlign w:val="subscript"/>
        </w:rPr>
        <w:t>½</w:t>
      </w:r>
      <w:r w:rsidRPr="0084376A">
        <w:rPr>
          <w:rFonts w:ascii="Times New Roman" w:hAnsi="Times New Roman"/>
          <w:sz w:val="24"/>
          <w:szCs w:val="24"/>
          <w:highlight w:val="white"/>
        </w:rPr>
        <w:t xml:space="preserve"> становить 9,1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години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.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Виводиться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з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жовчю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>.</w:t>
      </w:r>
    </w:p>
    <w:p w14:paraId="29BCFD87" w14:textId="77777777" w:rsidR="00474126" w:rsidRPr="0084376A" w:rsidRDefault="00474126" w:rsidP="0047412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4376A">
        <w:rPr>
          <w:rFonts w:ascii="Times New Roman" w:hAnsi="Times New Roman"/>
          <w:i/>
          <w:sz w:val="24"/>
          <w:szCs w:val="24"/>
        </w:rPr>
        <w:t>Вітамін</w:t>
      </w:r>
      <w:proofErr w:type="spellEnd"/>
      <w:r w:rsidRPr="0084376A">
        <w:rPr>
          <w:rFonts w:ascii="Times New Roman" w:hAnsi="Times New Roman"/>
          <w:i/>
          <w:sz w:val="24"/>
          <w:szCs w:val="24"/>
        </w:rPr>
        <w:t xml:space="preserve"> D</w:t>
      </w:r>
      <w:r w:rsidRPr="0084376A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84376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4376A">
        <w:rPr>
          <w:rFonts w:ascii="Times New Roman" w:hAnsi="Times New Roman"/>
          <w:sz w:val="24"/>
          <w:szCs w:val="24"/>
        </w:rPr>
        <w:t>активний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антирахітичний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фактор. </w:t>
      </w:r>
      <w:proofErr w:type="spellStart"/>
      <w:r w:rsidRPr="0084376A">
        <w:rPr>
          <w:rFonts w:ascii="Times New Roman" w:hAnsi="Times New Roman"/>
          <w:sz w:val="24"/>
          <w:szCs w:val="24"/>
        </w:rPr>
        <w:t>Регулює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метаболізм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кальцію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фосфатів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що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сприяє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правильній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мінералізації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і росту скелета, </w:t>
      </w:r>
      <w:proofErr w:type="spellStart"/>
      <w:r w:rsidRPr="0084376A">
        <w:rPr>
          <w:rFonts w:ascii="Times New Roman" w:hAnsi="Times New Roman"/>
          <w:sz w:val="24"/>
          <w:szCs w:val="24"/>
        </w:rPr>
        <w:t>вміст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кальцію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і фосфору в </w:t>
      </w:r>
      <w:proofErr w:type="spellStart"/>
      <w:r w:rsidRPr="0084376A">
        <w:rPr>
          <w:rFonts w:ascii="Times New Roman" w:hAnsi="Times New Roman"/>
          <w:sz w:val="24"/>
          <w:szCs w:val="24"/>
        </w:rPr>
        <w:t>крові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кістковій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тканині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забезпечує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їхнє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фізіологічне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співвідношення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376A">
        <w:rPr>
          <w:rFonts w:ascii="Times New Roman" w:hAnsi="Times New Roman"/>
          <w:sz w:val="24"/>
          <w:szCs w:val="24"/>
        </w:rPr>
        <w:t>організмі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впливає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4376A">
        <w:rPr>
          <w:rFonts w:ascii="Times New Roman" w:hAnsi="Times New Roman"/>
          <w:sz w:val="24"/>
          <w:szCs w:val="24"/>
        </w:rPr>
        <w:t>тканинне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дихання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4376A">
        <w:rPr>
          <w:rFonts w:ascii="Times New Roman" w:hAnsi="Times New Roman"/>
          <w:sz w:val="24"/>
          <w:szCs w:val="24"/>
        </w:rPr>
        <w:t>окислення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вуглеводів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імунної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системи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виробництво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лімфокінів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. При </w:t>
      </w:r>
      <w:proofErr w:type="spellStart"/>
      <w:r w:rsidRPr="0084376A">
        <w:rPr>
          <w:rFonts w:ascii="Times New Roman" w:hAnsi="Times New Roman"/>
          <w:sz w:val="24"/>
          <w:szCs w:val="24"/>
        </w:rPr>
        <w:t>зниженні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вмісту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кальцію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376A">
        <w:rPr>
          <w:rFonts w:ascii="Times New Roman" w:hAnsi="Times New Roman"/>
          <w:sz w:val="24"/>
          <w:szCs w:val="24"/>
        </w:rPr>
        <w:t>крові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забезпечує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його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r w:rsidRPr="0084376A">
        <w:rPr>
          <w:rFonts w:ascii="Times New Roman" w:hAnsi="Times New Roman"/>
          <w:sz w:val="24"/>
          <w:szCs w:val="24"/>
          <w:lang w:val="uk-UA"/>
        </w:rPr>
        <w:t>надходження</w:t>
      </w:r>
      <w:r w:rsidRPr="008437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4376A">
        <w:rPr>
          <w:rFonts w:ascii="Times New Roman" w:hAnsi="Times New Roman"/>
          <w:sz w:val="24"/>
          <w:szCs w:val="24"/>
        </w:rPr>
        <w:t>кісткової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тканини</w:t>
      </w:r>
      <w:proofErr w:type="spellEnd"/>
      <w:r w:rsidRPr="0084376A">
        <w:rPr>
          <w:rFonts w:ascii="Times New Roman" w:hAnsi="Times New Roman"/>
          <w:sz w:val="24"/>
          <w:szCs w:val="24"/>
        </w:rPr>
        <w:t>.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Сьогодні відомо, що вітамін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D</w:t>
      </w:r>
      <w:r w:rsidRPr="0084376A">
        <w:rPr>
          <w:rFonts w:ascii="Times New Roman" w:eastAsia="Times New Roman" w:hAnsi="Times New Roman"/>
          <w:sz w:val="24"/>
          <w:szCs w:val="24"/>
          <w:vertAlign w:val="subscript"/>
          <w:lang w:val="uk-UA" w:eastAsia="ru-RU"/>
        </w:rPr>
        <w:t>3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має набагато активнішу роль у гомеостазі кальцію.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Хоча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холекальциферол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називають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вітаміном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він діє як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гормон,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який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разом з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паратиреоїдним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гормоном є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основним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регулятором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Ca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2+ у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плазмі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крові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14:paraId="29BCFD88" w14:textId="77777777" w:rsidR="00474126" w:rsidRPr="0084376A" w:rsidRDefault="00474126" w:rsidP="00474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hAnsi="Times New Roman"/>
          <w:i/>
          <w:sz w:val="24"/>
          <w:szCs w:val="24"/>
          <w:lang w:val="uk-UA"/>
        </w:rPr>
        <w:t>Вітамін Е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 – антиоксидант, який регулює окиснення при біосинтезі білка, забезпечує метаболізм АТФ, захищає еритроцити від гемолізу та окиснення, попереджає окиснення жирних кислот, забезпечує стійкість і активність епітелію слизових оболонок репродуктивної системи, травного каналу і кон'юнктиви. Регулює сперматогенез та зменшує кількість патологічно змінених сперматозоїдів, запобігає переродженню епітелію сім’яних канальців. Поліпшує запліднення і ембріональний розвиток плоду.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Вітамін Е здатний перешкоджати пригніченню біосинтезу колагену.</w:t>
      </w:r>
      <w:r w:rsidRPr="0084376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4376A">
        <w:rPr>
          <w:rFonts w:ascii="Times New Roman" w:hAnsi="Times New Roman"/>
          <w:sz w:val="24"/>
          <w:szCs w:val="24"/>
          <w:lang w:val="uk-UA"/>
        </w:rPr>
        <w:t>Вітамін Е активно всмоктується в кишечнику: абсорбція залежить від низки факторів, але в середньому досягає 42% (</w:t>
      </w:r>
      <w:r w:rsidRPr="0084376A">
        <w:rPr>
          <w:rFonts w:ascii="Times New Roman" w:hAnsi="Times New Roman"/>
          <w:sz w:val="24"/>
          <w:szCs w:val="24"/>
        </w:rPr>
        <w:t>α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-токоферолу). </w:t>
      </w:r>
      <w:proofErr w:type="spellStart"/>
      <w:r w:rsidRPr="0084376A">
        <w:rPr>
          <w:rFonts w:ascii="Times New Roman" w:hAnsi="Times New Roman"/>
          <w:sz w:val="24"/>
          <w:szCs w:val="24"/>
        </w:rPr>
        <w:t>Після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всмоктування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більша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частина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токоферолу </w:t>
      </w:r>
      <w:proofErr w:type="spellStart"/>
      <w:r w:rsidRPr="0084376A">
        <w:rPr>
          <w:rFonts w:ascii="Times New Roman" w:hAnsi="Times New Roman"/>
          <w:sz w:val="24"/>
          <w:szCs w:val="24"/>
        </w:rPr>
        <w:t>потрапляє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376A">
        <w:rPr>
          <w:rFonts w:ascii="Times New Roman" w:hAnsi="Times New Roman"/>
          <w:sz w:val="24"/>
          <w:szCs w:val="24"/>
        </w:rPr>
        <w:t>лімфу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кров, </w:t>
      </w:r>
      <w:proofErr w:type="spellStart"/>
      <w:r w:rsidRPr="0084376A">
        <w:rPr>
          <w:rFonts w:ascii="Times New Roman" w:hAnsi="Times New Roman"/>
          <w:sz w:val="24"/>
          <w:szCs w:val="24"/>
        </w:rPr>
        <w:t>швидко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розподіляється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в тканинах, </w:t>
      </w:r>
      <w:proofErr w:type="spellStart"/>
      <w:r w:rsidRPr="0084376A">
        <w:rPr>
          <w:rFonts w:ascii="Times New Roman" w:hAnsi="Times New Roman"/>
          <w:sz w:val="24"/>
          <w:szCs w:val="24"/>
        </w:rPr>
        <w:t>накопичується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переважно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376A">
        <w:rPr>
          <w:rFonts w:ascii="Times New Roman" w:hAnsi="Times New Roman"/>
          <w:sz w:val="24"/>
          <w:szCs w:val="24"/>
        </w:rPr>
        <w:t>печінці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м’язах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жировій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тканині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76A">
        <w:rPr>
          <w:rFonts w:ascii="Times New Roman" w:hAnsi="Times New Roman"/>
          <w:sz w:val="24"/>
          <w:szCs w:val="24"/>
        </w:rPr>
        <w:t>Найвища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концентрація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спостерігається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4376A">
        <w:rPr>
          <w:rFonts w:ascii="Times New Roman" w:hAnsi="Times New Roman"/>
          <w:sz w:val="24"/>
          <w:szCs w:val="24"/>
        </w:rPr>
        <w:t>надниркових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залозах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гіпофізі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статевих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залозах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міокарді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. З </w:t>
      </w:r>
      <w:proofErr w:type="spellStart"/>
      <w:r w:rsidRPr="0084376A">
        <w:rPr>
          <w:rFonts w:ascii="Times New Roman" w:hAnsi="Times New Roman"/>
          <w:sz w:val="24"/>
          <w:szCs w:val="24"/>
        </w:rPr>
        <w:t>організму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виводиться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в основному з сечею, </w:t>
      </w:r>
      <w:proofErr w:type="spellStart"/>
      <w:r w:rsidRPr="0084376A">
        <w:rPr>
          <w:rFonts w:ascii="Times New Roman" w:hAnsi="Times New Roman"/>
          <w:sz w:val="24"/>
          <w:szCs w:val="24"/>
        </w:rPr>
        <w:t>частково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– з </w:t>
      </w:r>
      <w:proofErr w:type="spellStart"/>
      <w:r w:rsidRPr="0084376A">
        <w:rPr>
          <w:rFonts w:ascii="Times New Roman" w:hAnsi="Times New Roman"/>
          <w:sz w:val="24"/>
          <w:szCs w:val="24"/>
        </w:rPr>
        <w:t>жовчю</w:t>
      </w:r>
      <w:proofErr w:type="spellEnd"/>
      <w:r w:rsidRPr="0084376A">
        <w:rPr>
          <w:rFonts w:ascii="Times New Roman" w:hAnsi="Times New Roman"/>
          <w:sz w:val="24"/>
          <w:szCs w:val="24"/>
        </w:rPr>
        <w:t>.</w:t>
      </w:r>
    </w:p>
    <w:p w14:paraId="29BCFD89" w14:textId="77777777" w:rsidR="00474126" w:rsidRPr="0084376A" w:rsidRDefault="00474126" w:rsidP="00474126">
      <w:pPr>
        <w:pStyle w:val="aa"/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Вітамін </w:t>
      </w:r>
      <w:r w:rsidRPr="0084376A">
        <w:rPr>
          <w:rFonts w:ascii="Times New Roman" w:eastAsia="Times New Roman" w:hAnsi="Times New Roman"/>
          <w:i/>
          <w:sz w:val="24"/>
          <w:szCs w:val="24"/>
          <w:lang w:eastAsia="ru-RU"/>
        </w:rPr>
        <w:t>B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12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як метаболіт, активує обмін вуглеводів, білків та ліпідів, бере участь у синтезі лабільних груп, утворенні холіну, метіоніну, нуклеїнових кислот, креатину, сприяє накопиченню в еритроцитах сполук з сульфгідрильними групами. </w:t>
      </w:r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Як фактор росту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стимулює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функцію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кісткового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мозку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що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необхідно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нормобластичного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еритропоезу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Ціанокобаламін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сприяє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нормалізації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порушених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функцій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печінки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нервової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системи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активує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систему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згортання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крові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, у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високих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дозах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призводить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підвищення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тромбопластичної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активності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активності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протромбіну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Знижує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концентрацію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холестерину 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крові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Підвищує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здатність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 xml:space="preserve"> тканин до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регенерації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84376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Ціанокобаламін (вітамін В12) швидко всмоктується з місця введення при парентеральному застосуванні, зв’язується із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транскобаламінами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I і II, які транспортують його в тканини. Депонується переважно в печінці. З печінки виводиться з жовчю в кишечник і знову всмоктується в кров. Проникає крізь плаценту,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екскретується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в молоко. З організму виводиться переважно із фекаліями і незначно із сечею.</w:t>
      </w:r>
    </w:p>
    <w:p w14:paraId="29BCFD8A" w14:textId="77777777" w:rsidR="00474126" w:rsidRPr="0084376A" w:rsidRDefault="00474126" w:rsidP="004741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bCs/>
          <w:i/>
          <w:sz w:val="24"/>
          <w:szCs w:val="24"/>
          <w:lang w:val="uk-UA" w:eastAsia="ru-RU"/>
        </w:rPr>
        <w:t>Амінокислоти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(метіонін, </w:t>
      </w:r>
      <w:r w:rsidRPr="0084376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L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-аргінін, </w:t>
      </w:r>
      <w:r w:rsidRPr="0084376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L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-</w:t>
      </w:r>
      <w:proofErr w:type="spellStart"/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гістидину</w:t>
      </w:r>
      <w:proofErr w:type="spellEnd"/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, </w:t>
      </w:r>
      <w:r w:rsidRPr="0084376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L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-лейцин,  </w:t>
      </w:r>
      <w:r w:rsidRPr="0084376A">
        <w:rPr>
          <w:rFonts w:ascii="Times New Roman" w:eastAsia="Times New Roman" w:hAnsi="Times New Roman"/>
          <w:i/>
          <w:sz w:val="24"/>
          <w:szCs w:val="24"/>
          <w:lang w:eastAsia="ru-RU"/>
        </w:rPr>
        <w:t>L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-лізин, </w:t>
      </w:r>
      <w:r w:rsidRPr="0084376A">
        <w:rPr>
          <w:rFonts w:ascii="Times New Roman" w:eastAsia="Times New Roman" w:hAnsi="Times New Roman"/>
          <w:i/>
          <w:sz w:val="24"/>
          <w:szCs w:val="24"/>
          <w:lang w:eastAsia="ru-RU"/>
        </w:rPr>
        <w:t>L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-гліцин, </w:t>
      </w:r>
      <w:r w:rsidRPr="0084376A">
        <w:rPr>
          <w:rFonts w:ascii="Times New Roman" w:eastAsia="Times New Roman" w:hAnsi="Times New Roman"/>
          <w:i/>
          <w:sz w:val="24"/>
          <w:szCs w:val="24"/>
          <w:lang w:eastAsia="ru-RU"/>
        </w:rPr>
        <w:t>L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-триптофан, </w:t>
      </w:r>
      <w:r w:rsidRPr="0084376A">
        <w:rPr>
          <w:rFonts w:ascii="Times New Roman" w:eastAsia="Times New Roman" w:hAnsi="Times New Roman"/>
          <w:i/>
          <w:sz w:val="24"/>
          <w:szCs w:val="24"/>
          <w:lang w:eastAsia="ru-RU"/>
        </w:rPr>
        <w:t>L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-</w:t>
      </w:r>
      <w:proofErr w:type="spellStart"/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треонін</w:t>
      </w:r>
      <w:proofErr w:type="spellEnd"/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, </w:t>
      </w:r>
      <w:r w:rsidRPr="0084376A">
        <w:rPr>
          <w:rFonts w:ascii="Times New Roman" w:eastAsia="Times New Roman" w:hAnsi="Times New Roman"/>
          <w:i/>
          <w:sz w:val="24"/>
          <w:szCs w:val="24"/>
          <w:lang w:eastAsia="ru-RU"/>
        </w:rPr>
        <w:t>L</w:t>
      </w: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-валін)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що входять до складу препарату, 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беруть участь у синтезі біологічно активних речовин, гормонів, ферментів,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карнітину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, холіну, фосфоліпідів, формуванні колагену; збільшують абсорбцію кальцію в кишечнику і утримують його в нирках, зміцнюють опорно-руховий апарат, попереджають розвиток остеопорозу. Вони є необхідними для утворення колагену, який підвищує еластичність зв'язок і суглобів, покращує якість синовіальної рідини, робить шкіру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пружнішою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. Впливають на роботу серця та кровообіг, активують імунну систему, підвищує інтенсивність утворення оксиду азоту, знімає надмірний тонус кровоносних судин тощо. </w:t>
      </w:r>
    </w:p>
    <w:p w14:paraId="29BCFD8B" w14:textId="77777777" w:rsidR="00474126" w:rsidRPr="0084376A" w:rsidRDefault="00474126" w:rsidP="00474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Кальцій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діє як внутрішньоклітинний медіатор, що виконує функцію другого посередника.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Іони кальцію беруть участь у передачі нервових імпульсів, скороченні гладких і поперечних м'язів, зсіданні крові, формуванні кісткової тканини, функціонуванні міокарда та інших систем та органів.</w:t>
      </w:r>
    </w:p>
    <w:p w14:paraId="29BCFD8C" w14:textId="77777777" w:rsidR="00474126" w:rsidRPr="0084376A" w:rsidRDefault="00474126" w:rsidP="00474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Залізо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є необхідним мікроелементом, що відіграє важливу роль у транспортуванні кисню </w:t>
      </w:r>
      <w:r w:rsidR="00812EF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гемоглобіну та міоглобіну, входи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ть до складу таких ферментів, як цитохроми, каталази та пероксидази. Надлишок заліза зберігається переважно в печінці.</w:t>
      </w:r>
    </w:p>
    <w:p w14:paraId="29BCFD8D" w14:textId="77777777" w:rsidR="00B62EC6" w:rsidRDefault="00474126" w:rsidP="00474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Магній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є важливим хімічним елементом; велика частина магнію міститься в кістках, а його іони відіграють важливу роль у активності багатьох коферментів та АТФ залежних реакцій. Він також відіграє структурну роль, оскільки іон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Mg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2+ має стабілізуючий ефект на функцію побудови ланцюгів </w:t>
      </w:r>
    </w:p>
    <w:p w14:paraId="29BCFD8E" w14:textId="77777777" w:rsidR="00B62EC6" w:rsidRPr="00E8010C" w:rsidRDefault="00B62EC6" w:rsidP="00B62EC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</w:t>
      </w:r>
      <w:r w:rsidRPr="00E8010C">
        <w:rPr>
          <w:rFonts w:ascii="Times New Roman" w:hAnsi="Times New Roman"/>
          <w:sz w:val="24"/>
          <w:szCs w:val="24"/>
          <w:lang w:val="uk-UA"/>
        </w:rPr>
        <w:t>одатк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8010C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29BCFD8F" w14:textId="77777777" w:rsidR="00B62EC6" w:rsidRPr="00C27BEC" w:rsidRDefault="00B62EC6" w:rsidP="00B62EC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8010C">
        <w:rPr>
          <w:rFonts w:ascii="Times New Roman" w:hAnsi="Times New Roman"/>
          <w:sz w:val="24"/>
          <w:szCs w:val="24"/>
          <w:lang w:val="uk-UA"/>
        </w:rPr>
        <w:t>до реєстраційного посвідчення</w:t>
      </w:r>
    </w:p>
    <w:p w14:paraId="29BCFD90" w14:textId="77777777" w:rsidR="00B62EC6" w:rsidRPr="00C27BEC" w:rsidRDefault="00B62EC6" w:rsidP="00B62EC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9BCFD91" w14:textId="77777777" w:rsidR="00B62EC6" w:rsidRPr="00C27BEC" w:rsidRDefault="00B62EC6" w:rsidP="00B62EC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highlight w:val="white"/>
        </w:rPr>
      </w:pPr>
    </w:p>
    <w:p w14:paraId="29BCFD92" w14:textId="77777777" w:rsidR="00474126" w:rsidRPr="0084376A" w:rsidRDefault="00474126" w:rsidP="00474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ДНК і РНК. Він впливає на формування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нейромедіаторів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нейромодуляторів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реполяризацію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C27BEC">
        <w:rPr>
          <w:rFonts w:ascii="Times New Roman" w:eastAsia="Times New Roman" w:hAnsi="Times New Roman"/>
          <w:sz w:val="24"/>
          <w:szCs w:val="24"/>
          <w:lang w:val="uk-UA" w:eastAsia="ru-RU"/>
        </w:rPr>
        <w:t>нейронів, м’язове розслаблення (його дія на серцевий м’яз дуже важлива).</w:t>
      </w:r>
      <w:r w:rsidRPr="00C27BEC">
        <w:rPr>
          <w:rFonts w:ascii="Times New Roman" w:hAnsi="Times New Roman"/>
          <w:i/>
          <w:sz w:val="24"/>
          <w:szCs w:val="24"/>
          <w:lang w:val="uk-UA"/>
        </w:rPr>
        <w:t xml:space="preserve"> Магній </w:t>
      </w:r>
      <w:r w:rsidRPr="00C27BEC">
        <w:rPr>
          <w:rFonts w:ascii="Times New Roman" w:hAnsi="Times New Roman"/>
          <w:sz w:val="24"/>
          <w:szCs w:val="24"/>
          <w:lang w:val="uk-UA"/>
        </w:rPr>
        <w:t xml:space="preserve">бере участь у </w:t>
      </w:r>
      <w:proofErr w:type="spellStart"/>
      <w:r w:rsidRPr="00C27BEC">
        <w:rPr>
          <w:rFonts w:ascii="Times New Roman" w:hAnsi="Times New Roman"/>
          <w:sz w:val="24"/>
          <w:szCs w:val="24"/>
          <w:lang w:val="uk-UA"/>
        </w:rPr>
        <w:t>гемопоезі</w:t>
      </w:r>
      <w:proofErr w:type="spellEnd"/>
      <w:r w:rsidRPr="00C27BEC">
        <w:rPr>
          <w:rFonts w:ascii="Times New Roman" w:hAnsi="Times New Roman"/>
          <w:sz w:val="24"/>
          <w:szCs w:val="24"/>
          <w:lang w:val="uk-UA"/>
        </w:rPr>
        <w:t xml:space="preserve">, стимулює синтез гемо- і міоглобіну, </w:t>
      </w:r>
      <w:proofErr w:type="spellStart"/>
      <w:r w:rsidRPr="00C27BEC">
        <w:rPr>
          <w:rFonts w:ascii="Times New Roman" w:hAnsi="Times New Roman"/>
          <w:sz w:val="24"/>
          <w:szCs w:val="24"/>
          <w:lang w:val="uk-UA"/>
        </w:rPr>
        <w:t>еритроцитопоез</w:t>
      </w:r>
      <w:proofErr w:type="spellEnd"/>
      <w:r w:rsidRPr="00C27BEC">
        <w:rPr>
          <w:rFonts w:ascii="Times New Roman" w:hAnsi="Times New Roman"/>
          <w:sz w:val="24"/>
          <w:szCs w:val="24"/>
          <w:lang w:val="uk-UA"/>
        </w:rPr>
        <w:t xml:space="preserve">. Входить до складу </w:t>
      </w:r>
      <w:r w:rsidRPr="00C27BE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ферментних </w:t>
      </w:r>
      <w:r w:rsidRPr="00C27BEC">
        <w:rPr>
          <w:rStyle w:val="af5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систем</w:t>
      </w:r>
      <w:r w:rsidRPr="00C27BE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виконують окисно-відновні реакції внутрішньоклітинного обміну</w:t>
      </w:r>
      <w:r w:rsidRPr="00C27BEC">
        <w:rPr>
          <w:rFonts w:ascii="Times New Roman" w:hAnsi="Times New Roman"/>
          <w:sz w:val="24"/>
          <w:szCs w:val="24"/>
          <w:lang w:val="uk-UA"/>
        </w:rPr>
        <w:t>. Необхідний для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 формування кісткової тканини. Після всмоктування більша частина магнію зв’язується з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трансферином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, альбуміном та альфа-2-макроглобуліном. </w:t>
      </w:r>
      <w:proofErr w:type="spellStart"/>
      <w:r w:rsidRPr="0084376A">
        <w:rPr>
          <w:rFonts w:ascii="Times New Roman" w:hAnsi="Times New Roman"/>
          <w:sz w:val="24"/>
          <w:szCs w:val="24"/>
        </w:rPr>
        <w:t>Засвоюється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печінкою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іншими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тканинами. </w:t>
      </w:r>
      <w:proofErr w:type="spellStart"/>
      <w:r w:rsidRPr="0084376A">
        <w:rPr>
          <w:rFonts w:ascii="Times New Roman" w:hAnsi="Times New Roman"/>
          <w:sz w:val="24"/>
          <w:szCs w:val="24"/>
        </w:rPr>
        <w:t>Понад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90% </w:t>
      </w:r>
      <w:proofErr w:type="spellStart"/>
      <w:r w:rsidRPr="0084376A">
        <w:rPr>
          <w:rFonts w:ascii="Times New Roman" w:hAnsi="Times New Roman"/>
          <w:sz w:val="24"/>
          <w:szCs w:val="24"/>
        </w:rPr>
        <w:t>абсорбованого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мангану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виводиться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4376A">
        <w:rPr>
          <w:rFonts w:ascii="Times New Roman" w:hAnsi="Times New Roman"/>
          <w:sz w:val="24"/>
          <w:szCs w:val="24"/>
        </w:rPr>
        <w:t>жовчю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r w:rsidRPr="0084376A">
        <w:rPr>
          <w:rFonts w:ascii="Times New Roman" w:hAnsi="Times New Roman"/>
          <w:sz w:val="24"/>
          <w:szCs w:val="24"/>
          <w:lang w:val="uk-UA"/>
        </w:rPr>
        <w:t>фекаліями</w:t>
      </w:r>
      <w:r w:rsidRPr="0084376A">
        <w:rPr>
          <w:rFonts w:ascii="Times New Roman" w:hAnsi="Times New Roman"/>
          <w:sz w:val="24"/>
          <w:szCs w:val="24"/>
        </w:rPr>
        <w:t xml:space="preserve">, невелика </w:t>
      </w:r>
      <w:proofErr w:type="spellStart"/>
      <w:r w:rsidRPr="0084376A">
        <w:rPr>
          <w:rFonts w:ascii="Times New Roman" w:hAnsi="Times New Roman"/>
          <w:sz w:val="24"/>
          <w:szCs w:val="24"/>
        </w:rPr>
        <w:t>частина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реабсорбується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з сечею </w:t>
      </w:r>
      <w:proofErr w:type="spellStart"/>
      <w:r w:rsidRPr="0084376A">
        <w:rPr>
          <w:rFonts w:ascii="Times New Roman" w:hAnsi="Times New Roman"/>
          <w:sz w:val="24"/>
          <w:szCs w:val="24"/>
        </w:rPr>
        <w:t>виводиться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дуже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мала </w:t>
      </w:r>
      <w:proofErr w:type="spellStart"/>
      <w:r w:rsidRPr="0084376A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84376A">
        <w:rPr>
          <w:rFonts w:ascii="Times New Roman" w:hAnsi="Times New Roman"/>
          <w:sz w:val="24"/>
          <w:szCs w:val="24"/>
        </w:rPr>
        <w:t>.</w:t>
      </w:r>
    </w:p>
    <w:p w14:paraId="29BCFD93" w14:textId="77777777" w:rsidR="00474126" w:rsidRPr="0084376A" w:rsidRDefault="00474126" w:rsidP="00474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Кобальт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бере участь у кровотворенні та синтезі вітамінів А, Е, С, В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uk-UA"/>
        </w:rPr>
        <w:t>12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стимулює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гемоцитопоез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ріст та розвиток організму, синтез білків печінки, посилює секрецію та протеолітичну активність шлункового та панкреатичного соків, необхідний для синтезу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тиреоїдних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гормонів, органічної та мінеральної частини кісткової тканини,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мікробіального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білка, підтримує нормальну життєдіяльність мікрофлори передшлунків жуйних тварин, що прискорює утворення добре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гемоглобінізованих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еритроцитів.</w:t>
      </w:r>
    </w:p>
    <w:p w14:paraId="29BCFD94" w14:textId="77777777" w:rsidR="00474126" w:rsidRPr="0084376A" w:rsidRDefault="00474126" w:rsidP="00474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Фосфор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–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один із основних структурних компонентів організму, він бере активну участь в обміні білків, жирів, вуглеводів, енергії, мінеральних речовин, вітамінів, входить до складу найважливіших метаболітів. </w:t>
      </w:r>
    </w:p>
    <w:p w14:paraId="29BCFD95" w14:textId="77777777" w:rsidR="00474126" w:rsidRPr="0084376A" w:rsidRDefault="00474126" w:rsidP="004741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Селен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мікроелемент антиоксидантного захисту організму, входить до складу антиокислювального ферменту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глутатіонпероксидази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що захищає мембранні структури мітохондрій від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перекисного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окислення ліпідів, має сильну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імуностимулюючу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дію, входить до складу деяких ферментів та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селенопротеїнів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гормонів,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бере участь у функціонуванні щитовидної залози.</w:t>
      </w:r>
    </w:p>
    <w:p w14:paraId="29BCFD96" w14:textId="77777777" w:rsidR="00474126" w:rsidRPr="0084376A" w:rsidRDefault="00474126" w:rsidP="0047412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376A">
        <w:rPr>
          <w:rFonts w:ascii="Times New Roman" w:hAnsi="Times New Roman"/>
          <w:i/>
          <w:sz w:val="24"/>
          <w:szCs w:val="24"/>
        </w:rPr>
        <w:t>Цинк</w:t>
      </w:r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бере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участь в </w:t>
      </w:r>
      <w:proofErr w:type="spellStart"/>
      <w:r w:rsidRPr="0084376A">
        <w:rPr>
          <w:rFonts w:ascii="Times New Roman" w:hAnsi="Times New Roman"/>
          <w:sz w:val="24"/>
          <w:szCs w:val="24"/>
        </w:rPr>
        <w:t>обміні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нуклеїнових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кислот і </w:t>
      </w:r>
      <w:proofErr w:type="spellStart"/>
      <w:r w:rsidRPr="0084376A">
        <w:rPr>
          <w:rFonts w:ascii="Times New Roman" w:hAnsi="Times New Roman"/>
          <w:sz w:val="24"/>
          <w:szCs w:val="24"/>
        </w:rPr>
        <w:t>синтезі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білків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76A">
        <w:rPr>
          <w:rFonts w:ascii="Times New Roman" w:hAnsi="Times New Roman"/>
          <w:sz w:val="24"/>
          <w:szCs w:val="24"/>
        </w:rPr>
        <w:t>Пов'язаний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4376A">
        <w:rPr>
          <w:rFonts w:ascii="Times New Roman" w:hAnsi="Times New Roman"/>
          <w:sz w:val="24"/>
          <w:szCs w:val="24"/>
        </w:rPr>
        <w:t>дією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ферментів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гормонів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4376A">
        <w:rPr>
          <w:rFonts w:ascii="Times New Roman" w:hAnsi="Times New Roman"/>
          <w:sz w:val="24"/>
          <w:szCs w:val="24"/>
        </w:rPr>
        <w:t>частково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вітамінів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>,</w:t>
      </w:r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впливає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4376A">
        <w:rPr>
          <w:rFonts w:ascii="Times New Roman" w:hAnsi="Times New Roman"/>
          <w:sz w:val="24"/>
          <w:szCs w:val="24"/>
        </w:rPr>
        <w:t>основні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життєві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процеси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4376A">
        <w:rPr>
          <w:rFonts w:ascii="Times New Roman" w:hAnsi="Times New Roman"/>
          <w:sz w:val="24"/>
          <w:szCs w:val="24"/>
        </w:rPr>
        <w:t>кровотворення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розмноження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ріст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розвиток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організму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тварини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вуглеводн</w:t>
      </w:r>
      <w:r w:rsidRPr="0084376A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енергетичн</w:t>
      </w:r>
      <w:r w:rsidRPr="0084376A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обмін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. Максимальна </w:t>
      </w:r>
      <w:proofErr w:type="spellStart"/>
      <w:r w:rsidRPr="0084376A">
        <w:rPr>
          <w:rFonts w:ascii="Times New Roman" w:hAnsi="Times New Roman"/>
          <w:sz w:val="24"/>
          <w:szCs w:val="24"/>
        </w:rPr>
        <w:t>концентрація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цинку </w:t>
      </w:r>
      <w:r w:rsidRPr="0084376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4376A">
        <w:rPr>
          <w:rFonts w:ascii="Times New Roman" w:hAnsi="Times New Roman"/>
          <w:sz w:val="24"/>
          <w:szCs w:val="24"/>
        </w:rPr>
        <w:t>плазмі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крові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спостерігається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через 2 </w:t>
      </w:r>
      <w:proofErr w:type="spellStart"/>
      <w:r w:rsidRPr="0084376A">
        <w:rPr>
          <w:rFonts w:ascii="Times New Roman" w:hAnsi="Times New Roman"/>
          <w:sz w:val="24"/>
          <w:szCs w:val="24"/>
        </w:rPr>
        <w:t>години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після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прийому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84376A">
        <w:rPr>
          <w:rFonts w:ascii="Times New Roman" w:hAnsi="Times New Roman"/>
          <w:sz w:val="24"/>
          <w:szCs w:val="24"/>
        </w:rPr>
        <w:t>організмі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цинк </w:t>
      </w:r>
      <w:proofErr w:type="spellStart"/>
      <w:r w:rsidRPr="0084376A">
        <w:rPr>
          <w:rFonts w:ascii="Times New Roman" w:hAnsi="Times New Roman"/>
          <w:sz w:val="24"/>
          <w:szCs w:val="24"/>
        </w:rPr>
        <w:t>накопичується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переважно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в лейкоцитах та </w:t>
      </w:r>
      <w:proofErr w:type="spellStart"/>
      <w:r w:rsidRPr="0084376A">
        <w:rPr>
          <w:rFonts w:ascii="Times New Roman" w:hAnsi="Times New Roman"/>
          <w:sz w:val="24"/>
          <w:szCs w:val="24"/>
        </w:rPr>
        <w:t>еритроцитах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а також </w:t>
      </w:r>
      <w:proofErr w:type="spellStart"/>
      <w:r w:rsidRPr="0084376A">
        <w:rPr>
          <w:rFonts w:ascii="Times New Roman" w:hAnsi="Times New Roman"/>
          <w:sz w:val="24"/>
          <w:szCs w:val="24"/>
        </w:rPr>
        <w:t>м’язах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кістках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шкірі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нирках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печінці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підшлунковій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передміхуровій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залозах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сітківці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. 60% цинку </w:t>
      </w:r>
      <w:proofErr w:type="spellStart"/>
      <w:r w:rsidRPr="0084376A">
        <w:rPr>
          <w:rFonts w:ascii="Times New Roman" w:hAnsi="Times New Roman"/>
          <w:sz w:val="24"/>
          <w:szCs w:val="24"/>
        </w:rPr>
        <w:t>зв’язується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4376A">
        <w:rPr>
          <w:rFonts w:ascii="Times New Roman" w:hAnsi="Times New Roman"/>
          <w:sz w:val="24"/>
          <w:szCs w:val="24"/>
        </w:rPr>
        <w:t>альбумінами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30-40% – з альфа-2 </w:t>
      </w:r>
      <w:proofErr w:type="spellStart"/>
      <w:r w:rsidRPr="0084376A">
        <w:rPr>
          <w:rFonts w:ascii="Times New Roman" w:hAnsi="Times New Roman"/>
          <w:sz w:val="24"/>
          <w:szCs w:val="24"/>
        </w:rPr>
        <w:t>макроглобуліном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1% – з </w:t>
      </w:r>
      <w:proofErr w:type="spellStart"/>
      <w:r w:rsidRPr="0084376A">
        <w:rPr>
          <w:rFonts w:ascii="Times New Roman" w:hAnsi="Times New Roman"/>
          <w:sz w:val="24"/>
          <w:szCs w:val="24"/>
        </w:rPr>
        <w:t>амінокислотами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переважно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4376A">
        <w:rPr>
          <w:rFonts w:ascii="Times New Roman" w:hAnsi="Times New Roman"/>
          <w:sz w:val="24"/>
          <w:szCs w:val="24"/>
        </w:rPr>
        <w:t>гістидином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цистеїном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. З </w:t>
      </w:r>
      <w:proofErr w:type="spellStart"/>
      <w:r w:rsidRPr="0084376A">
        <w:rPr>
          <w:rFonts w:ascii="Times New Roman" w:hAnsi="Times New Roman"/>
          <w:sz w:val="24"/>
          <w:szCs w:val="24"/>
        </w:rPr>
        <w:t>організму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виводиться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переважно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з </w:t>
      </w:r>
      <w:r w:rsidRPr="0084376A">
        <w:rPr>
          <w:rFonts w:ascii="Times New Roman" w:hAnsi="Times New Roman"/>
          <w:sz w:val="24"/>
          <w:szCs w:val="24"/>
          <w:lang w:val="uk-UA"/>
        </w:rPr>
        <w:t>фекаліями</w:t>
      </w:r>
      <w:r w:rsidRPr="0084376A">
        <w:rPr>
          <w:rFonts w:ascii="Times New Roman" w:hAnsi="Times New Roman"/>
          <w:sz w:val="24"/>
          <w:szCs w:val="24"/>
        </w:rPr>
        <w:t xml:space="preserve"> (90%), </w:t>
      </w:r>
      <w:proofErr w:type="spellStart"/>
      <w:r w:rsidRPr="0084376A">
        <w:rPr>
          <w:rFonts w:ascii="Times New Roman" w:hAnsi="Times New Roman"/>
          <w:sz w:val="24"/>
          <w:szCs w:val="24"/>
        </w:rPr>
        <w:t>менша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частина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– з сечею та потом.</w:t>
      </w:r>
    </w:p>
    <w:p w14:paraId="29BCFD97" w14:textId="77777777" w:rsidR="00474126" w:rsidRPr="0084376A" w:rsidRDefault="00474126" w:rsidP="0047412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Аденозинтрифосфат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(АТФ) - 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сіль кислоти аденозин-5-трифосфорної (АТФ), природного метаболіту організму, який бере участь у багатьох життєво важливих біохімічних реакціях. При взаємодії зі скоротливим білком актоміозин АТФ розпадається на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аденозиндифосфорну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кислоту та неорганічний фосфат з вивільненням енергії, необхідної для м'язової діяльності та для багатьох процесів біосинтезу. Сприяє розслабленню гладких м'язів, полегшує передачу нервових імпульсів у вегетативних адренергічних та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холінергічних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вузлах та передачу збудження з блукаючого нерва до серця. Має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протиішемічну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мембраностабілізуючу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антиаритмічну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дію, покращує антиоксидантний захист міокарда, підвищує його скорочувальну здатність.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У тварин АТФ синтезується в мітохондріях.</w:t>
      </w:r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Після парентерального застосування проникає в клітини органів, де, взаємодіючи зі скоротливим білком актоміозином, АТФ розпадається на </w:t>
      </w:r>
      <w:proofErr w:type="spellStart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аденозиндифосфорну</w:t>
      </w:r>
      <w:proofErr w:type="spellEnd"/>
      <w:r w:rsidRPr="008437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кислоту та неорганічний фосфат і вивільняє енергію, яка використовується м'язами для здійснення механічної роботи, а також синтетичних процесів (синтез білка, сечовини). Далі продукти розпаду включаються до синтезу АТФ.</w:t>
      </w:r>
    </w:p>
    <w:p w14:paraId="29BCFD98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sz w:val="24"/>
          <w:szCs w:val="24"/>
          <w:lang w:val="uk-UA"/>
        </w:rPr>
        <w:t>5.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376A">
        <w:rPr>
          <w:rFonts w:ascii="Times New Roman" w:hAnsi="Times New Roman"/>
          <w:b/>
          <w:sz w:val="24"/>
          <w:szCs w:val="24"/>
          <w:lang w:val="uk-UA"/>
        </w:rPr>
        <w:t>Клінічні особливості</w:t>
      </w:r>
    </w:p>
    <w:p w14:paraId="29BCFD99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sz w:val="24"/>
          <w:szCs w:val="24"/>
          <w:lang w:val="uk-UA"/>
        </w:rPr>
        <w:t>5.1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4376A">
        <w:rPr>
          <w:rFonts w:ascii="Times New Roman" w:hAnsi="Times New Roman"/>
          <w:b/>
          <w:sz w:val="24"/>
          <w:szCs w:val="24"/>
          <w:lang w:val="uk-UA"/>
        </w:rPr>
        <w:t>Вид тварин</w:t>
      </w:r>
    </w:p>
    <w:p w14:paraId="29BCFD9A" w14:textId="77777777" w:rsidR="00474126" w:rsidRPr="0084376A" w:rsidRDefault="00474126" w:rsidP="00474126">
      <w:pPr>
        <w:spacing w:after="0" w:line="240" w:lineRule="auto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Велика рогата худоба,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вівці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кози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коні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свині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, собаки, коти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крол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BCFD9B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hAnsi="Times New Roman"/>
          <w:b/>
          <w:bCs/>
          <w:sz w:val="24"/>
          <w:szCs w:val="24"/>
          <w:lang w:val="uk-UA"/>
        </w:rPr>
        <w:t xml:space="preserve">5.2 Показання до застосування </w:t>
      </w:r>
    </w:p>
    <w:p w14:paraId="29BCFD9C" w14:textId="77777777" w:rsidR="004F12FE" w:rsidRDefault="00474126" w:rsidP="00474126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376A">
        <w:rPr>
          <w:rFonts w:ascii="Times New Roman" w:hAnsi="Times New Roman"/>
          <w:sz w:val="24"/>
          <w:szCs w:val="24"/>
          <w:lang w:val="uk-UA"/>
        </w:rPr>
        <w:t xml:space="preserve">Профілактика та лікування великої рогатої худоби, овець, кіз, коней, свиней, собак, котів та кролів за порушень обміну речовин,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гіповітамінозів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, рахіту, остеодистрофії, перед- і післяродового залежування, післяродової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гіпокальціємії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  <w:lang w:val="uk-UA"/>
        </w:rPr>
        <w:t>гіпофосфатемії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 xml:space="preserve">, артрозу, для підтримання відтворної функції, підвищення продуктивності, росту і розвитку тварин та підвищення неспецифічної </w:t>
      </w:r>
    </w:p>
    <w:p w14:paraId="29BCFD9D" w14:textId="77777777" w:rsidR="004F12FE" w:rsidRPr="00E8010C" w:rsidRDefault="004F12FE" w:rsidP="004F12F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</w:t>
      </w:r>
      <w:r w:rsidRPr="00E8010C">
        <w:rPr>
          <w:rFonts w:ascii="Times New Roman" w:hAnsi="Times New Roman"/>
          <w:sz w:val="24"/>
          <w:szCs w:val="24"/>
          <w:lang w:val="uk-UA"/>
        </w:rPr>
        <w:t>одатк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8010C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29BCFD9E" w14:textId="77777777" w:rsidR="004F12FE" w:rsidRPr="004F12FE" w:rsidRDefault="004F12FE" w:rsidP="004F12F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8010C">
        <w:rPr>
          <w:rFonts w:ascii="Times New Roman" w:hAnsi="Times New Roman"/>
          <w:sz w:val="24"/>
          <w:szCs w:val="24"/>
          <w:lang w:val="uk-UA"/>
        </w:rPr>
        <w:t>до реєстраційного посвідчення</w:t>
      </w:r>
    </w:p>
    <w:p w14:paraId="29BCFD9F" w14:textId="77777777" w:rsidR="004F12FE" w:rsidRPr="004F12FE" w:rsidRDefault="004F12FE" w:rsidP="004F12F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9BCFDA0" w14:textId="77777777" w:rsidR="004F12FE" w:rsidRPr="004F12FE" w:rsidRDefault="004F12FE" w:rsidP="004F12F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highlight w:val="white"/>
        </w:rPr>
      </w:pPr>
    </w:p>
    <w:p w14:paraId="29BCFDA1" w14:textId="77777777" w:rsidR="00474126" w:rsidRPr="0084376A" w:rsidRDefault="00474126" w:rsidP="00474126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hAnsi="Times New Roman"/>
          <w:sz w:val="24"/>
          <w:szCs w:val="24"/>
          <w:lang w:val="uk-UA"/>
        </w:rPr>
        <w:t xml:space="preserve">резистентності. </w:t>
      </w:r>
      <w:r w:rsidRPr="0084376A">
        <w:rPr>
          <w:rFonts w:ascii="Times New Roman" w:hAnsi="Times New Roman"/>
          <w:sz w:val="24"/>
          <w:szCs w:val="24"/>
          <w:highlight w:val="white"/>
        </w:rPr>
        <w:t xml:space="preserve">У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періоди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підвищеної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потреби в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поживних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речовинах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84376A">
        <w:rPr>
          <w:rFonts w:ascii="Times New Roman" w:hAnsi="Times New Roman"/>
          <w:sz w:val="24"/>
          <w:szCs w:val="24"/>
        </w:rPr>
        <w:t>–</w:t>
      </w:r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стресові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ситуації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зниження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продуктивності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та росту тварин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внаслідок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транспортування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проведення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ветеринарних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заходів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зміни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складу корму,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високих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температур,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вагітність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(друга половина) і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лактація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порушення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репродуктивних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функцій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респіраторні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захворювань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травного каналу </w:t>
      </w:r>
      <w:r w:rsidRPr="0084376A">
        <w:rPr>
          <w:rFonts w:ascii="Times New Roman" w:hAnsi="Times New Roman"/>
          <w:sz w:val="24"/>
          <w:szCs w:val="24"/>
          <w:highlight w:val="white"/>
        </w:rPr>
        <w:t>(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патогенетична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  <w:highlight w:val="white"/>
        </w:rPr>
        <w:t>терапія</w:t>
      </w:r>
      <w:proofErr w:type="spellEnd"/>
      <w:r w:rsidRPr="0084376A">
        <w:rPr>
          <w:rFonts w:ascii="Times New Roman" w:hAnsi="Times New Roman"/>
          <w:sz w:val="24"/>
          <w:szCs w:val="24"/>
          <w:highlight w:val="white"/>
        </w:rPr>
        <w:t>).</w:t>
      </w:r>
    </w:p>
    <w:p w14:paraId="29BCFDA2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5.3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Протипоказання</w:t>
      </w:r>
      <w:proofErr w:type="spellEnd"/>
    </w:p>
    <w:p w14:paraId="29BCFDA3" w14:textId="77777777" w:rsidR="00474126" w:rsidRPr="0084376A" w:rsidRDefault="00474126" w:rsidP="00474126">
      <w:pPr>
        <w:spacing w:after="0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застосовувати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тваринам з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відомою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гіперчутливістю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будь-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якого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компонентів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препарату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. Не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застосовувати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іншими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шляхами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введення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крім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зазначених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BCFDA4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bCs/>
          <w:sz w:val="24"/>
          <w:szCs w:val="24"/>
          <w:lang w:val="uk-UA"/>
        </w:rPr>
        <w:t>5.4 Побічна дія</w:t>
      </w:r>
    </w:p>
    <w:p w14:paraId="29BCFDA5" w14:textId="77777777" w:rsidR="00474126" w:rsidRPr="0084376A" w:rsidRDefault="00474126" w:rsidP="00474126">
      <w:pPr>
        <w:spacing w:after="0" w:line="240" w:lineRule="auto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hAnsi="Times New Roman"/>
          <w:sz w:val="24"/>
          <w:szCs w:val="24"/>
          <w:lang w:val="uk-UA"/>
        </w:rPr>
        <w:t>Дані відсутні</w:t>
      </w:r>
      <w:r w:rsidRPr="0084376A">
        <w:rPr>
          <w:rFonts w:ascii="Times New Roman" w:hAnsi="Times New Roman"/>
          <w:sz w:val="24"/>
          <w:szCs w:val="24"/>
        </w:rPr>
        <w:t>.</w:t>
      </w:r>
    </w:p>
    <w:p w14:paraId="29BCFDA6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5.5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Особливі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застереження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при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використанні</w:t>
      </w:r>
      <w:proofErr w:type="spellEnd"/>
    </w:p>
    <w:p w14:paraId="29BCFDA7" w14:textId="77777777" w:rsidR="00474126" w:rsidRPr="0084376A" w:rsidRDefault="00474126" w:rsidP="00474126">
      <w:pPr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разі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виникнення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алергічних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реакцій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лікування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слід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припинити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BCFDA8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5.6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Використання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під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час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вагітності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лактації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несучості</w:t>
      </w:r>
      <w:proofErr w:type="spellEnd"/>
    </w:p>
    <w:p w14:paraId="29BCFDA9" w14:textId="77777777" w:rsidR="00474126" w:rsidRPr="0084376A" w:rsidRDefault="00474126" w:rsidP="00474126">
      <w:pPr>
        <w:spacing w:after="0" w:line="240" w:lineRule="auto"/>
        <w:ind w:left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sz w:val="24"/>
          <w:szCs w:val="24"/>
          <w:lang w:val="uk-UA"/>
        </w:rPr>
        <w:t>Без обмежень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29BCFDAA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bCs/>
          <w:sz w:val="24"/>
          <w:szCs w:val="24"/>
          <w:lang w:val="uk-UA"/>
        </w:rPr>
        <w:t>5.7 Взаємодія з іншими засобами та інші форми взаємодії</w:t>
      </w:r>
    </w:p>
    <w:p w14:paraId="29BCFDAB" w14:textId="77777777" w:rsidR="00474126" w:rsidRPr="0084376A" w:rsidRDefault="00474126" w:rsidP="0047412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Невідомі.</w:t>
      </w:r>
    </w:p>
    <w:p w14:paraId="29BCFDAC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5.8 </w:t>
      </w:r>
      <w:proofErr w:type="spellStart"/>
      <w:proofErr w:type="gramStart"/>
      <w:r w:rsidRPr="0084376A">
        <w:rPr>
          <w:rFonts w:ascii="Times New Roman" w:hAnsi="Times New Roman"/>
          <w:b/>
          <w:bCs/>
          <w:sz w:val="24"/>
          <w:szCs w:val="24"/>
        </w:rPr>
        <w:t>Дози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 і</w:t>
      </w:r>
      <w:proofErr w:type="gram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способи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введення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тваринам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різного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віку</w:t>
      </w:r>
      <w:proofErr w:type="spellEnd"/>
    </w:p>
    <w:p w14:paraId="29BCFDAD" w14:textId="77777777" w:rsidR="00474126" w:rsidRPr="007D6EB8" w:rsidRDefault="00474126" w:rsidP="0047412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7D6EB8">
        <w:rPr>
          <w:rFonts w:ascii="Times New Roman" w:eastAsia="Times New Roman" w:hAnsi="Times New Roman"/>
          <w:sz w:val="24"/>
          <w:szCs w:val="24"/>
          <w:lang w:val="uk-UA" w:eastAsia="ru-RU"/>
        </w:rPr>
        <w:t>Внутрішньом’язово</w:t>
      </w:r>
      <w:proofErr w:type="spellEnd"/>
      <w:r w:rsidRPr="007D6EB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або підшкірно</w:t>
      </w:r>
      <w:r w:rsidR="00593510" w:rsidRPr="007D6EB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93510" w:rsidRPr="007D6EB8">
        <w:rPr>
          <w:rFonts w:ascii="Times New Roman" w:hAnsi="Times New Roman"/>
          <w:sz w:val="24"/>
          <w:szCs w:val="24"/>
        </w:rPr>
        <w:t>одноразово</w:t>
      </w:r>
      <w:r w:rsidR="00593510" w:rsidRPr="007D6EB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дозах:</w:t>
      </w:r>
    </w:p>
    <w:p w14:paraId="29BCFDAE" w14:textId="77777777" w:rsidR="00474126" w:rsidRPr="0084376A" w:rsidRDefault="00593510" w:rsidP="0047412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в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елика рогата худоба, вівці, кози</w:t>
      </w:r>
      <w:r w:rsidR="007D6EB8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, свині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та коні</w:t>
      </w:r>
      <w:r w:rsidR="00474126"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: 0,02 мл препарату на 1 кг маси тіла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9BCFDAF" w14:textId="77777777" w:rsidR="00474126" w:rsidRPr="0084376A" w:rsidRDefault="00593510" w:rsidP="0047412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к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оти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та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собаки </w:t>
      </w:r>
      <w:r w:rsidR="00474126"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: 0,02 </w:t>
      </w:r>
      <w:r w:rsidR="00474126"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мл препарату на 1 кг маси тіла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9BCFDB0" w14:textId="77777777" w:rsidR="00474126" w:rsidRPr="0084376A" w:rsidRDefault="00593510" w:rsidP="00474126">
      <w:pPr>
        <w:spacing w:after="0" w:line="240" w:lineRule="auto"/>
        <w:ind w:firstLine="567"/>
        <w:rPr>
          <w:rFonts w:eastAsia="Times New Roman" w:cs="Calibri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к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рол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і</w:t>
      </w:r>
      <w:r w:rsidR="00474126" w:rsidRPr="008437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474126"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: 0,025 </w:t>
      </w:r>
      <w:r w:rsidR="00474126"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мл препарату на 1 кг маси тіла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29BCFDB1" w14:textId="77777777" w:rsidR="00474126" w:rsidRPr="0084376A" w:rsidRDefault="00474126" w:rsidP="00474126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Об’єм ін’єкції  більше 10 мл слід розділити на кілька місць введення.</w:t>
      </w:r>
    </w:p>
    <w:p w14:paraId="29BCFDB2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5.9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Передозування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симптоми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невідкладні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заходи,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антидоти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>)</w:t>
      </w:r>
    </w:p>
    <w:p w14:paraId="29BCFDB3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left="567" w:right="253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Відсутні,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застосуванні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12FE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призначеній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дозі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BCFDB4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/>
        <w:rPr>
          <w:rFonts w:ascii="Times New Roman" w:hAnsi="Times New Roman"/>
          <w:b/>
          <w:sz w:val="24"/>
          <w:szCs w:val="24"/>
        </w:rPr>
      </w:pPr>
      <w:r w:rsidRPr="0084376A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Pr="0084376A">
        <w:rPr>
          <w:rFonts w:ascii="Times New Roman" w:hAnsi="Times New Roman"/>
          <w:b/>
          <w:sz w:val="24"/>
          <w:szCs w:val="24"/>
        </w:rPr>
        <w:t xml:space="preserve">5.10 </w:t>
      </w:r>
      <w:proofErr w:type="spellStart"/>
      <w:r w:rsidRPr="0084376A">
        <w:rPr>
          <w:rFonts w:ascii="Times New Roman" w:hAnsi="Times New Roman"/>
          <w:b/>
          <w:sz w:val="24"/>
          <w:szCs w:val="24"/>
        </w:rPr>
        <w:t>Спеціальні</w:t>
      </w:r>
      <w:proofErr w:type="spellEnd"/>
      <w:r w:rsidRPr="008437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sz w:val="24"/>
          <w:szCs w:val="24"/>
        </w:rPr>
        <w:t>застереження</w:t>
      </w:r>
      <w:proofErr w:type="spellEnd"/>
      <w:r w:rsidRPr="0084376A">
        <w:rPr>
          <w:rFonts w:ascii="Times New Roman" w:hAnsi="Times New Roman"/>
          <w:b/>
          <w:sz w:val="24"/>
          <w:szCs w:val="24"/>
        </w:rPr>
        <w:t xml:space="preserve"> </w:t>
      </w:r>
    </w:p>
    <w:p w14:paraId="29BCFDB5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/>
        <w:rPr>
          <w:rFonts w:ascii="Times New Roman" w:hAnsi="Times New Roman"/>
          <w:sz w:val="24"/>
          <w:szCs w:val="24"/>
          <w:lang w:val="uk-UA"/>
        </w:rPr>
      </w:pPr>
      <w:r w:rsidRPr="0084376A">
        <w:rPr>
          <w:rFonts w:ascii="Times New Roman" w:eastAsia="Times New Roman" w:hAnsi="Times New Roman"/>
          <w:lang w:val="uk-UA" w:eastAsia="ru-RU"/>
        </w:rPr>
        <w:t xml:space="preserve">          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Немає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BCFDB6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</w:t>
      </w:r>
      <w:r w:rsidRPr="0084376A">
        <w:rPr>
          <w:rFonts w:ascii="Times New Roman" w:hAnsi="Times New Roman"/>
          <w:b/>
          <w:bCs/>
          <w:sz w:val="24"/>
          <w:szCs w:val="24"/>
        </w:rPr>
        <w:t xml:space="preserve">5.11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Періоди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виведення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каренції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>)</w:t>
      </w:r>
    </w:p>
    <w:p w14:paraId="29BCFDB7" w14:textId="77777777" w:rsidR="00474126" w:rsidRPr="0084376A" w:rsidRDefault="00474126" w:rsidP="004741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Style w:val="FontStyle12"/>
          <w:sz w:val="24"/>
          <w:szCs w:val="24"/>
          <w:lang w:val="uk-UA" w:eastAsia="uk-UA"/>
        </w:rPr>
        <w:tab/>
      </w:r>
      <w:r w:rsidRPr="0084376A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М'ясо: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0 діб.</w:t>
      </w:r>
    </w:p>
    <w:p w14:paraId="29BCFDB8" w14:textId="77777777" w:rsidR="00474126" w:rsidRPr="0084376A" w:rsidRDefault="00474126" w:rsidP="0047412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  Молоко: 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0 діб.</w:t>
      </w:r>
    </w:p>
    <w:p w14:paraId="29BCFDB9" w14:textId="77777777" w:rsidR="00474126" w:rsidRPr="0084376A" w:rsidRDefault="00474126" w:rsidP="00474126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4376A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  </w:t>
      </w:r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5.12. </w:t>
      </w:r>
      <w:proofErr w:type="spellStart"/>
      <w:r w:rsidRPr="0084376A">
        <w:rPr>
          <w:rFonts w:ascii="Times New Roman" w:hAnsi="Times New Roman"/>
          <w:b/>
          <w:sz w:val="24"/>
          <w:szCs w:val="24"/>
          <w:lang w:eastAsia="ru-RU"/>
        </w:rPr>
        <w:t>Спеціальні</w:t>
      </w:r>
      <w:proofErr w:type="spellEnd"/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hAnsi="Times New Roman"/>
          <w:b/>
          <w:sz w:val="24"/>
          <w:szCs w:val="24"/>
          <w:lang w:eastAsia="ru-RU"/>
        </w:rPr>
        <w:t>застереження</w:t>
      </w:r>
      <w:proofErr w:type="spellEnd"/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84376A">
        <w:rPr>
          <w:rFonts w:ascii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 і </w:t>
      </w:r>
      <w:proofErr w:type="spellStart"/>
      <w:r w:rsidRPr="0084376A">
        <w:rPr>
          <w:rFonts w:ascii="Times New Roman" w:hAnsi="Times New Roman"/>
          <w:b/>
          <w:sz w:val="24"/>
          <w:szCs w:val="24"/>
          <w:lang w:eastAsia="ru-RU"/>
        </w:rPr>
        <w:t>обслуговуючого</w:t>
      </w:r>
      <w:proofErr w:type="spellEnd"/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 персоналу, </w:t>
      </w:r>
      <w:proofErr w:type="spellStart"/>
      <w:r w:rsidRPr="0084376A">
        <w:rPr>
          <w:rFonts w:ascii="Times New Roman" w:hAnsi="Times New Roman"/>
          <w:b/>
          <w:sz w:val="24"/>
          <w:szCs w:val="24"/>
          <w:lang w:eastAsia="ru-RU"/>
        </w:rPr>
        <w:t>котрі</w:t>
      </w:r>
      <w:proofErr w:type="spellEnd"/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hAnsi="Times New Roman"/>
          <w:b/>
          <w:sz w:val="24"/>
          <w:szCs w:val="24"/>
          <w:lang w:eastAsia="ru-RU"/>
        </w:rPr>
        <w:t>вводять</w:t>
      </w:r>
      <w:proofErr w:type="spellEnd"/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hAnsi="Times New Roman"/>
          <w:b/>
          <w:sz w:val="24"/>
          <w:szCs w:val="24"/>
          <w:lang w:eastAsia="ru-RU"/>
        </w:rPr>
        <w:t>засіб</w:t>
      </w:r>
      <w:proofErr w:type="spellEnd"/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hAnsi="Times New Roman"/>
          <w:b/>
          <w:sz w:val="24"/>
          <w:szCs w:val="24"/>
          <w:lang w:eastAsia="ru-RU"/>
        </w:rPr>
        <w:t>захисту</w:t>
      </w:r>
      <w:proofErr w:type="spellEnd"/>
      <w:r w:rsidRPr="0084376A">
        <w:rPr>
          <w:rFonts w:ascii="Times New Roman" w:hAnsi="Times New Roman"/>
          <w:b/>
          <w:sz w:val="24"/>
          <w:szCs w:val="24"/>
          <w:lang w:eastAsia="ru-RU"/>
        </w:rPr>
        <w:t xml:space="preserve"> тваринам</w:t>
      </w:r>
    </w:p>
    <w:p w14:paraId="29BCFDBA" w14:textId="77777777" w:rsidR="00474126" w:rsidRPr="0084376A" w:rsidRDefault="00474126" w:rsidP="00474126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Уникайте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прямого контакту продукту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зі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шкірою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або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слизовими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оболонками.Одягайте</w:t>
      </w:r>
      <w:proofErr w:type="spellEnd"/>
      <w:proofErr w:type="gram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рукавички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під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введення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разі випадкового </w:t>
      </w:r>
      <w:proofErr w:type="spellStart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>самовведення</w:t>
      </w:r>
      <w:proofErr w:type="spellEnd"/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або після контакту, якщо у вас виникла симптоми алергії, </w:t>
      </w:r>
      <w:r w:rsidR="004F12FE">
        <w:rPr>
          <w:rFonts w:ascii="Times New Roman" w:eastAsia="Times New Roman" w:hAnsi="Times New Roman"/>
          <w:sz w:val="24"/>
          <w:szCs w:val="24"/>
          <w:lang w:val="uk-UA" w:eastAsia="ru-RU"/>
        </w:rPr>
        <w:t>а саме,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висипання на шкірі, негайно зверніться за медичною допомогою та покажіть листівку або етикетку лікарю.</w:t>
      </w:r>
    </w:p>
    <w:p w14:paraId="29BCFDBB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6.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Фармацевтичні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особливості</w:t>
      </w:r>
      <w:proofErr w:type="spellEnd"/>
    </w:p>
    <w:p w14:paraId="29BCFDBC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6.1 Форми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несумісності</w:t>
      </w:r>
      <w:proofErr w:type="spellEnd"/>
    </w:p>
    <w:p w14:paraId="29BCFDBD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84376A">
        <w:rPr>
          <w:rFonts w:ascii="Times New Roman" w:hAnsi="Times New Roman"/>
          <w:sz w:val="24"/>
          <w:szCs w:val="24"/>
        </w:rPr>
        <w:t>Даних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немає</w:t>
      </w:r>
      <w:proofErr w:type="spellEnd"/>
      <w:r w:rsidRPr="0084376A">
        <w:rPr>
          <w:rFonts w:ascii="Times New Roman" w:hAnsi="Times New Roman"/>
          <w:sz w:val="24"/>
          <w:szCs w:val="24"/>
        </w:rPr>
        <w:t>.</w:t>
      </w:r>
    </w:p>
    <w:p w14:paraId="29BCFDBE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6.2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Термін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придатності</w:t>
      </w:r>
      <w:proofErr w:type="spellEnd"/>
    </w:p>
    <w:p w14:paraId="29BCFDBF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sz w:val="24"/>
          <w:szCs w:val="24"/>
        </w:rPr>
      </w:pPr>
      <w:r w:rsidRPr="0084376A">
        <w:rPr>
          <w:rFonts w:ascii="Times New Roman" w:hAnsi="Times New Roman"/>
          <w:sz w:val="24"/>
          <w:szCs w:val="24"/>
          <w:lang w:val="uk-UA"/>
        </w:rPr>
        <w:t>2</w:t>
      </w:r>
      <w:r w:rsidRPr="0084376A">
        <w:rPr>
          <w:rFonts w:ascii="Times New Roman" w:hAnsi="Times New Roman"/>
          <w:sz w:val="24"/>
          <w:szCs w:val="24"/>
        </w:rPr>
        <w:t xml:space="preserve"> роки.</w:t>
      </w:r>
    </w:p>
    <w:p w14:paraId="29BCFDC0" w14:textId="77777777" w:rsidR="00474126" w:rsidRPr="0084376A" w:rsidRDefault="00424290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sz w:val="24"/>
          <w:szCs w:val="24"/>
          <w:lang w:val="uk-UA"/>
        </w:rPr>
      </w:pPr>
      <w:r w:rsidRPr="001C1B41">
        <w:rPr>
          <w:rFonts w:ascii="Times New Roman" w:hAnsi="Times New Roman"/>
          <w:sz w:val="24"/>
          <w:szCs w:val="24"/>
          <w:lang w:val="uk-UA"/>
        </w:rPr>
        <w:t>Термін придатності після першого відбору із флакону: 28 діб, за умови зберігання в темному місці за температури від 2 до 8 ºС.</w:t>
      </w:r>
    </w:p>
    <w:p w14:paraId="29BCFDC1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6.3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Особливі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заходи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зберігання</w:t>
      </w:r>
      <w:proofErr w:type="spellEnd"/>
    </w:p>
    <w:p w14:paraId="29BCFDC2" w14:textId="77777777" w:rsidR="00474126" w:rsidRPr="004F12FE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376A">
        <w:rPr>
          <w:rFonts w:ascii="Times New Roman" w:hAnsi="Times New Roman"/>
          <w:sz w:val="24"/>
          <w:szCs w:val="24"/>
        </w:rPr>
        <w:t>Сухе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темне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недоступне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4376A">
        <w:rPr>
          <w:rFonts w:ascii="Times New Roman" w:hAnsi="Times New Roman"/>
          <w:sz w:val="24"/>
          <w:szCs w:val="24"/>
        </w:rPr>
        <w:t>дітей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місце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84376A">
        <w:rPr>
          <w:rFonts w:ascii="Times New Roman" w:hAnsi="Times New Roman"/>
          <w:sz w:val="24"/>
          <w:szCs w:val="24"/>
        </w:rPr>
        <w:t>температури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від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5 до 25 º</w:t>
      </w:r>
      <w:r w:rsidRPr="0084376A">
        <w:rPr>
          <w:rFonts w:ascii="Times New Roman" w:hAnsi="Times New Roman"/>
          <w:sz w:val="24"/>
          <w:szCs w:val="24"/>
          <w:lang w:val="en-US"/>
        </w:rPr>
        <w:t>C</w:t>
      </w:r>
      <w:r w:rsidR="004F12FE">
        <w:rPr>
          <w:rFonts w:ascii="Times New Roman" w:hAnsi="Times New Roman"/>
          <w:sz w:val="24"/>
          <w:szCs w:val="24"/>
          <w:lang w:val="uk-UA"/>
        </w:rPr>
        <w:t>.</w:t>
      </w:r>
    </w:p>
    <w:p w14:paraId="29BCFDC3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6.4 Природа та склад контейнера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первинного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пакування</w:t>
      </w:r>
      <w:proofErr w:type="spellEnd"/>
    </w:p>
    <w:p w14:paraId="29BCFDC4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left="567" w:right="25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4376A">
        <w:rPr>
          <w:rFonts w:ascii="Times New Roman" w:hAnsi="Times New Roman"/>
          <w:sz w:val="24"/>
          <w:szCs w:val="24"/>
        </w:rPr>
        <w:t>Скляні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флакони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з коричневого </w:t>
      </w:r>
      <w:proofErr w:type="spellStart"/>
      <w:r w:rsidRPr="0084376A">
        <w:rPr>
          <w:rFonts w:ascii="Times New Roman" w:hAnsi="Times New Roman"/>
          <w:sz w:val="24"/>
          <w:szCs w:val="24"/>
        </w:rPr>
        <w:t>скла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sz w:val="24"/>
          <w:szCs w:val="24"/>
        </w:rPr>
        <w:t>закриті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гумов</w:t>
      </w:r>
      <w:r w:rsidRPr="0084376A">
        <w:rPr>
          <w:rFonts w:ascii="Times New Roman" w:hAnsi="Times New Roman"/>
          <w:sz w:val="24"/>
          <w:szCs w:val="24"/>
          <w:lang w:val="uk-UA"/>
        </w:rPr>
        <w:t>ими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пробк</w:t>
      </w:r>
      <w:r w:rsidRPr="0084376A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84376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sz w:val="24"/>
          <w:szCs w:val="24"/>
        </w:rPr>
        <w:t>алюмінієвим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>и</w:t>
      </w:r>
      <w:r w:rsidRPr="00843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z w:val="24"/>
          <w:szCs w:val="24"/>
        </w:rPr>
        <w:t>ковпачк</w:t>
      </w:r>
      <w:proofErr w:type="spellEnd"/>
      <w:r w:rsidRPr="0084376A">
        <w:rPr>
          <w:rFonts w:ascii="Times New Roman" w:hAnsi="Times New Roman"/>
          <w:sz w:val="24"/>
          <w:szCs w:val="24"/>
          <w:lang w:val="uk-UA"/>
        </w:rPr>
        <w:t>а</w:t>
      </w:r>
      <w:r w:rsidRPr="0084376A">
        <w:rPr>
          <w:rFonts w:ascii="Times New Roman" w:hAnsi="Times New Roman"/>
          <w:sz w:val="24"/>
          <w:szCs w:val="24"/>
        </w:rPr>
        <w:t>м</w:t>
      </w:r>
      <w:r w:rsidRPr="0084376A">
        <w:rPr>
          <w:rFonts w:ascii="Times New Roman" w:hAnsi="Times New Roman"/>
          <w:sz w:val="24"/>
          <w:szCs w:val="24"/>
          <w:lang w:val="uk-UA"/>
        </w:rPr>
        <w:t>и</w:t>
      </w:r>
      <w:r w:rsidRPr="0084376A">
        <w:rPr>
          <w:rFonts w:ascii="Times New Roman" w:hAnsi="Times New Roman"/>
          <w:sz w:val="24"/>
          <w:szCs w:val="24"/>
        </w:rPr>
        <w:t xml:space="preserve"> </w:t>
      </w:r>
      <w:r w:rsidRPr="0084376A">
        <w:rPr>
          <w:rFonts w:ascii="Times New Roman" w:hAnsi="Times New Roman"/>
          <w:sz w:val="24"/>
          <w:szCs w:val="24"/>
          <w:lang w:val="uk-UA"/>
        </w:rPr>
        <w:t xml:space="preserve">                                      </w:t>
      </w:r>
      <w:r w:rsidRPr="0084376A">
        <w:rPr>
          <w:rFonts w:ascii="Times New Roman" w:hAnsi="Times New Roman"/>
          <w:sz w:val="24"/>
          <w:szCs w:val="24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по 10, 20, 50, 100,</w:t>
      </w:r>
      <w:r w:rsidRPr="0084376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4376A">
        <w:rPr>
          <w:rFonts w:ascii="Times New Roman" w:eastAsia="Times New Roman" w:hAnsi="Times New Roman"/>
          <w:sz w:val="24"/>
          <w:szCs w:val="24"/>
          <w:lang w:eastAsia="ru-RU"/>
        </w:rPr>
        <w:t>250 і 500 мл</w:t>
      </w:r>
      <w:r w:rsidRPr="0084376A">
        <w:rPr>
          <w:rFonts w:ascii="Times New Roman" w:hAnsi="Times New Roman"/>
          <w:sz w:val="24"/>
          <w:szCs w:val="24"/>
        </w:rPr>
        <w:t>.</w:t>
      </w:r>
    </w:p>
    <w:p w14:paraId="29BCFDC5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right="253" w:firstLine="567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6.5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Особливі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запобіжні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заходи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щодо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утилізації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невикористаного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84376A">
        <w:rPr>
          <w:rFonts w:ascii="Times New Roman" w:hAnsi="Times New Roman"/>
          <w:b/>
          <w:bCs/>
          <w:sz w:val="24"/>
          <w:szCs w:val="24"/>
        </w:rPr>
        <w:t xml:space="preserve">ветеринарного </w:t>
      </w:r>
      <w:r w:rsidRPr="0084376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84376A">
        <w:rPr>
          <w:rFonts w:ascii="Times New Roman" w:hAnsi="Times New Roman"/>
          <w:b/>
          <w:bCs/>
          <w:sz w:val="24"/>
          <w:szCs w:val="24"/>
        </w:rPr>
        <w:t>препарату</w:t>
      </w:r>
      <w:proofErr w:type="gram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відходи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отримані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результаті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використання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таких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продуктів</w:t>
      </w:r>
      <w:proofErr w:type="spellEnd"/>
    </w:p>
    <w:p w14:paraId="29BCFDC6" w14:textId="77777777" w:rsidR="00474126" w:rsidRDefault="00474126" w:rsidP="00474126">
      <w:pPr>
        <w:pStyle w:val="a8"/>
        <w:ind w:firstLine="567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  <w:proofErr w:type="spellStart"/>
      <w:r w:rsidRPr="0084376A">
        <w:rPr>
          <w:rFonts w:ascii="Times New Roman" w:hAnsi="Times New Roman"/>
          <w:spacing w:val="-1"/>
          <w:sz w:val="24"/>
          <w:szCs w:val="24"/>
        </w:rPr>
        <w:lastRenderedPageBreak/>
        <w:t>Порожню</w:t>
      </w:r>
      <w:proofErr w:type="spellEnd"/>
      <w:r w:rsidRPr="0084376A">
        <w:rPr>
          <w:rFonts w:ascii="Times New Roman" w:hAnsi="Times New Roman"/>
          <w:spacing w:val="-1"/>
          <w:sz w:val="24"/>
          <w:szCs w:val="24"/>
        </w:rPr>
        <w:t xml:space="preserve"> упаковку та </w:t>
      </w:r>
      <w:proofErr w:type="spellStart"/>
      <w:r w:rsidRPr="0084376A">
        <w:rPr>
          <w:rFonts w:ascii="Times New Roman" w:hAnsi="Times New Roman"/>
          <w:spacing w:val="-1"/>
          <w:sz w:val="24"/>
          <w:szCs w:val="24"/>
        </w:rPr>
        <w:t>залишки</w:t>
      </w:r>
      <w:proofErr w:type="spellEnd"/>
      <w:r w:rsidRPr="0084376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pacing w:val="-1"/>
          <w:sz w:val="24"/>
          <w:szCs w:val="24"/>
        </w:rPr>
        <w:t>невикористаного</w:t>
      </w:r>
      <w:proofErr w:type="spellEnd"/>
      <w:r w:rsidRPr="0084376A">
        <w:rPr>
          <w:rFonts w:ascii="Times New Roman" w:hAnsi="Times New Roman"/>
          <w:spacing w:val="-1"/>
          <w:sz w:val="24"/>
          <w:szCs w:val="24"/>
        </w:rPr>
        <w:t xml:space="preserve"> препарату </w:t>
      </w:r>
      <w:proofErr w:type="spellStart"/>
      <w:r w:rsidRPr="0084376A">
        <w:rPr>
          <w:rFonts w:ascii="Times New Roman" w:hAnsi="Times New Roman"/>
          <w:spacing w:val="-1"/>
          <w:sz w:val="24"/>
          <w:szCs w:val="24"/>
        </w:rPr>
        <w:t>потрібно</w:t>
      </w:r>
      <w:proofErr w:type="spellEnd"/>
      <w:r w:rsidRPr="0084376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pacing w:val="-1"/>
          <w:sz w:val="24"/>
          <w:szCs w:val="24"/>
        </w:rPr>
        <w:t>утилізувати</w:t>
      </w:r>
      <w:proofErr w:type="spellEnd"/>
      <w:r w:rsidRPr="0084376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spacing w:val="-1"/>
          <w:sz w:val="24"/>
          <w:szCs w:val="24"/>
        </w:rPr>
        <w:t>згідно</w:t>
      </w:r>
      <w:proofErr w:type="spellEnd"/>
      <w:r w:rsidRPr="0084376A">
        <w:rPr>
          <w:rFonts w:ascii="Times New Roman" w:hAnsi="Times New Roman"/>
          <w:spacing w:val="-1"/>
          <w:sz w:val="24"/>
          <w:szCs w:val="24"/>
        </w:rPr>
        <w:t xml:space="preserve"> з </w:t>
      </w:r>
      <w:proofErr w:type="spellStart"/>
      <w:r w:rsidRPr="0084376A">
        <w:rPr>
          <w:rFonts w:ascii="Times New Roman" w:hAnsi="Times New Roman"/>
          <w:spacing w:val="-1"/>
          <w:sz w:val="24"/>
          <w:szCs w:val="24"/>
        </w:rPr>
        <w:t>вимогами</w:t>
      </w:r>
      <w:proofErr w:type="spellEnd"/>
      <w:r w:rsidRPr="0084376A">
        <w:rPr>
          <w:rFonts w:ascii="Times New Roman" w:hAnsi="Times New Roman"/>
          <w:spacing w:val="-1"/>
          <w:sz w:val="24"/>
          <w:szCs w:val="24"/>
        </w:rPr>
        <w:t xml:space="preserve"> чинного </w:t>
      </w:r>
      <w:proofErr w:type="spellStart"/>
      <w:r w:rsidRPr="0084376A">
        <w:rPr>
          <w:rFonts w:ascii="Times New Roman" w:hAnsi="Times New Roman"/>
          <w:spacing w:val="-1"/>
          <w:sz w:val="24"/>
          <w:szCs w:val="24"/>
        </w:rPr>
        <w:t>законодавства</w:t>
      </w:r>
      <w:proofErr w:type="spellEnd"/>
      <w:r w:rsidRPr="0084376A">
        <w:rPr>
          <w:rFonts w:ascii="Times New Roman" w:hAnsi="Times New Roman"/>
          <w:spacing w:val="-1"/>
          <w:sz w:val="24"/>
          <w:szCs w:val="24"/>
        </w:rPr>
        <w:t>.</w:t>
      </w:r>
    </w:p>
    <w:p w14:paraId="29BCFDC7" w14:textId="77777777" w:rsidR="004F12FE" w:rsidRPr="00E8010C" w:rsidRDefault="004F12FE" w:rsidP="004F12F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</w:t>
      </w:r>
      <w:r w:rsidRPr="00E8010C">
        <w:rPr>
          <w:rFonts w:ascii="Times New Roman" w:hAnsi="Times New Roman"/>
          <w:sz w:val="24"/>
          <w:szCs w:val="24"/>
          <w:lang w:val="uk-UA"/>
        </w:rPr>
        <w:t>одатк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E8010C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14:paraId="29BCFDC8" w14:textId="77777777" w:rsidR="004F12FE" w:rsidRPr="004F12FE" w:rsidRDefault="004F12FE" w:rsidP="004F12F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8010C">
        <w:rPr>
          <w:rFonts w:ascii="Times New Roman" w:hAnsi="Times New Roman"/>
          <w:sz w:val="24"/>
          <w:szCs w:val="24"/>
          <w:lang w:val="uk-UA"/>
        </w:rPr>
        <w:t>до реєстраційного посвідчення</w:t>
      </w:r>
    </w:p>
    <w:p w14:paraId="29BCFDC9" w14:textId="77777777" w:rsidR="004F12FE" w:rsidRPr="004F12FE" w:rsidRDefault="004F12FE" w:rsidP="004F12F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9BCFDCA" w14:textId="77777777" w:rsidR="004F12FE" w:rsidRPr="004F12FE" w:rsidRDefault="004F12FE" w:rsidP="0047412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BCFDCB" w14:textId="77777777" w:rsidR="00474126" w:rsidRPr="004F12FE" w:rsidRDefault="00474126" w:rsidP="00474126">
      <w:pPr>
        <w:autoSpaceDE w:val="0"/>
        <w:autoSpaceDN w:val="0"/>
        <w:adjustRightInd w:val="0"/>
        <w:spacing w:after="0" w:line="240" w:lineRule="auto"/>
        <w:ind w:left="567" w:right="253"/>
        <w:rPr>
          <w:rFonts w:ascii="Times New Roman" w:hAnsi="Times New Roman"/>
          <w:b/>
          <w:bCs/>
          <w:sz w:val="24"/>
          <w:szCs w:val="24"/>
        </w:rPr>
      </w:pPr>
      <w:r w:rsidRPr="0084376A">
        <w:rPr>
          <w:rFonts w:ascii="Times New Roman" w:hAnsi="Times New Roman"/>
          <w:b/>
          <w:bCs/>
          <w:sz w:val="24"/>
          <w:szCs w:val="24"/>
        </w:rPr>
        <w:t xml:space="preserve">7.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Власник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реєстраційного</w:t>
      </w:r>
      <w:proofErr w:type="spellEnd"/>
      <w:r w:rsidRPr="0084376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bCs/>
          <w:sz w:val="24"/>
          <w:szCs w:val="24"/>
        </w:rPr>
        <w:t>посвідчення</w:t>
      </w:r>
      <w:proofErr w:type="spellEnd"/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5111"/>
      </w:tblGrid>
      <w:tr w:rsidR="0084376A" w:rsidRPr="007D6EB8" w14:paraId="29BCFDD0" w14:textId="77777777" w:rsidTr="00864CE5">
        <w:tc>
          <w:tcPr>
            <w:tcW w:w="5012" w:type="dxa"/>
          </w:tcPr>
          <w:p w14:paraId="29BCFDCC" w14:textId="77777777" w:rsidR="00474126" w:rsidRPr="0084376A" w:rsidRDefault="00474126" w:rsidP="00864CE5">
            <w:pPr>
              <w:spacing w:after="0"/>
              <w:ind w:left="567" w:right="253"/>
              <w:jc w:val="both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ЛІВІСТО, С. А. де С. В</w:t>
            </w:r>
          </w:p>
          <w:p w14:paraId="29BCFDCD" w14:textId="77777777" w:rsidR="00474126" w:rsidRPr="0084376A" w:rsidRDefault="00474126" w:rsidP="00864CE5">
            <w:pPr>
              <w:spacing w:after="0"/>
              <w:ind w:left="567" w:right="253"/>
              <w:rPr>
                <w:rFonts w:ascii="Times New Roman" w:hAnsi="Times New Roman"/>
                <w:sz w:val="24"/>
                <w:szCs w:val="24"/>
              </w:rPr>
            </w:pPr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 xml:space="preserve">Дорога до порту з  Ла </w:t>
            </w:r>
            <w:proofErr w:type="spellStart"/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Лібертад</w:t>
            </w:r>
            <w:proofErr w:type="spellEnd"/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 xml:space="preserve"> Км 20, Сарагоса Ла </w:t>
            </w:r>
            <w:proofErr w:type="spellStart"/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Лібертад</w:t>
            </w:r>
            <w:proofErr w:type="spellEnd"/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. Сальвадор</w:t>
            </w:r>
          </w:p>
        </w:tc>
        <w:tc>
          <w:tcPr>
            <w:tcW w:w="5111" w:type="dxa"/>
          </w:tcPr>
          <w:p w14:paraId="29BCFDCE" w14:textId="77777777" w:rsidR="00474126" w:rsidRPr="0084376A" w:rsidRDefault="00474126" w:rsidP="00864CE5">
            <w:pPr>
              <w:pStyle w:val="2"/>
              <w:ind w:left="567" w:right="253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LIVISTO, S.A. de C.V.</w:t>
            </w: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 xml:space="preserve">                    </w:t>
            </w: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Carretera al Puerto de </w:t>
            </w:r>
          </w:p>
          <w:p w14:paraId="29BCFDCF" w14:textId="77777777" w:rsidR="00474126" w:rsidRPr="0084376A" w:rsidRDefault="00474126" w:rsidP="00864CE5">
            <w:pPr>
              <w:pStyle w:val="2"/>
              <w:ind w:left="567" w:right="25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La Libertad Km. 20, Zaragoza </w:t>
            </w: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 xml:space="preserve">                               </w:t>
            </w: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La Libertad, EI Salvador</w:t>
            </w:r>
          </w:p>
        </w:tc>
      </w:tr>
    </w:tbl>
    <w:p w14:paraId="29BCFDD1" w14:textId="77777777" w:rsidR="00474126" w:rsidRPr="0084376A" w:rsidRDefault="00474126" w:rsidP="00474126">
      <w:pPr>
        <w:autoSpaceDE w:val="0"/>
        <w:autoSpaceDN w:val="0"/>
        <w:adjustRightInd w:val="0"/>
        <w:spacing w:after="0" w:line="240" w:lineRule="auto"/>
        <w:ind w:left="567" w:right="253"/>
        <w:rPr>
          <w:rFonts w:ascii="Times New Roman" w:hAnsi="Times New Roman"/>
          <w:sz w:val="24"/>
          <w:szCs w:val="24"/>
        </w:rPr>
      </w:pPr>
      <w:r w:rsidRPr="0084376A">
        <w:rPr>
          <w:rFonts w:ascii="Times New Roman" w:hAnsi="Times New Roman"/>
          <w:sz w:val="24"/>
          <w:szCs w:val="24"/>
        </w:rPr>
        <w:t xml:space="preserve">8. </w:t>
      </w:r>
      <w:r w:rsidRPr="0084376A">
        <w:rPr>
          <w:rFonts w:ascii="Times New Roman" w:hAnsi="Times New Roman"/>
          <w:b/>
          <w:szCs w:val="24"/>
        </w:rPr>
        <w:t xml:space="preserve">. </w:t>
      </w:r>
      <w:proofErr w:type="spellStart"/>
      <w:r w:rsidRPr="0084376A">
        <w:rPr>
          <w:rFonts w:ascii="Times New Roman" w:hAnsi="Times New Roman"/>
          <w:b/>
          <w:sz w:val="24"/>
          <w:szCs w:val="24"/>
        </w:rPr>
        <w:t>Назва</w:t>
      </w:r>
      <w:proofErr w:type="spellEnd"/>
      <w:r w:rsidRPr="0084376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84376A">
        <w:rPr>
          <w:rFonts w:ascii="Times New Roman" w:hAnsi="Times New Roman"/>
          <w:b/>
          <w:sz w:val="24"/>
          <w:szCs w:val="24"/>
        </w:rPr>
        <w:t>місцезнаходження</w:t>
      </w:r>
      <w:proofErr w:type="spellEnd"/>
      <w:r w:rsidRPr="008437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376A">
        <w:rPr>
          <w:rFonts w:ascii="Times New Roman" w:hAnsi="Times New Roman"/>
          <w:b/>
          <w:sz w:val="24"/>
          <w:szCs w:val="24"/>
        </w:rPr>
        <w:t>виробника</w:t>
      </w:r>
      <w:proofErr w:type="spellEnd"/>
      <w:r w:rsidRPr="0084376A">
        <w:rPr>
          <w:rFonts w:ascii="Times New Roman" w:hAnsi="Times New Roman"/>
          <w:b/>
          <w:sz w:val="24"/>
          <w:szCs w:val="24"/>
        </w:rPr>
        <w:t xml:space="preserve"> готового продукту</w:t>
      </w:r>
      <w:r w:rsidRPr="0084376A">
        <w:rPr>
          <w:rFonts w:ascii="Times New Roman" w:hAnsi="Times New Roman"/>
          <w:b/>
          <w:szCs w:val="24"/>
        </w:rPr>
        <w:t xml:space="preserve">    </w:t>
      </w:r>
    </w:p>
    <w:tbl>
      <w:tblPr>
        <w:tblW w:w="1012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5111"/>
      </w:tblGrid>
      <w:tr w:rsidR="0084376A" w:rsidRPr="007D6EB8" w14:paraId="29BCFDD6" w14:textId="77777777" w:rsidTr="00864CE5">
        <w:tc>
          <w:tcPr>
            <w:tcW w:w="5012" w:type="dxa"/>
          </w:tcPr>
          <w:p w14:paraId="29BCFDD2" w14:textId="77777777" w:rsidR="00474126" w:rsidRPr="0084376A" w:rsidRDefault="00474126" w:rsidP="00864CE5">
            <w:pPr>
              <w:spacing w:after="0"/>
              <w:ind w:left="567" w:right="253"/>
              <w:jc w:val="both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ЛІВІСТО, С. А. де С. В</w:t>
            </w:r>
          </w:p>
          <w:p w14:paraId="29BCFDD3" w14:textId="77777777" w:rsidR="00474126" w:rsidRPr="0084376A" w:rsidRDefault="00474126" w:rsidP="00864CE5">
            <w:pPr>
              <w:ind w:left="567" w:right="253"/>
              <w:rPr>
                <w:rFonts w:ascii="Times New Roman" w:hAnsi="Times New Roman"/>
                <w:sz w:val="24"/>
                <w:szCs w:val="24"/>
              </w:rPr>
            </w:pPr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 xml:space="preserve">Дорога до порту з  Ла </w:t>
            </w:r>
            <w:proofErr w:type="spellStart"/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Лібертад</w:t>
            </w:r>
            <w:proofErr w:type="spellEnd"/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 xml:space="preserve"> Км 20, Сарагоса Ла </w:t>
            </w:r>
            <w:proofErr w:type="spellStart"/>
            <w:r w:rsidRPr="0084376A">
              <w:rPr>
                <w:rStyle w:val="rynqvb"/>
                <w:rFonts w:ascii="Times New Roman" w:hAnsi="Times New Roman"/>
                <w:sz w:val="24"/>
                <w:szCs w:val="24"/>
                <w:lang w:val="uk-UA"/>
              </w:rPr>
              <w:t>Лібертад</w:t>
            </w:r>
            <w:proofErr w:type="spellEnd"/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. Сальвадор</w:t>
            </w:r>
          </w:p>
        </w:tc>
        <w:tc>
          <w:tcPr>
            <w:tcW w:w="5111" w:type="dxa"/>
          </w:tcPr>
          <w:p w14:paraId="29BCFDD4" w14:textId="77777777" w:rsidR="00474126" w:rsidRPr="0084376A" w:rsidRDefault="00474126" w:rsidP="00864CE5">
            <w:pPr>
              <w:pStyle w:val="2"/>
              <w:ind w:left="567" w:right="253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LIVISTO, S.A. de C.V.</w:t>
            </w: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 xml:space="preserve">                    </w:t>
            </w: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Carretera al Puerto de </w:t>
            </w:r>
          </w:p>
          <w:p w14:paraId="29BCFDD5" w14:textId="77777777" w:rsidR="00474126" w:rsidRPr="0084376A" w:rsidRDefault="00474126" w:rsidP="00864CE5">
            <w:pPr>
              <w:spacing w:line="240" w:lineRule="auto"/>
              <w:ind w:left="567" w:right="253"/>
              <w:rPr>
                <w:rFonts w:ascii="Times New Roman" w:hAnsi="Times New Roman"/>
                <w:iCs/>
                <w:sz w:val="24"/>
                <w:szCs w:val="24"/>
                <w:lang w:val="es-ES"/>
              </w:rPr>
            </w:pP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La Libertad Km. 20, Zaragoza</w:t>
            </w: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 xml:space="preserve">                                               </w:t>
            </w:r>
            <w:r w:rsidRPr="0084376A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La Libertad, EI Salvador</w:t>
            </w:r>
          </w:p>
        </w:tc>
      </w:tr>
    </w:tbl>
    <w:p w14:paraId="29BCFDD7" w14:textId="77777777" w:rsidR="00474126" w:rsidRPr="0084376A" w:rsidRDefault="00474126" w:rsidP="00474126">
      <w:pPr>
        <w:kinsoku w:val="0"/>
        <w:overflowPunct w:val="0"/>
        <w:autoSpaceDE w:val="0"/>
        <w:autoSpaceDN w:val="0"/>
        <w:adjustRightInd w:val="0"/>
        <w:spacing w:after="0"/>
        <w:ind w:left="567" w:right="253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9BCFDD8" w14:textId="77777777" w:rsidR="00BC081C" w:rsidRPr="0084376A" w:rsidRDefault="00BC081C" w:rsidP="00474126">
      <w:pPr>
        <w:rPr>
          <w:lang w:val="uk-UA"/>
        </w:rPr>
      </w:pPr>
    </w:p>
    <w:sectPr w:rsidR="00BC081C" w:rsidRPr="0084376A" w:rsidSect="00794D7F">
      <w:footerReference w:type="default" r:id="rId8"/>
      <w:pgSz w:w="11906" w:h="16838"/>
      <w:pgMar w:top="851" w:right="454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FDDB" w14:textId="77777777" w:rsidR="00AD51FE" w:rsidRDefault="00AD51FE" w:rsidP="001817EF">
      <w:pPr>
        <w:spacing w:after="0" w:line="240" w:lineRule="auto"/>
      </w:pPr>
      <w:r>
        <w:separator/>
      </w:r>
    </w:p>
  </w:endnote>
  <w:endnote w:type="continuationSeparator" w:id="0">
    <w:p w14:paraId="29BCFDDC" w14:textId="77777777" w:rsidR="00AD51FE" w:rsidRDefault="00AD51FE" w:rsidP="001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875091"/>
      <w:docPartObj>
        <w:docPartGallery w:val="Page Numbers (Bottom of Page)"/>
        <w:docPartUnique/>
      </w:docPartObj>
    </w:sdtPr>
    <w:sdtEndPr/>
    <w:sdtContent>
      <w:p w14:paraId="29BCFDDD" w14:textId="77777777" w:rsidR="00437EFA" w:rsidRDefault="00437EF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B8">
          <w:rPr>
            <w:noProof/>
          </w:rPr>
          <w:t>4</w:t>
        </w:r>
        <w:r>
          <w:fldChar w:fldCharType="end"/>
        </w:r>
      </w:p>
    </w:sdtContent>
  </w:sdt>
  <w:p w14:paraId="29BCFDDE" w14:textId="77777777" w:rsidR="00437EFA" w:rsidRDefault="00437EF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FDD9" w14:textId="77777777" w:rsidR="00AD51FE" w:rsidRDefault="00AD51FE" w:rsidP="001817EF">
      <w:pPr>
        <w:spacing w:after="0" w:line="240" w:lineRule="auto"/>
      </w:pPr>
      <w:r>
        <w:separator/>
      </w:r>
    </w:p>
  </w:footnote>
  <w:footnote w:type="continuationSeparator" w:id="0">
    <w:p w14:paraId="29BCFDDA" w14:textId="77777777" w:rsidR="00AD51FE" w:rsidRDefault="00AD51FE" w:rsidP="0018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3502"/>
    <w:multiLevelType w:val="hybridMultilevel"/>
    <w:tmpl w:val="21B8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691D"/>
    <w:multiLevelType w:val="hybridMultilevel"/>
    <w:tmpl w:val="9F6C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95FE9"/>
    <w:multiLevelType w:val="hybridMultilevel"/>
    <w:tmpl w:val="FDC89BB8"/>
    <w:lvl w:ilvl="0" w:tplc="38D4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3294753">
    <w:abstractNumId w:val="1"/>
  </w:num>
  <w:num w:numId="2" w16cid:durableId="155197535">
    <w:abstractNumId w:val="2"/>
  </w:num>
  <w:num w:numId="3" w16cid:durableId="23910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797"/>
    <w:rsid w:val="00041B91"/>
    <w:rsid w:val="0008703F"/>
    <w:rsid w:val="000A4E58"/>
    <w:rsid w:val="000D69B7"/>
    <w:rsid w:val="000F1142"/>
    <w:rsid w:val="000F2222"/>
    <w:rsid w:val="00114219"/>
    <w:rsid w:val="00117ED1"/>
    <w:rsid w:val="001817EF"/>
    <w:rsid w:val="001C1B41"/>
    <w:rsid w:val="001F699C"/>
    <w:rsid w:val="002450D4"/>
    <w:rsid w:val="00264070"/>
    <w:rsid w:val="00271200"/>
    <w:rsid w:val="0028409E"/>
    <w:rsid w:val="002B298F"/>
    <w:rsid w:val="002E54F2"/>
    <w:rsid w:val="00305D1A"/>
    <w:rsid w:val="00350508"/>
    <w:rsid w:val="00372AB2"/>
    <w:rsid w:val="003E19A3"/>
    <w:rsid w:val="00413F9A"/>
    <w:rsid w:val="00424290"/>
    <w:rsid w:val="00425797"/>
    <w:rsid w:val="00425BAA"/>
    <w:rsid w:val="0043445E"/>
    <w:rsid w:val="00437EFA"/>
    <w:rsid w:val="00453392"/>
    <w:rsid w:val="00474126"/>
    <w:rsid w:val="004B40FE"/>
    <w:rsid w:val="004F05A4"/>
    <w:rsid w:val="004F12FE"/>
    <w:rsid w:val="004F7529"/>
    <w:rsid w:val="005028D5"/>
    <w:rsid w:val="0052154F"/>
    <w:rsid w:val="00521D58"/>
    <w:rsid w:val="0052587C"/>
    <w:rsid w:val="005409ED"/>
    <w:rsid w:val="005431D5"/>
    <w:rsid w:val="0055266A"/>
    <w:rsid w:val="00560BA7"/>
    <w:rsid w:val="0056370F"/>
    <w:rsid w:val="005714A8"/>
    <w:rsid w:val="00582A9F"/>
    <w:rsid w:val="00593510"/>
    <w:rsid w:val="005D1E6D"/>
    <w:rsid w:val="0060297E"/>
    <w:rsid w:val="00617420"/>
    <w:rsid w:val="006530F1"/>
    <w:rsid w:val="006543A9"/>
    <w:rsid w:val="00681275"/>
    <w:rsid w:val="006921A4"/>
    <w:rsid w:val="006B7862"/>
    <w:rsid w:val="006C310B"/>
    <w:rsid w:val="006D0C1B"/>
    <w:rsid w:val="006D35E6"/>
    <w:rsid w:val="006D5BD4"/>
    <w:rsid w:val="006D7316"/>
    <w:rsid w:val="006F52C2"/>
    <w:rsid w:val="006F5B84"/>
    <w:rsid w:val="00706EC6"/>
    <w:rsid w:val="00712D3D"/>
    <w:rsid w:val="00755AD7"/>
    <w:rsid w:val="00770B00"/>
    <w:rsid w:val="00790AAA"/>
    <w:rsid w:val="00794D7F"/>
    <w:rsid w:val="007A0C46"/>
    <w:rsid w:val="007B35DA"/>
    <w:rsid w:val="007B7FF6"/>
    <w:rsid w:val="007C1073"/>
    <w:rsid w:val="007D6EB8"/>
    <w:rsid w:val="00804CBC"/>
    <w:rsid w:val="00812EF1"/>
    <w:rsid w:val="00836D78"/>
    <w:rsid w:val="0084376A"/>
    <w:rsid w:val="00855AFF"/>
    <w:rsid w:val="00860EA1"/>
    <w:rsid w:val="0088398A"/>
    <w:rsid w:val="008B0920"/>
    <w:rsid w:val="008D25E4"/>
    <w:rsid w:val="008E4240"/>
    <w:rsid w:val="008F583B"/>
    <w:rsid w:val="008F716D"/>
    <w:rsid w:val="00910240"/>
    <w:rsid w:val="009420C5"/>
    <w:rsid w:val="00967FAF"/>
    <w:rsid w:val="009C3ED8"/>
    <w:rsid w:val="009D45C5"/>
    <w:rsid w:val="009D6B8C"/>
    <w:rsid w:val="009E66B4"/>
    <w:rsid w:val="009E6F46"/>
    <w:rsid w:val="009F7263"/>
    <w:rsid w:val="00A013AB"/>
    <w:rsid w:val="00A27127"/>
    <w:rsid w:val="00A34358"/>
    <w:rsid w:val="00A353DE"/>
    <w:rsid w:val="00A42DF7"/>
    <w:rsid w:val="00A42E54"/>
    <w:rsid w:val="00A47405"/>
    <w:rsid w:val="00A71112"/>
    <w:rsid w:val="00A91681"/>
    <w:rsid w:val="00AA5F93"/>
    <w:rsid w:val="00AB0574"/>
    <w:rsid w:val="00AD51FE"/>
    <w:rsid w:val="00AF3D6B"/>
    <w:rsid w:val="00AF4B23"/>
    <w:rsid w:val="00B03F4D"/>
    <w:rsid w:val="00B32DB2"/>
    <w:rsid w:val="00B423A9"/>
    <w:rsid w:val="00B570E1"/>
    <w:rsid w:val="00B62EC6"/>
    <w:rsid w:val="00BC081C"/>
    <w:rsid w:val="00BF0805"/>
    <w:rsid w:val="00BF1675"/>
    <w:rsid w:val="00C171C6"/>
    <w:rsid w:val="00C17C9F"/>
    <w:rsid w:val="00C2187D"/>
    <w:rsid w:val="00C24C45"/>
    <w:rsid w:val="00C27BEC"/>
    <w:rsid w:val="00C3102C"/>
    <w:rsid w:val="00C43D22"/>
    <w:rsid w:val="00C524AA"/>
    <w:rsid w:val="00C73001"/>
    <w:rsid w:val="00C86217"/>
    <w:rsid w:val="00C8687C"/>
    <w:rsid w:val="00CB4068"/>
    <w:rsid w:val="00D034C9"/>
    <w:rsid w:val="00D14A4D"/>
    <w:rsid w:val="00D24F51"/>
    <w:rsid w:val="00D3760E"/>
    <w:rsid w:val="00D9125D"/>
    <w:rsid w:val="00D915DC"/>
    <w:rsid w:val="00DA3B8E"/>
    <w:rsid w:val="00DD3E97"/>
    <w:rsid w:val="00DF0511"/>
    <w:rsid w:val="00DF1C49"/>
    <w:rsid w:val="00E064B4"/>
    <w:rsid w:val="00E3768A"/>
    <w:rsid w:val="00E5405F"/>
    <w:rsid w:val="00E6743C"/>
    <w:rsid w:val="00E8010C"/>
    <w:rsid w:val="00EE03D6"/>
    <w:rsid w:val="00F0128F"/>
    <w:rsid w:val="00F16BA9"/>
    <w:rsid w:val="00F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FD5B"/>
  <w15:docId w15:val="{34D6D151-7184-44B2-B325-43D71929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45"/>
    <w:pPr>
      <w:ind w:left="720"/>
      <w:contextualSpacing/>
    </w:pPr>
  </w:style>
  <w:style w:type="table" w:styleId="a4">
    <w:name w:val="Table Grid"/>
    <w:basedOn w:val="a1"/>
    <w:uiPriority w:val="59"/>
    <w:rsid w:val="00A4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582A9F"/>
    <w:pPr>
      <w:autoSpaceDE w:val="0"/>
      <w:autoSpaceDN w:val="0"/>
      <w:adjustRightInd w:val="0"/>
      <w:spacing w:after="0" w:line="240" w:lineRule="auto"/>
      <w:ind w:left="206" w:right="1064"/>
    </w:pPr>
    <w:rPr>
      <w:rFonts w:ascii="Arial" w:hAnsi="Arial" w:cs="Arial"/>
      <w:sz w:val="19"/>
      <w:szCs w:val="19"/>
      <w:lang w:eastAsia="ru-RU"/>
    </w:rPr>
  </w:style>
  <w:style w:type="character" w:customStyle="1" w:styleId="a6">
    <w:name w:val="Основний текст Знак"/>
    <w:link w:val="a5"/>
    <w:uiPriority w:val="1"/>
    <w:rsid w:val="00582A9F"/>
    <w:rPr>
      <w:rFonts w:ascii="Arial" w:hAnsi="Arial" w:cs="Arial"/>
      <w:sz w:val="19"/>
      <w:szCs w:val="19"/>
    </w:rPr>
  </w:style>
  <w:style w:type="paragraph" w:styleId="2">
    <w:name w:val="envelope return"/>
    <w:basedOn w:val="a"/>
    <w:rsid w:val="00E6743C"/>
    <w:pPr>
      <w:suppressAutoHyphens/>
      <w:spacing w:after="0" w:line="200" w:lineRule="atLeast"/>
    </w:pPr>
    <w:rPr>
      <w:rFonts w:ascii="Arial" w:eastAsia="Times New Roman" w:hAnsi="Arial" w:cs="Arial"/>
      <w:spacing w:val="-2"/>
      <w:sz w:val="16"/>
      <w:szCs w:val="16"/>
      <w:lang w:eastAsia="ar-SA"/>
    </w:rPr>
  </w:style>
  <w:style w:type="character" w:customStyle="1" w:styleId="mw-page-title-main">
    <w:name w:val="mw-page-title-main"/>
    <w:rsid w:val="00E6743C"/>
  </w:style>
  <w:style w:type="paragraph" w:customStyle="1" w:styleId="a7">
    <w:name w:val="Знак Знак Знак"/>
    <w:basedOn w:val="a"/>
    <w:rsid w:val="00E674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C171C6"/>
    <w:rPr>
      <w:sz w:val="22"/>
      <w:szCs w:val="22"/>
      <w:lang w:eastAsia="en-US"/>
    </w:rPr>
  </w:style>
  <w:style w:type="paragraph" w:customStyle="1" w:styleId="20">
    <w:name w:val="Знак Знак2 Знак Знак"/>
    <w:basedOn w:val="a"/>
    <w:rsid w:val="00B423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4">
    <w:name w:val="Font Style14"/>
    <w:uiPriority w:val="99"/>
    <w:rsid w:val="00425B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453392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453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8409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sid w:val="0028409E"/>
    <w:rPr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712D3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2D3D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12D3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2D3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12D3D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1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12D3D"/>
    <w:rPr>
      <w:rFonts w:ascii="Tahoma" w:hAnsi="Tahoma" w:cs="Tahoma"/>
      <w:sz w:val="16"/>
      <w:szCs w:val="16"/>
      <w:lang w:eastAsia="en-US"/>
    </w:rPr>
  </w:style>
  <w:style w:type="character" w:customStyle="1" w:styleId="q4iawc">
    <w:name w:val="q4iawc"/>
    <w:basedOn w:val="a0"/>
    <w:rsid w:val="00041B91"/>
  </w:style>
  <w:style w:type="character" w:customStyle="1" w:styleId="rynqvb">
    <w:name w:val="rynqvb"/>
    <w:basedOn w:val="a0"/>
    <w:rsid w:val="00DA3B8E"/>
  </w:style>
  <w:style w:type="paragraph" w:styleId="af0">
    <w:name w:val="Normal (Web)"/>
    <w:basedOn w:val="a"/>
    <w:uiPriority w:val="99"/>
    <w:semiHidden/>
    <w:unhideWhenUsed/>
    <w:rsid w:val="009E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1">
    <w:name w:val="header"/>
    <w:basedOn w:val="a"/>
    <w:link w:val="af2"/>
    <w:uiPriority w:val="99"/>
    <w:unhideWhenUsed/>
    <w:rsid w:val="001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1817EF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181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1817EF"/>
    <w:rPr>
      <w:sz w:val="22"/>
      <w:szCs w:val="22"/>
      <w:lang w:eastAsia="en-US"/>
    </w:rPr>
  </w:style>
  <w:style w:type="character" w:styleId="af5">
    <w:name w:val="Emphasis"/>
    <w:uiPriority w:val="20"/>
    <w:qFormat/>
    <w:rsid w:val="004741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D2664-2264-40CF-9D31-5616307F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8931</Words>
  <Characters>5091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Верхолюк</cp:lastModifiedBy>
  <cp:revision>21</cp:revision>
  <cp:lastPrinted>2023-09-13T13:34:00Z</cp:lastPrinted>
  <dcterms:created xsi:type="dcterms:W3CDTF">2024-11-11T10:31:00Z</dcterms:created>
  <dcterms:modified xsi:type="dcterms:W3CDTF">2025-02-12T17:25:00Z</dcterms:modified>
</cp:coreProperties>
</file>