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39" w:rsidRPr="00553F9A" w:rsidRDefault="00210939">
      <w:pPr>
        <w:jc w:val="right"/>
      </w:pPr>
      <w:r w:rsidRPr="00553F9A">
        <w:t xml:space="preserve">Додаток 1                                                                                   </w:t>
      </w:r>
    </w:p>
    <w:p w:rsidR="00210939" w:rsidRPr="00553F9A" w:rsidRDefault="00210939">
      <w:pPr>
        <w:jc w:val="right"/>
      </w:pPr>
      <w:r w:rsidRPr="00553F9A">
        <w:t>до реєстраційного посвідчення AB-05775-01-15</w:t>
      </w:r>
    </w:p>
    <w:p w:rsidR="00210939" w:rsidRPr="00553F9A" w:rsidRDefault="00210939">
      <w:pPr>
        <w:ind w:firstLine="709"/>
        <w:jc w:val="right"/>
        <w:rPr>
          <w:b/>
          <w:bCs/>
        </w:rPr>
      </w:pPr>
      <w:r w:rsidRPr="00553F9A">
        <w:t xml:space="preserve">                                                                         </w:t>
      </w:r>
    </w:p>
    <w:p w:rsidR="00210939" w:rsidRPr="00553F9A" w:rsidRDefault="00210939">
      <w:pPr>
        <w:ind w:firstLine="709"/>
        <w:jc w:val="center"/>
        <w:rPr>
          <w:b/>
          <w:bCs/>
        </w:rPr>
      </w:pPr>
      <w:r w:rsidRPr="00553F9A">
        <w:rPr>
          <w:b/>
          <w:bCs/>
        </w:rPr>
        <w:t xml:space="preserve">Коротка  характеристика  </w:t>
      </w:r>
      <w:r w:rsidRPr="00553F9A">
        <w:rPr>
          <w:b/>
          <w:bCs/>
          <w:lang w:val="uk-UA"/>
        </w:rPr>
        <w:t>п</w:t>
      </w:r>
      <w:r w:rsidRPr="00553F9A">
        <w:rPr>
          <w:b/>
          <w:bCs/>
        </w:rPr>
        <w:t>репарату</w:t>
      </w:r>
    </w:p>
    <w:p w:rsidR="00210939" w:rsidRPr="00553F9A" w:rsidRDefault="00210939">
      <w:pPr>
        <w:ind w:firstLine="709"/>
        <w:jc w:val="center"/>
      </w:pPr>
    </w:p>
    <w:p w:rsidR="00210939" w:rsidRPr="00553F9A" w:rsidRDefault="00210939">
      <w:pPr>
        <w:ind w:firstLine="709"/>
        <w:jc w:val="both"/>
        <w:rPr>
          <w:b/>
          <w:bCs/>
          <w:lang w:val="uk-UA"/>
        </w:rPr>
      </w:pPr>
      <w:r w:rsidRPr="00553F9A">
        <w:rPr>
          <w:b/>
          <w:bCs/>
          <w:lang w:val="uk-UA"/>
        </w:rPr>
        <w:t xml:space="preserve">1. Назва   </w:t>
      </w:r>
    </w:p>
    <w:p w:rsidR="00210939" w:rsidRPr="00553F9A" w:rsidRDefault="00210939">
      <w:pPr>
        <w:ind w:firstLine="709"/>
        <w:jc w:val="both"/>
        <w:rPr>
          <w:lang w:val="uk-UA"/>
        </w:rPr>
      </w:pPr>
      <w:r w:rsidRPr="00553F9A">
        <w:rPr>
          <w:lang w:val="uk-UA"/>
        </w:rPr>
        <w:t>МЕДИЦИЛАТ</w:t>
      </w:r>
      <w:r w:rsidRPr="00553F9A">
        <w:rPr>
          <w:b/>
          <w:bCs/>
          <w:vertAlign w:val="superscript"/>
          <w:lang w:val="uk-UA"/>
        </w:rPr>
        <w:t>®</w:t>
      </w:r>
    </w:p>
    <w:p w:rsidR="00210939" w:rsidRPr="00553F9A" w:rsidRDefault="00210939">
      <w:pPr>
        <w:ind w:firstLine="709"/>
        <w:jc w:val="both"/>
        <w:rPr>
          <w:b/>
          <w:bCs/>
          <w:lang w:val="uk-UA"/>
        </w:rPr>
      </w:pPr>
      <w:r w:rsidRPr="00553F9A">
        <w:rPr>
          <w:b/>
          <w:bCs/>
          <w:lang w:val="uk-UA"/>
        </w:rPr>
        <w:t xml:space="preserve">2. Склад   </w:t>
      </w:r>
    </w:p>
    <w:p w:rsidR="00210939" w:rsidRPr="00553F9A" w:rsidRDefault="00210939">
      <w:pPr>
        <w:ind w:firstLine="709"/>
        <w:jc w:val="both"/>
      </w:pPr>
      <w:r w:rsidRPr="00553F9A">
        <w:t>1 г</w:t>
      </w:r>
      <w:r w:rsidRPr="00553F9A">
        <w:rPr>
          <w:lang w:val="uk-UA"/>
        </w:rPr>
        <w:t xml:space="preserve"> препарату містить діючу речовину:</w:t>
      </w:r>
    </w:p>
    <w:p w:rsidR="00210939" w:rsidRPr="00553F9A" w:rsidRDefault="00210939">
      <w:pPr>
        <w:pStyle w:val="3"/>
        <w:ind w:left="-567" w:firstLine="1287"/>
        <w:jc w:val="both"/>
        <w:rPr>
          <w:sz w:val="24"/>
          <w:szCs w:val="24"/>
          <w:lang w:val="uk-UA"/>
        </w:rPr>
      </w:pPr>
      <w:r w:rsidRPr="00553F9A">
        <w:rPr>
          <w:sz w:val="24"/>
          <w:szCs w:val="24"/>
          <w:lang w:val="uk-UA"/>
        </w:rPr>
        <w:t>бацитрацин метилен дисаліцилат – 150 мг.</w:t>
      </w:r>
    </w:p>
    <w:p w:rsidR="00210939" w:rsidRPr="00553F9A" w:rsidRDefault="00210939">
      <w:pPr>
        <w:pStyle w:val="3"/>
        <w:ind w:left="-567" w:firstLine="1287"/>
        <w:jc w:val="both"/>
        <w:rPr>
          <w:sz w:val="24"/>
          <w:szCs w:val="24"/>
          <w:lang w:val="uk-UA"/>
        </w:rPr>
      </w:pPr>
      <w:r w:rsidRPr="00553F9A">
        <w:rPr>
          <w:sz w:val="24"/>
          <w:szCs w:val="24"/>
          <w:lang w:val="uk-UA"/>
        </w:rPr>
        <w:t>Допоміжні речовини: кальцію карбонат, кукурудзяний крохмаль</w:t>
      </w:r>
      <w:r w:rsidRPr="00553F9A">
        <w:rPr>
          <w:sz w:val="26"/>
          <w:szCs w:val="26"/>
          <w:lang w:val="uk-UA"/>
        </w:rPr>
        <w:t>.</w:t>
      </w:r>
    </w:p>
    <w:p w:rsidR="00210939" w:rsidRPr="00553F9A" w:rsidRDefault="00210939">
      <w:pPr>
        <w:ind w:firstLine="709"/>
        <w:jc w:val="both"/>
        <w:rPr>
          <w:i/>
          <w:iCs/>
          <w:lang w:val="uk-UA"/>
        </w:rPr>
      </w:pPr>
      <w:r w:rsidRPr="00553F9A">
        <w:rPr>
          <w:b/>
          <w:bCs/>
          <w:lang w:val="uk-UA"/>
        </w:rPr>
        <w:t>3. Фармацевтична  форма</w:t>
      </w:r>
      <w:r w:rsidRPr="00553F9A">
        <w:rPr>
          <w:i/>
          <w:iCs/>
          <w:lang w:val="uk-UA"/>
        </w:rPr>
        <w:t xml:space="preserve">                    </w:t>
      </w:r>
    </w:p>
    <w:p w:rsidR="00210939" w:rsidRPr="00553F9A" w:rsidRDefault="00210939">
      <w:pPr>
        <w:ind w:firstLine="709"/>
        <w:jc w:val="both"/>
        <w:rPr>
          <w:lang w:val="uk-UA"/>
        </w:rPr>
      </w:pPr>
      <w:r w:rsidRPr="00553F9A">
        <w:rPr>
          <w:lang w:val="uk-UA"/>
        </w:rPr>
        <w:t xml:space="preserve">Гранули.      </w:t>
      </w:r>
    </w:p>
    <w:p w:rsidR="00210939" w:rsidRPr="00553F9A" w:rsidRDefault="00210939">
      <w:pPr>
        <w:ind w:firstLine="709"/>
        <w:jc w:val="both"/>
        <w:rPr>
          <w:lang w:val="uk-UA"/>
        </w:rPr>
      </w:pPr>
      <w:r w:rsidRPr="00553F9A">
        <w:rPr>
          <w:b/>
          <w:bCs/>
          <w:lang w:val="uk-UA"/>
        </w:rPr>
        <w:t>4. Фармакологічні властивості</w:t>
      </w:r>
      <w:r w:rsidRPr="00553F9A">
        <w:rPr>
          <w:lang w:val="uk-UA"/>
        </w:rPr>
        <w:t xml:space="preserve"> </w:t>
      </w:r>
    </w:p>
    <w:p w:rsidR="00210939" w:rsidRPr="00553F9A" w:rsidRDefault="00210939">
      <w:pPr>
        <w:ind w:firstLine="709"/>
        <w:jc w:val="both"/>
        <w:rPr>
          <w:b/>
          <w:i/>
          <w:lang w:val="uk-UA"/>
        </w:rPr>
      </w:pPr>
      <w:r w:rsidRPr="00553F9A">
        <w:rPr>
          <w:b/>
          <w:i/>
        </w:rPr>
        <w:t>ATC</w:t>
      </w:r>
      <w:r w:rsidRPr="00553F9A">
        <w:rPr>
          <w:b/>
          <w:i/>
          <w:lang w:val="uk-UA"/>
        </w:rPr>
        <w:t xml:space="preserve"> </w:t>
      </w:r>
      <w:r w:rsidRPr="00553F9A">
        <w:rPr>
          <w:b/>
          <w:i/>
        </w:rPr>
        <w:t>vet</w:t>
      </w:r>
      <w:r w:rsidRPr="00553F9A">
        <w:rPr>
          <w:b/>
          <w:i/>
          <w:lang w:val="uk-UA"/>
        </w:rPr>
        <w:t xml:space="preserve"> класифікаційний код </w:t>
      </w:r>
      <w:r w:rsidRPr="00553F9A">
        <w:rPr>
          <w:b/>
          <w:i/>
        </w:rPr>
        <w:t>QJ</w:t>
      </w:r>
      <w:r w:rsidRPr="00553F9A">
        <w:rPr>
          <w:b/>
          <w:i/>
          <w:lang w:val="uk-UA"/>
        </w:rPr>
        <w:t xml:space="preserve">01 - антибактеріальні ветеринарні препарати для системного застосування. </w:t>
      </w:r>
      <w:r w:rsidRPr="00553F9A">
        <w:rPr>
          <w:b/>
          <w:i/>
          <w:lang w:val="en-US"/>
        </w:rPr>
        <w:t>QJ</w:t>
      </w:r>
      <w:r w:rsidRPr="00553F9A">
        <w:rPr>
          <w:b/>
          <w:i/>
          <w:lang w:val="uk-UA"/>
        </w:rPr>
        <w:t>01ХХ10 – Бацитрацин.</w:t>
      </w:r>
    </w:p>
    <w:p w:rsidR="00210939" w:rsidRPr="00553F9A" w:rsidRDefault="00210939">
      <w:pPr>
        <w:ind w:firstLine="708"/>
        <w:jc w:val="both"/>
        <w:rPr>
          <w:lang w:val="uk-UA"/>
        </w:rPr>
      </w:pPr>
      <w:r w:rsidRPr="00553F9A">
        <w:rPr>
          <w:lang w:val="uk-UA"/>
        </w:rPr>
        <w:t>Бацитрацин метилен дисаліцилат – циклічний поліпептидний антибіотик. Володіє бактерицидною дією проти грампозитивних бактерій (</w:t>
      </w:r>
      <w:r w:rsidRPr="00553F9A">
        <w:rPr>
          <w:i/>
          <w:lang w:val="en-US"/>
        </w:rPr>
        <w:t>S</w:t>
      </w:r>
      <w:r w:rsidRPr="00553F9A">
        <w:rPr>
          <w:i/>
        </w:rPr>
        <w:t>taphylococcus</w:t>
      </w:r>
      <w:r w:rsidRPr="00553F9A">
        <w:rPr>
          <w:i/>
          <w:lang w:val="uk-UA"/>
        </w:rPr>
        <w:t xml:space="preserve"> </w:t>
      </w:r>
      <w:r w:rsidRPr="00553F9A">
        <w:rPr>
          <w:i/>
        </w:rPr>
        <w:t>aureus</w:t>
      </w:r>
      <w:r w:rsidRPr="00553F9A">
        <w:rPr>
          <w:i/>
          <w:lang w:val="uk-UA"/>
        </w:rPr>
        <w:t xml:space="preserve">, </w:t>
      </w:r>
      <w:r w:rsidRPr="00553F9A">
        <w:rPr>
          <w:i/>
          <w:lang w:val="en-US"/>
        </w:rPr>
        <w:t>S</w:t>
      </w:r>
      <w:r w:rsidRPr="00553F9A">
        <w:rPr>
          <w:i/>
        </w:rPr>
        <w:t>treptococcus</w:t>
      </w:r>
      <w:r w:rsidRPr="00553F9A">
        <w:rPr>
          <w:i/>
          <w:lang w:val="uk-UA"/>
        </w:rPr>
        <w:t xml:space="preserve"> </w:t>
      </w:r>
      <w:r w:rsidRPr="00553F9A">
        <w:rPr>
          <w:i/>
          <w:lang w:val="en-US"/>
        </w:rPr>
        <w:t>spp</w:t>
      </w:r>
      <w:r w:rsidRPr="00553F9A">
        <w:rPr>
          <w:i/>
          <w:lang w:val="uk-UA"/>
        </w:rPr>
        <w:t xml:space="preserve">., </w:t>
      </w:r>
      <w:r w:rsidRPr="00553F9A">
        <w:rPr>
          <w:i/>
          <w:lang w:val="en-US"/>
        </w:rPr>
        <w:t>E</w:t>
      </w:r>
      <w:r w:rsidRPr="00553F9A">
        <w:rPr>
          <w:i/>
        </w:rPr>
        <w:t>nterococcus</w:t>
      </w:r>
      <w:r w:rsidRPr="00553F9A">
        <w:rPr>
          <w:i/>
          <w:lang w:val="uk-UA"/>
        </w:rPr>
        <w:t xml:space="preserve"> </w:t>
      </w:r>
      <w:r w:rsidRPr="00553F9A">
        <w:rPr>
          <w:i/>
          <w:lang w:val="en-US"/>
        </w:rPr>
        <w:t>spp</w:t>
      </w:r>
      <w:r w:rsidRPr="00553F9A">
        <w:rPr>
          <w:i/>
          <w:lang w:val="uk-UA"/>
        </w:rPr>
        <w:t xml:space="preserve">., </w:t>
      </w:r>
      <w:r w:rsidRPr="00553F9A">
        <w:rPr>
          <w:i/>
          <w:lang w:val="en-US"/>
        </w:rPr>
        <w:t>C</w:t>
      </w:r>
      <w:r w:rsidRPr="00553F9A">
        <w:rPr>
          <w:i/>
        </w:rPr>
        <w:t>lostridium</w:t>
      </w:r>
      <w:r w:rsidRPr="00553F9A">
        <w:rPr>
          <w:i/>
          <w:lang w:val="uk-UA"/>
        </w:rPr>
        <w:t xml:space="preserve"> </w:t>
      </w:r>
      <w:r w:rsidRPr="00553F9A">
        <w:rPr>
          <w:i/>
          <w:lang w:val="en-US"/>
        </w:rPr>
        <w:t>spp</w:t>
      </w:r>
      <w:r w:rsidRPr="00553F9A">
        <w:rPr>
          <w:i/>
          <w:lang w:val="uk-UA"/>
        </w:rPr>
        <w:t xml:space="preserve">., </w:t>
      </w:r>
      <w:r w:rsidRPr="00553F9A">
        <w:rPr>
          <w:i/>
          <w:lang w:val="en-US"/>
        </w:rPr>
        <w:t>C</w:t>
      </w:r>
      <w:r w:rsidRPr="00553F9A">
        <w:rPr>
          <w:i/>
        </w:rPr>
        <w:t>orynebacteriu</w:t>
      </w:r>
      <w:r w:rsidRPr="00553F9A">
        <w:rPr>
          <w:i/>
          <w:lang w:val="en-US"/>
        </w:rPr>
        <w:t>m</w:t>
      </w:r>
      <w:r w:rsidRPr="00553F9A">
        <w:rPr>
          <w:i/>
          <w:lang w:val="uk-UA"/>
        </w:rPr>
        <w:t xml:space="preserve"> </w:t>
      </w:r>
      <w:r w:rsidRPr="00553F9A">
        <w:rPr>
          <w:i/>
          <w:lang w:val="en-US"/>
        </w:rPr>
        <w:t>spp</w:t>
      </w:r>
      <w:r w:rsidRPr="00553F9A">
        <w:rPr>
          <w:i/>
          <w:lang w:val="uk-UA"/>
        </w:rPr>
        <w:t>.</w:t>
      </w:r>
      <w:r w:rsidRPr="00553F9A">
        <w:rPr>
          <w:lang w:val="uk-UA"/>
        </w:rPr>
        <w:t xml:space="preserve">). Перешкоджає синтезу стінок клітин бактерій через пригнічення регенерації рецепторів фосфоліпідів, залучених до синтезу пептидоглікану. </w:t>
      </w:r>
    </w:p>
    <w:p w:rsidR="00210939" w:rsidRPr="00553F9A" w:rsidRDefault="00210939">
      <w:pPr>
        <w:shd w:val="clear" w:color="auto" w:fill="FFFFFF"/>
        <w:ind w:firstLine="540"/>
        <w:jc w:val="both"/>
        <w:rPr>
          <w:lang w:val="uk-UA"/>
        </w:rPr>
      </w:pPr>
      <w:r w:rsidRPr="00553F9A">
        <w:rPr>
          <w:lang w:val="uk-UA"/>
        </w:rPr>
        <w:t>Потрапляючи з кормом у травний канал, бацитрацин метилен дисаліцилат пригнічує розвиток патогенної мікрофлори. У результаті в організмі активізуються процеси травлення та обміну речовин. Бацитрацин метилен дисаліцилат практично не всмоктується з травного каналу, тому він не накопичується в органах і тканинах, незалежно від тривалості згодовування і застосовуваних дозувань.</w:t>
      </w:r>
    </w:p>
    <w:p w:rsidR="00210939" w:rsidRPr="00553F9A" w:rsidRDefault="00210939">
      <w:pPr>
        <w:shd w:val="clear" w:color="auto" w:fill="FFFFFF"/>
        <w:ind w:firstLine="540"/>
        <w:jc w:val="both"/>
        <w:rPr>
          <w:lang w:val="uk-UA"/>
        </w:rPr>
      </w:pPr>
      <w:r w:rsidRPr="00553F9A">
        <w:rPr>
          <w:lang w:val="uk-UA"/>
        </w:rPr>
        <w:t>Виводиться з організму тварин з фекаліями.</w:t>
      </w:r>
    </w:p>
    <w:p w:rsidR="00210939" w:rsidRPr="00553F9A" w:rsidRDefault="00210939">
      <w:pPr>
        <w:ind w:firstLine="540"/>
        <w:jc w:val="both"/>
        <w:rPr>
          <w:lang w:val="uk-UA"/>
        </w:rPr>
      </w:pPr>
      <w:r w:rsidRPr="00553F9A">
        <w:rPr>
          <w:b/>
          <w:bCs/>
          <w:lang w:val="uk-UA"/>
        </w:rPr>
        <w:t>5.1 Види тварин</w:t>
      </w:r>
      <w:r w:rsidRPr="00553F9A">
        <w:rPr>
          <w:lang w:val="uk-UA"/>
        </w:rPr>
        <w:t xml:space="preserve">   </w:t>
      </w:r>
    </w:p>
    <w:p w:rsidR="00210939" w:rsidRPr="00553F9A" w:rsidRDefault="00210939">
      <w:pPr>
        <w:ind w:firstLine="567"/>
        <w:jc w:val="both"/>
        <w:rPr>
          <w:lang w:val="uk-UA"/>
        </w:rPr>
      </w:pPr>
      <w:r w:rsidRPr="00553F9A">
        <w:rPr>
          <w:lang w:val="uk-UA"/>
        </w:rPr>
        <w:t>Декоративна птиця (голуби).</w:t>
      </w:r>
    </w:p>
    <w:p w:rsidR="00210939" w:rsidRPr="00553F9A" w:rsidRDefault="00210939">
      <w:pPr>
        <w:ind w:firstLine="567"/>
        <w:jc w:val="both"/>
        <w:rPr>
          <w:b/>
          <w:bCs/>
          <w:lang w:val="uk-UA"/>
        </w:rPr>
      </w:pPr>
      <w:r w:rsidRPr="00553F9A">
        <w:rPr>
          <w:b/>
          <w:bCs/>
          <w:lang w:val="uk-UA"/>
        </w:rPr>
        <w:t>5.2 Покази до застосування</w:t>
      </w:r>
    </w:p>
    <w:p w:rsidR="00210939" w:rsidRPr="00553F9A" w:rsidRDefault="00210939" w:rsidP="00107C09">
      <w:pPr>
        <w:shd w:val="clear" w:color="auto" w:fill="FFFFFF"/>
        <w:ind w:right="-6" w:firstLine="567"/>
        <w:jc w:val="both"/>
        <w:rPr>
          <w:lang w:val="uk-UA"/>
        </w:rPr>
      </w:pPr>
      <w:r w:rsidRPr="00553F9A">
        <w:rPr>
          <w:lang w:val="uk-UA"/>
        </w:rPr>
        <w:t>Лікування голубів, хворих на клостридіоз, що спричинений мікроорганізмами (</w:t>
      </w:r>
      <w:r w:rsidRPr="00553F9A">
        <w:rPr>
          <w:i/>
          <w:iCs/>
          <w:lang w:val="uk-UA"/>
        </w:rPr>
        <w:t xml:space="preserve">Clostridia </w:t>
      </w:r>
      <w:r w:rsidRPr="00553F9A">
        <w:rPr>
          <w:i/>
          <w:lang w:val="en-US"/>
        </w:rPr>
        <w:t>spp</w:t>
      </w:r>
      <w:r w:rsidRPr="00553F9A">
        <w:rPr>
          <w:i/>
          <w:lang w:val="uk-UA"/>
        </w:rPr>
        <w:t>.</w:t>
      </w:r>
      <w:r w:rsidRPr="00553F9A">
        <w:rPr>
          <w:iCs/>
          <w:lang w:val="uk-UA"/>
        </w:rPr>
        <w:t xml:space="preserve">), чутливими до </w:t>
      </w:r>
      <w:r w:rsidRPr="00553F9A">
        <w:rPr>
          <w:lang w:val="uk-UA"/>
        </w:rPr>
        <w:t>бацитрацин метилен дисаліцилату.</w:t>
      </w:r>
    </w:p>
    <w:p w:rsidR="00210939" w:rsidRPr="00553F9A" w:rsidRDefault="00210939" w:rsidP="00107C09">
      <w:pPr>
        <w:ind w:firstLine="567"/>
        <w:jc w:val="both"/>
        <w:rPr>
          <w:b/>
          <w:bCs/>
          <w:lang w:val="uk-UA"/>
        </w:rPr>
      </w:pPr>
      <w:r w:rsidRPr="00553F9A">
        <w:rPr>
          <w:b/>
          <w:bCs/>
          <w:lang w:val="uk-UA"/>
        </w:rPr>
        <w:t>5.3 Протипоказання</w:t>
      </w:r>
    </w:p>
    <w:p w:rsidR="00210939" w:rsidRPr="00553F9A" w:rsidRDefault="00210939" w:rsidP="00107C09">
      <w:pPr>
        <w:ind w:firstLine="567"/>
        <w:jc w:val="both"/>
        <w:rPr>
          <w:lang w:val="uk-UA"/>
        </w:rPr>
      </w:pPr>
      <w:r w:rsidRPr="00553F9A">
        <w:rPr>
          <w:lang w:val="uk-UA"/>
        </w:rPr>
        <w:t>Підвищена чутливість до бацитрацин метилен дисаліцилату.</w:t>
      </w:r>
    </w:p>
    <w:p w:rsidR="00210939" w:rsidRPr="00553F9A" w:rsidRDefault="00210939" w:rsidP="00107C09">
      <w:pPr>
        <w:ind w:firstLine="567"/>
        <w:jc w:val="both"/>
        <w:rPr>
          <w:lang w:val="uk-UA"/>
        </w:rPr>
      </w:pPr>
      <w:r w:rsidRPr="00553F9A">
        <w:rPr>
          <w:lang w:val="uk-UA"/>
        </w:rPr>
        <w:t>Не застосовувати для продуктивних тварин!</w:t>
      </w:r>
    </w:p>
    <w:p w:rsidR="00210939" w:rsidRPr="00553F9A" w:rsidRDefault="00210939" w:rsidP="00107C09">
      <w:pPr>
        <w:ind w:firstLine="567"/>
        <w:jc w:val="both"/>
        <w:rPr>
          <w:rStyle w:val="FontStyle14"/>
          <w:szCs w:val="22"/>
          <w:lang w:val="uk-UA" w:eastAsia="uk-UA"/>
        </w:rPr>
      </w:pPr>
      <w:r w:rsidRPr="00553F9A">
        <w:rPr>
          <w:lang w:val="uk-UA"/>
        </w:rPr>
        <w:t>Не застосовувати для профілактики!</w:t>
      </w:r>
    </w:p>
    <w:p w:rsidR="00210939" w:rsidRPr="00553F9A" w:rsidRDefault="00210939" w:rsidP="00107C09">
      <w:pPr>
        <w:pStyle w:val="BodyTextIndent"/>
        <w:spacing w:after="0"/>
        <w:ind w:left="0" w:firstLine="567"/>
        <w:jc w:val="both"/>
        <w:rPr>
          <w:b/>
          <w:bCs/>
          <w:lang w:val="uk-UA"/>
        </w:rPr>
      </w:pPr>
      <w:r w:rsidRPr="00553F9A">
        <w:rPr>
          <w:b/>
          <w:bCs/>
          <w:lang w:val="uk-UA"/>
        </w:rPr>
        <w:t>5.4 Побічна дія</w:t>
      </w:r>
    </w:p>
    <w:p w:rsidR="00210939" w:rsidRPr="00553F9A" w:rsidRDefault="00210939" w:rsidP="00107C09">
      <w:pPr>
        <w:pStyle w:val="3"/>
        <w:ind w:firstLine="567"/>
        <w:jc w:val="both"/>
        <w:rPr>
          <w:b/>
          <w:bCs/>
          <w:sz w:val="24"/>
          <w:szCs w:val="24"/>
          <w:lang w:val="uk-UA"/>
        </w:rPr>
      </w:pPr>
      <w:r w:rsidRPr="00553F9A">
        <w:rPr>
          <w:sz w:val="24"/>
          <w:szCs w:val="24"/>
          <w:lang w:val="uk-UA"/>
        </w:rPr>
        <w:t>Не виявлені.</w:t>
      </w:r>
    </w:p>
    <w:p w:rsidR="00210939" w:rsidRPr="00553F9A" w:rsidRDefault="00210939" w:rsidP="00107C09">
      <w:pPr>
        <w:pStyle w:val="3"/>
        <w:ind w:firstLine="567"/>
        <w:jc w:val="both"/>
        <w:rPr>
          <w:b/>
          <w:bCs/>
          <w:sz w:val="24"/>
          <w:szCs w:val="24"/>
          <w:lang w:val="uk-UA"/>
        </w:rPr>
      </w:pPr>
      <w:r w:rsidRPr="00553F9A">
        <w:rPr>
          <w:b/>
          <w:bCs/>
          <w:sz w:val="24"/>
          <w:szCs w:val="24"/>
          <w:lang w:val="uk-UA"/>
        </w:rPr>
        <w:t>5.5 Особливі застереження при використанні</w:t>
      </w:r>
    </w:p>
    <w:p w:rsidR="00210939" w:rsidRPr="00553F9A" w:rsidRDefault="00210939" w:rsidP="00107C09">
      <w:pPr>
        <w:ind w:firstLine="567"/>
        <w:jc w:val="both"/>
        <w:rPr>
          <w:lang w:val="uk-UA"/>
        </w:rPr>
      </w:pPr>
      <w:r w:rsidRPr="00553F9A">
        <w:rPr>
          <w:bCs/>
          <w:lang w:val="uk-UA"/>
        </w:rPr>
        <w:t>Препарат рекомендовано використовувати лише після проведення дослідження на чутливість мікроорганізмів-збудників до бацитрацину</w:t>
      </w:r>
      <w:r w:rsidRPr="00553F9A">
        <w:rPr>
          <w:lang w:val="uk-UA"/>
        </w:rPr>
        <w:t>.</w:t>
      </w:r>
    </w:p>
    <w:p w:rsidR="00210939" w:rsidRPr="00553F9A" w:rsidRDefault="00210939" w:rsidP="00107C09">
      <w:pPr>
        <w:ind w:firstLine="567"/>
        <w:jc w:val="both"/>
        <w:rPr>
          <w:b/>
          <w:bCs/>
        </w:rPr>
      </w:pPr>
      <w:r w:rsidRPr="00553F9A">
        <w:rPr>
          <w:b/>
          <w:bCs/>
          <w:lang w:val="uk-UA"/>
        </w:rPr>
        <w:t xml:space="preserve">5.6 </w:t>
      </w:r>
      <w:r w:rsidRPr="00553F9A">
        <w:rPr>
          <w:b/>
          <w:bCs/>
        </w:rPr>
        <w:t>Застосування під час вагітності, лактації, несучості</w:t>
      </w:r>
    </w:p>
    <w:p w:rsidR="00210939" w:rsidRPr="00553F9A" w:rsidRDefault="00210939" w:rsidP="00107C09">
      <w:pPr>
        <w:ind w:firstLine="540"/>
        <w:jc w:val="both"/>
        <w:rPr>
          <w:lang w:val="uk-UA"/>
        </w:rPr>
      </w:pPr>
      <w:r w:rsidRPr="00553F9A">
        <w:rPr>
          <w:lang w:val="uk-UA"/>
        </w:rPr>
        <w:t>Препарат слід застосовувати лише після оцінки користі/ризику, встановленої лікарем ветеринарної медицини.</w:t>
      </w:r>
    </w:p>
    <w:p w:rsidR="00210939" w:rsidRPr="00553F9A" w:rsidRDefault="00210939" w:rsidP="00107C09">
      <w:pPr>
        <w:pStyle w:val="BodyTextIndent"/>
        <w:spacing w:after="0"/>
        <w:ind w:firstLine="284"/>
        <w:jc w:val="both"/>
        <w:rPr>
          <w:b/>
          <w:bCs/>
          <w:lang w:val="uk-UA"/>
        </w:rPr>
      </w:pPr>
      <w:r w:rsidRPr="00553F9A">
        <w:rPr>
          <w:b/>
          <w:bCs/>
          <w:lang w:val="uk-UA"/>
        </w:rPr>
        <w:t>5.7 Взаємодія з іншими засобами та інші форми взаємодії</w:t>
      </w:r>
    </w:p>
    <w:p w:rsidR="00210939" w:rsidRPr="00553F9A" w:rsidRDefault="00210939" w:rsidP="00107C09">
      <w:pPr>
        <w:pStyle w:val="BodyTextIndent"/>
        <w:spacing w:after="0"/>
        <w:ind w:firstLine="284"/>
        <w:jc w:val="both"/>
        <w:rPr>
          <w:lang w:val="uk-UA"/>
        </w:rPr>
      </w:pPr>
      <w:r w:rsidRPr="00553F9A">
        <w:rPr>
          <w:lang w:val="uk-UA"/>
        </w:rPr>
        <w:t>Н</w:t>
      </w:r>
      <w:r w:rsidRPr="00553F9A">
        <w:t xml:space="preserve">е застосовувати одночасно з </w:t>
      </w:r>
      <w:r w:rsidRPr="00553F9A">
        <w:rPr>
          <w:lang w:val="uk-UA"/>
        </w:rPr>
        <w:t>сильними  окиснювачами.</w:t>
      </w:r>
    </w:p>
    <w:p w:rsidR="00210939" w:rsidRPr="00553F9A" w:rsidRDefault="00210939" w:rsidP="00107C09">
      <w:pPr>
        <w:pStyle w:val="BodyTextIndent"/>
        <w:spacing w:after="0"/>
        <w:ind w:firstLine="284"/>
        <w:jc w:val="both"/>
        <w:rPr>
          <w:b/>
          <w:bCs/>
          <w:lang w:val="uk-UA"/>
        </w:rPr>
      </w:pPr>
      <w:r w:rsidRPr="00553F9A">
        <w:rPr>
          <w:b/>
          <w:bCs/>
          <w:lang w:val="uk-UA"/>
        </w:rPr>
        <w:t>5.8 Дози і способи введення тваринам різного віку</w:t>
      </w:r>
    </w:p>
    <w:p w:rsidR="00210939" w:rsidRPr="00553F9A" w:rsidRDefault="00210939" w:rsidP="00107C09">
      <w:pPr>
        <w:pStyle w:val="BodyTextIndent"/>
        <w:spacing w:after="0"/>
        <w:ind w:left="0" w:firstLine="709"/>
        <w:jc w:val="both"/>
        <w:rPr>
          <w:lang w:val="uk-UA"/>
        </w:rPr>
      </w:pPr>
      <w:r w:rsidRPr="00553F9A">
        <w:rPr>
          <w:lang w:val="uk-UA"/>
        </w:rPr>
        <w:t>Перорально з готовим кормом у дозі 0,33-0,66 г препарату на 1 кг корму, що відповідає 50-100 мг бацитрацин метилен дисаліцилату на 1 кг корму щодобово протягом 7 діб.</w:t>
      </w:r>
    </w:p>
    <w:p w:rsidR="00210939" w:rsidRPr="00553F9A" w:rsidRDefault="00210939" w:rsidP="00107C09">
      <w:pPr>
        <w:pStyle w:val="BodyTextIndent"/>
        <w:spacing w:after="0"/>
        <w:ind w:left="0" w:firstLine="709"/>
        <w:jc w:val="both"/>
      </w:pPr>
      <w:r w:rsidRPr="00553F9A">
        <w:rPr>
          <w:b/>
          <w:bCs/>
          <w:lang w:val="uk-UA"/>
        </w:rPr>
        <w:t>5.9 Передозування (симптоми, невідкладні заходи, антидоти)</w:t>
      </w:r>
    </w:p>
    <w:p w:rsidR="00210939" w:rsidRPr="00553F9A" w:rsidRDefault="00210939" w:rsidP="00107C09">
      <w:pPr>
        <w:pStyle w:val="BodyTextIndent"/>
        <w:spacing w:after="0"/>
        <w:ind w:left="0" w:firstLine="708"/>
        <w:jc w:val="both"/>
        <w:rPr>
          <w:lang w:val="uk-UA"/>
        </w:rPr>
      </w:pPr>
      <w:r w:rsidRPr="00553F9A">
        <w:rPr>
          <w:lang w:val="uk-UA"/>
        </w:rPr>
        <w:t>Не виявлено.</w:t>
      </w:r>
    </w:p>
    <w:p w:rsidR="00210939" w:rsidRPr="00553F9A" w:rsidRDefault="00210939" w:rsidP="00107C09">
      <w:pPr>
        <w:pStyle w:val="BodyTextIndent"/>
        <w:spacing w:after="0"/>
        <w:ind w:left="0" w:firstLine="709"/>
        <w:jc w:val="both"/>
        <w:rPr>
          <w:b/>
          <w:bCs/>
          <w:lang w:val="uk-UA"/>
        </w:rPr>
      </w:pPr>
      <w:r w:rsidRPr="00553F9A">
        <w:rPr>
          <w:b/>
          <w:bCs/>
          <w:lang w:val="uk-UA"/>
        </w:rPr>
        <w:t>5.10 Спеціальні застереження для кожного окремого виду тварин</w:t>
      </w:r>
    </w:p>
    <w:p w:rsidR="00210939" w:rsidRPr="00553F9A" w:rsidRDefault="00210939" w:rsidP="00107C09">
      <w:pPr>
        <w:ind w:firstLine="709"/>
        <w:jc w:val="both"/>
        <w:rPr>
          <w:lang w:val="uk-UA"/>
        </w:rPr>
      </w:pPr>
      <w:r w:rsidRPr="00553F9A">
        <w:rPr>
          <w:lang w:val="uk-UA"/>
        </w:rPr>
        <w:t>Немає.</w:t>
      </w:r>
    </w:p>
    <w:p w:rsidR="00210939" w:rsidRPr="00553F9A" w:rsidRDefault="00210939">
      <w:pPr>
        <w:jc w:val="right"/>
      </w:pPr>
    </w:p>
    <w:p w:rsidR="00210939" w:rsidRPr="00553F9A" w:rsidRDefault="00210939">
      <w:r w:rsidRPr="00553F9A">
        <w:br w:type="page"/>
      </w:r>
    </w:p>
    <w:p w:rsidR="00210939" w:rsidRPr="00553F9A" w:rsidRDefault="00210939">
      <w:pPr>
        <w:jc w:val="right"/>
      </w:pPr>
      <w:r w:rsidRPr="00553F9A">
        <w:t xml:space="preserve">Продовження додатку 1                                                                                   </w:t>
      </w:r>
    </w:p>
    <w:p w:rsidR="00210939" w:rsidRPr="00553F9A" w:rsidRDefault="00210939">
      <w:pPr>
        <w:jc w:val="right"/>
      </w:pPr>
      <w:r w:rsidRPr="00553F9A">
        <w:t>до реєстраційного посвідчення AB-05775-01-15</w:t>
      </w:r>
    </w:p>
    <w:p w:rsidR="00210939" w:rsidRPr="00553F9A" w:rsidRDefault="00210939" w:rsidP="003873DB">
      <w:pPr>
        <w:ind w:firstLine="709"/>
        <w:jc w:val="both"/>
        <w:rPr>
          <w:b/>
          <w:bCs/>
          <w:lang w:val="uk-UA"/>
        </w:rPr>
      </w:pPr>
    </w:p>
    <w:p w:rsidR="00210939" w:rsidRPr="00553F9A" w:rsidRDefault="00210939" w:rsidP="003873DB">
      <w:pPr>
        <w:ind w:firstLine="709"/>
        <w:jc w:val="both"/>
        <w:rPr>
          <w:b/>
          <w:bCs/>
          <w:lang w:val="uk-UA"/>
        </w:rPr>
      </w:pPr>
      <w:r w:rsidRPr="00553F9A">
        <w:rPr>
          <w:b/>
          <w:bCs/>
          <w:lang w:val="uk-UA"/>
        </w:rPr>
        <w:t xml:space="preserve">5.11. Період виведення </w:t>
      </w:r>
    </w:p>
    <w:p w:rsidR="00210939" w:rsidRPr="00553F9A" w:rsidRDefault="00210939" w:rsidP="003873DB">
      <w:pPr>
        <w:shd w:val="clear" w:color="auto" w:fill="FFFFFF"/>
        <w:ind w:firstLine="708"/>
        <w:rPr>
          <w:lang w:val="uk-UA"/>
        </w:rPr>
      </w:pPr>
      <w:r w:rsidRPr="00553F9A">
        <w:rPr>
          <w:lang w:val="uk-UA"/>
        </w:rPr>
        <w:t xml:space="preserve">Препарат застосовують для непродуктивних тварин. </w:t>
      </w:r>
    </w:p>
    <w:p w:rsidR="00210939" w:rsidRPr="00553F9A" w:rsidRDefault="00210939" w:rsidP="003873DB">
      <w:pPr>
        <w:ind w:firstLine="709"/>
        <w:jc w:val="both"/>
        <w:rPr>
          <w:b/>
          <w:bCs/>
          <w:lang w:val="uk-UA"/>
        </w:rPr>
      </w:pPr>
      <w:r w:rsidRPr="00553F9A">
        <w:rPr>
          <w:b/>
          <w:bCs/>
          <w:lang w:val="uk-UA"/>
        </w:rPr>
        <w:t>5.12 Спеціальні застереження для осіб і обслуговуючого персоналу</w:t>
      </w:r>
    </w:p>
    <w:p w:rsidR="00210939" w:rsidRPr="00553F9A" w:rsidRDefault="00210939" w:rsidP="008854F6">
      <w:pPr>
        <w:pStyle w:val="3"/>
        <w:ind w:firstLine="567"/>
        <w:jc w:val="both"/>
        <w:rPr>
          <w:sz w:val="24"/>
          <w:szCs w:val="24"/>
        </w:rPr>
      </w:pPr>
      <w:r w:rsidRPr="00553F9A">
        <w:rPr>
          <w:sz w:val="24"/>
          <w:szCs w:val="24"/>
          <w:lang w:val="uk-UA"/>
        </w:rPr>
        <w:t>Під час роботи слід дотримуватися загальних правил особистої гігієни та техніки безпеки, передбачених для роботи з лікарськими засобами. Всі роботи слід проводити з використанням спецодягу і засобів індивідуального захисту, після випадкового потрапляння препарату на шкіру або слизові оболонки його необхідно негайно змити струменем проточної води. Після потрапляння препарату в очі, промити їх великою кількістю проточної води і звернутися до лікаря.</w:t>
      </w:r>
    </w:p>
    <w:p w:rsidR="00210939" w:rsidRPr="00553F9A" w:rsidRDefault="00210939">
      <w:pPr>
        <w:tabs>
          <w:tab w:val="left" w:pos="0"/>
          <w:tab w:val="left" w:pos="330"/>
          <w:tab w:val="left" w:pos="405"/>
        </w:tabs>
        <w:ind w:firstLine="720"/>
        <w:rPr>
          <w:b/>
          <w:bCs/>
          <w:lang w:val="uk-UA"/>
        </w:rPr>
      </w:pPr>
      <w:r w:rsidRPr="00553F9A">
        <w:rPr>
          <w:b/>
          <w:bCs/>
          <w:lang w:val="uk-UA"/>
        </w:rPr>
        <w:t>6.0 Фармацевтичні особливості</w:t>
      </w:r>
    </w:p>
    <w:p w:rsidR="00210939" w:rsidRPr="00553F9A" w:rsidRDefault="00210939">
      <w:pPr>
        <w:tabs>
          <w:tab w:val="left" w:pos="0"/>
          <w:tab w:val="left" w:pos="405"/>
        </w:tabs>
        <w:ind w:firstLine="709"/>
        <w:jc w:val="both"/>
        <w:rPr>
          <w:b/>
          <w:bCs/>
          <w:lang w:val="uk-UA"/>
        </w:rPr>
      </w:pPr>
      <w:r w:rsidRPr="00553F9A">
        <w:rPr>
          <w:b/>
          <w:bCs/>
          <w:lang w:val="uk-UA"/>
        </w:rPr>
        <w:t>6.1 Форми несумісності</w:t>
      </w:r>
    </w:p>
    <w:p w:rsidR="00210939" w:rsidRPr="00553F9A" w:rsidRDefault="00210939">
      <w:pPr>
        <w:pStyle w:val="BodyTextIndent"/>
        <w:spacing w:after="0"/>
        <w:ind w:left="0" w:firstLine="709"/>
        <w:jc w:val="both"/>
        <w:rPr>
          <w:lang w:val="uk-UA"/>
        </w:rPr>
      </w:pPr>
      <w:r w:rsidRPr="00553F9A">
        <w:rPr>
          <w:lang w:val="uk-UA"/>
        </w:rPr>
        <w:t>Не виявлені.</w:t>
      </w:r>
    </w:p>
    <w:p w:rsidR="00210939" w:rsidRPr="00553F9A" w:rsidRDefault="00210939">
      <w:pPr>
        <w:pStyle w:val="BodyTextIndent"/>
        <w:spacing w:after="0"/>
        <w:ind w:left="0" w:firstLine="709"/>
        <w:jc w:val="both"/>
        <w:rPr>
          <w:lang w:val="uk-UA"/>
        </w:rPr>
      </w:pPr>
      <w:r w:rsidRPr="00553F9A">
        <w:rPr>
          <w:b/>
          <w:bCs/>
          <w:lang w:val="uk-UA"/>
        </w:rPr>
        <w:t>6.2 Термін придатності</w:t>
      </w:r>
      <w:r w:rsidRPr="00553F9A">
        <w:rPr>
          <w:lang w:val="uk-UA"/>
        </w:rPr>
        <w:t xml:space="preserve"> </w:t>
      </w:r>
    </w:p>
    <w:p w:rsidR="00210939" w:rsidRPr="00553F9A" w:rsidRDefault="00210939">
      <w:pPr>
        <w:pStyle w:val="BodyTextIndent"/>
        <w:spacing w:after="0"/>
        <w:ind w:left="0" w:firstLine="708"/>
        <w:jc w:val="both"/>
        <w:rPr>
          <w:lang w:val="uk-UA"/>
        </w:rPr>
      </w:pPr>
      <w:r w:rsidRPr="00553F9A">
        <w:rPr>
          <w:lang w:val="uk-UA"/>
        </w:rPr>
        <w:t>2 роки з дати виробництва.</w:t>
      </w:r>
    </w:p>
    <w:p w:rsidR="00210939" w:rsidRPr="00553F9A" w:rsidRDefault="00210939">
      <w:pPr>
        <w:pStyle w:val="BodyTextIndent2"/>
        <w:spacing w:after="0" w:line="240" w:lineRule="auto"/>
        <w:ind w:left="0" w:firstLine="709"/>
        <w:jc w:val="both"/>
        <w:rPr>
          <w:b/>
          <w:bCs/>
          <w:lang w:val="uk-UA"/>
        </w:rPr>
      </w:pPr>
      <w:r w:rsidRPr="00553F9A">
        <w:rPr>
          <w:b/>
          <w:bCs/>
          <w:lang w:val="uk-UA"/>
        </w:rPr>
        <w:t>6.3 Особливі заходи зберігання</w:t>
      </w:r>
    </w:p>
    <w:p w:rsidR="00210939" w:rsidRPr="00553F9A" w:rsidRDefault="00210939">
      <w:pPr>
        <w:tabs>
          <w:tab w:val="left" w:pos="315"/>
        </w:tabs>
        <w:ind w:firstLine="709"/>
        <w:jc w:val="both"/>
        <w:rPr>
          <w:lang w:val="uk-UA"/>
        </w:rPr>
      </w:pPr>
      <w:r w:rsidRPr="00553F9A">
        <w:rPr>
          <w:lang w:val="uk-UA"/>
        </w:rPr>
        <w:t>Сухе темне, недоступне для дітей місце за температури від 5 до 25 °С.</w:t>
      </w:r>
    </w:p>
    <w:p w:rsidR="00210939" w:rsidRPr="00553F9A" w:rsidRDefault="00210939">
      <w:pPr>
        <w:tabs>
          <w:tab w:val="left" w:pos="315"/>
        </w:tabs>
        <w:ind w:firstLine="709"/>
        <w:jc w:val="both"/>
        <w:rPr>
          <w:b/>
          <w:bCs/>
          <w:lang w:val="uk-UA"/>
        </w:rPr>
      </w:pPr>
      <w:r w:rsidRPr="00553F9A">
        <w:rPr>
          <w:b/>
          <w:bCs/>
          <w:lang w:val="uk-UA"/>
        </w:rPr>
        <w:t>6.4 Природа і склад контейнера первинного пакування</w:t>
      </w:r>
    </w:p>
    <w:p w:rsidR="00210939" w:rsidRPr="00553F9A" w:rsidRDefault="00210939">
      <w:pPr>
        <w:ind w:firstLine="708"/>
        <w:jc w:val="both"/>
      </w:pPr>
      <w:r w:rsidRPr="00553F9A">
        <w:rPr>
          <w:lang w:val="uk-UA"/>
        </w:rPr>
        <w:t>Пакети по 1, 10, 50 та 100 г.</w:t>
      </w:r>
    </w:p>
    <w:p w:rsidR="00210939" w:rsidRPr="00553F9A" w:rsidRDefault="00210939">
      <w:pPr>
        <w:ind w:firstLine="709"/>
        <w:jc w:val="both"/>
        <w:rPr>
          <w:b/>
          <w:bCs/>
          <w:lang w:val="uk-UA"/>
        </w:rPr>
      </w:pPr>
      <w:r w:rsidRPr="00553F9A">
        <w:rPr>
          <w:b/>
          <w:bCs/>
          <w:lang w:val="uk-UA"/>
        </w:rPr>
        <w:t>6.5 Особливі заходи безпеки при поводженні з невикористаним препаратами або із його залишками.</w:t>
      </w:r>
    </w:p>
    <w:p w:rsidR="00210939" w:rsidRPr="00553F9A" w:rsidRDefault="00210939">
      <w:pPr>
        <w:ind w:firstLine="709"/>
        <w:jc w:val="both"/>
        <w:rPr>
          <w:b/>
          <w:bCs/>
          <w:lang w:val="uk-UA"/>
        </w:rPr>
      </w:pPr>
      <w:r w:rsidRPr="00553F9A">
        <w:rPr>
          <w:spacing w:val="-1"/>
        </w:rPr>
        <w:t>Порожню упаковку та залишки невикористаного препарату потрібно утилізувати згідно з чинним законодавством.</w:t>
      </w:r>
    </w:p>
    <w:p w:rsidR="00210939" w:rsidRPr="00553F9A" w:rsidRDefault="00210939">
      <w:pPr>
        <w:ind w:firstLine="567"/>
        <w:jc w:val="both"/>
        <w:rPr>
          <w:b/>
          <w:lang w:val="uk-UA"/>
        </w:rPr>
      </w:pPr>
      <w:r w:rsidRPr="00553F9A">
        <w:rPr>
          <w:b/>
          <w:lang w:val="uk-UA"/>
        </w:rPr>
        <w:t xml:space="preserve">7. Власник реєстраційного посвідчення: </w:t>
      </w:r>
    </w:p>
    <w:p w:rsidR="00210939" w:rsidRPr="00553F9A" w:rsidRDefault="00210939">
      <w:pPr>
        <w:ind w:firstLine="567"/>
        <w:rPr>
          <w:lang w:val="uk-UA"/>
        </w:rPr>
      </w:pPr>
      <w:r w:rsidRPr="00553F9A">
        <w:rPr>
          <w:lang w:val="uk-UA"/>
        </w:rPr>
        <w:t xml:space="preserve">Товариство з обмеженою відповідальністю «Ветсинтез» </w:t>
      </w:r>
    </w:p>
    <w:p w:rsidR="00210939" w:rsidRPr="00553F9A" w:rsidRDefault="00210939">
      <w:pPr>
        <w:ind w:firstLine="567"/>
      </w:pPr>
      <w:r w:rsidRPr="00553F9A">
        <w:rPr>
          <w:lang w:val="uk-UA"/>
        </w:rPr>
        <w:t>61001, вул.,</w:t>
      </w:r>
      <w:r w:rsidRPr="00553F9A">
        <w:t xml:space="preserve"> </w:t>
      </w:r>
      <w:r w:rsidRPr="00553F9A">
        <w:rPr>
          <w:lang w:val="uk-UA"/>
        </w:rPr>
        <w:t>Бобанича Тараса, 30,</w:t>
      </w:r>
      <w:r w:rsidRPr="00553F9A">
        <w:t xml:space="preserve"> </w:t>
      </w:r>
      <w:r w:rsidRPr="00553F9A">
        <w:rPr>
          <w:lang w:val="uk-UA"/>
        </w:rPr>
        <w:t>м. Харків, Україна</w:t>
      </w:r>
    </w:p>
    <w:p w:rsidR="00210939" w:rsidRPr="00553F9A" w:rsidRDefault="00210939">
      <w:pPr>
        <w:ind w:firstLine="567"/>
        <w:rPr>
          <w:b/>
          <w:lang w:val="uk-UA"/>
        </w:rPr>
      </w:pPr>
      <w:r w:rsidRPr="00553F9A">
        <w:rPr>
          <w:b/>
          <w:lang w:val="uk-UA"/>
        </w:rPr>
        <w:t>8. Виробник готового продукту:</w:t>
      </w:r>
    </w:p>
    <w:p w:rsidR="00210939" w:rsidRPr="00553F9A" w:rsidRDefault="00210939">
      <w:pPr>
        <w:ind w:firstLine="567"/>
        <w:rPr>
          <w:lang w:val="uk-UA"/>
        </w:rPr>
      </w:pPr>
      <w:r w:rsidRPr="00553F9A">
        <w:rPr>
          <w:lang w:val="uk-UA"/>
        </w:rPr>
        <w:t xml:space="preserve">Товариство з обмеженою відповідальністю «Ветсинтез» </w:t>
      </w:r>
    </w:p>
    <w:p w:rsidR="00210939" w:rsidRPr="00553F9A" w:rsidRDefault="00210939">
      <w:pPr>
        <w:ind w:firstLine="567"/>
      </w:pPr>
      <w:r w:rsidRPr="00553F9A">
        <w:rPr>
          <w:lang w:val="uk-UA"/>
        </w:rPr>
        <w:t>61001, вул.,</w:t>
      </w:r>
      <w:r w:rsidRPr="00553F9A">
        <w:t xml:space="preserve"> </w:t>
      </w:r>
      <w:r w:rsidRPr="00553F9A">
        <w:rPr>
          <w:lang w:val="uk-UA"/>
        </w:rPr>
        <w:t>Бобанича Тараса, 30,</w:t>
      </w:r>
      <w:r w:rsidRPr="00553F9A">
        <w:t xml:space="preserve"> </w:t>
      </w:r>
      <w:r w:rsidRPr="00553F9A">
        <w:rPr>
          <w:lang w:val="uk-UA"/>
        </w:rPr>
        <w:t>м. Харків, Україна</w:t>
      </w:r>
    </w:p>
    <w:p w:rsidR="00210939" w:rsidRPr="00553F9A" w:rsidRDefault="00210939">
      <w:pPr>
        <w:ind w:firstLine="567"/>
        <w:jc w:val="both"/>
        <w:rPr>
          <w:b/>
          <w:bCs/>
          <w:lang w:val="uk-UA"/>
        </w:rPr>
      </w:pPr>
      <w:r w:rsidRPr="00553F9A">
        <w:rPr>
          <w:b/>
          <w:lang w:val="uk-UA"/>
        </w:rPr>
        <w:t>9. Додаткова інформація</w:t>
      </w:r>
    </w:p>
    <w:p w:rsidR="00210939" w:rsidRPr="00553F9A" w:rsidRDefault="00210939">
      <w:pPr>
        <w:jc w:val="both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5"/>
        <w:gridCol w:w="4509"/>
      </w:tblGrid>
      <w:tr w:rsidR="00210939" w:rsidRPr="00553F9A">
        <w:trPr>
          <w:trHeight w:val="1319"/>
        </w:trPr>
        <w:tc>
          <w:tcPr>
            <w:tcW w:w="4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0939" w:rsidRPr="00553F9A" w:rsidRDefault="00210939">
            <w:pPr>
              <w:jc w:val="both"/>
              <w:rPr>
                <w:lang w:val="uk-UA"/>
              </w:rPr>
            </w:pPr>
            <w:r w:rsidRPr="00553F9A">
              <w:rPr>
                <w:lang w:val="uk-UA"/>
              </w:rPr>
              <w:t>ЧЖЕЦЗЯН ДАЯН БАЙОТЕК ГРУП КО., ЛТД.</w:t>
            </w:r>
          </w:p>
          <w:p w:rsidR="00210939" w:rsidRPr="00553F9A" w:rsidRDefault="00210939">
            <w:pPr>
              <w:jc w:val="both"/>
              <w:rPr>
                <w:lang w:val="uk-UA"/>
              </w:rPr>
            </w:pPr>
            <w:r w:rsidRPr="00553F9A">
              <w:rPr>
                <w:lang w:val="uk-UA"/>
              </w:rPr>
              <w:t xml:space="preserve">№ 22, ЧЖАОЯН РОУД, ДАЯН ТАУН, ЦЗЯНЬДЕ СІТІ, ХАНЧЖОУ, ЧЖЕЦЗЯН, Китайська Народна Республіка </w:t>
            </w:r>
          </w:p>
        </w:tc>
        <w:tc>
          <w:tcPr>
            <w:tcW w:w="45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0939" w:rsidRPr="00553F9A" w:rsidRDefault="00210939">
            <w:pPr>
              <w:jc w:val="both"/>
              <w:rPr>
                <w:lang w:val="en-US"/>
              </w:rPr>
            </w:pPr>
            <w:r w:rsidRPr="00553F9A">
              <w:rPr>
                <w:lang w:val="en-US"/>
              </w:rPr>
              <w:t>ZHEJIANG DAYANG BIOTECH GROUP CO., LTD</w:t>
            </w:r>
          </w:p>
          <w:p w:rsidR="00210939" w:rsidRPr="00553F9A" w:rsidRDefault="00210939">
            <w:pPr>
              <w:jc w:val="both"/>
              <w:rPr>
                <w:lang w:val="en-US"/>
              </w:rPr>
            </w:pPr>
            <w:r w:rsidRPr="00553F9A">
              <w:rPr>
                <w:lang w:val="en-US"/>
              </w:rPr>
              <w:t xml:space="preserve">NO. 22, ZHAOYANG ROAD, DAYANG TOWN, JIANDE CITY, HANGZHOU, ZHEJIANG, </w:t>
            </w:r>
          </w:p>
          <w:p w:rsidR="00210939" w:rsidRPr="00553F9A" w:rsidRDefault="00210939">
            <w:pPr>
              <w:jc w:val="both"/>
            </w:pPr>
            <w:r w:rsidRPr="00553F9A">
              <w:rPr>
                <w:lang w:val="en-US"/>
              </w:rPr>
              <w:t>People's Republic of China</w:t>
            </w:r>
          </w:p>
          <w:p w:rsidR="00210939" w:rsidRPr="00553F9A" w:rsidRDefault="00210939">
            <w:pPr>
              <w:jc w:val="both"/>
            </w:pPr>
          </w:p>
        </w:tc>
      </w:tr>
      <w:tr w:rsidR="00210939" w:rsidRPr="00553F9A">
        <w:trPr>
          <w:trHeight w:val="1056"/>
        </w:trPr>
        <w:tc>
          <w:tcPr>
            <w:tcW w:w="4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0939" w:rsidRPr="00553F9A" w:rsidRDefault="00210939">
            <w:pPr>
              <w:rPr>
                <w:lang w:val="uk-UA"/>
              </w:rPr>
            </w:pPr>
            <w:r w:rsidRPr="00553F9A">
              <w:rPr>
                <w:lang w:val="uk-UA"/>
              </w:rPr>
              <w:t>ШЕНЬЧЖОУ ВЕГА БАЙО-ТЕКНОЛОДЖІ КО., ЛТД.</w:t>
            </w:r>
          </w:p>
          <w:p w:rsidR="00210939" w:rsidRPr="00553F9A" w:rsidRDefault="00210939">
            <w:pPr>
              <w:jc w:val="both"/>
              <w:rPr>
                <w:lang w:val="uk-UA"/>
              </w:rPr>
            </w:pPr>
            <w:r w:rsidRPr="00553F9A">
              <w:rPr>
                <w:lang w:val="uk-UA"/>
              </w:rPr>
              <w:t xml:space="preserve">ЧАНТОУ ІНДАСТРІЕЛ ПАРК, ШЕНЬЧЖОУ СІТІ, ХЕНШУЙ СІТІ, ХЕБЕЙ ПРОВІНС, </w:t>
            </w:r>
          </w:p>
          <w:p w:rsidR="00210939" w:rsidRPr="00553F9A" w:rsidRDefault="00210939">
            <w:pPr>
              <w:jc w:val="both"/>
              <w:rPr>
                <w:lang w:val="uk-UA"/>
              </w:rPr>
            </w:pPr>
            <w:r w:rsidRPr="00553F9A">
              <w:rPr>
                <w:lang w:val="uk-UA"/>
              </w:rPr>
              <w:t>Китайська Народна Республіка</w:t>
            </w:r>
          </w:p>
        </w:tc>
        <w:tc>
          <w:tcPr>
            <w:tcW w:w="45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0939" w:rsidRPr="00553F9A" w:rsidRDefault="00210939">
            <w:pPr>
              <w:jc w:val="both"/>
              <w:rPr>
                <w:lang w:val="en-US"/>
              </w:rPr>
            </w:pPr>
            <w:r w:rsidRPr="00553F9A">
              <w:rPr>
                <w:lang w:val="en-US"/>
              </w:rPr>
              <w:t>SHENZHOU VEGA BIO-TECHNOLOGY CO., LTD</w:t>
            </w:r>
          </w:p>
          <w:p w:rsidR="00210939" w:rsidRPr="00553F9A" w:rsidRDefault="00210939">
            <w:pPr>
              <w:jc w:val="both"/>
              <w:rPr>
                <w:lang w:val="en-US"/>
              </w:rPr>
            </w:pPr>
            <w:r w:rsidRPr="00553F9A">
              <w:rPr>
                <w:lang w:val="en-US"/>
              </w:rPr>
              <w:t xml:space="preserve">CHANGTOU INDUSTRIAL PARK, SHENZHOU CITY, HENGSHUI CITY, HEBEI PROVINCE, </w:t>
            </w:r>
          </w:p>
          <w:p w:rsidR="00210939" w:rsidRPr="00553F9A" w:rsidRDefault="00210939">
            <w:pPr>
              <w:jc w:val="both"/>
            </w:pPr>
            <w:r w:rsidRPr="00553F9A">
              <w:rPr>
                <w:lang w:val="en-US"/>
              </w:rPr>
              <w:t>People's Republic of China</w:t>
            </w:r>
          </w:p>
          <w:p w:rsidR="00210939" w:rsidRPr="00553F9A" w:rsidRDefault="00210939">
            <w:pPr>
              <w:jc w:val="both"/>
              <w:rPr>
                <w:lang w:val="en-GB"/>
              </w:rPr>
            </w:pPr>
          </w:p>
        </w:tc>
      </w:tr>
    </w:tbl>
    <w:p w:rsidR="00210939" w:rsidRPr="00553F9A" w:rsidRDefault="00210939">
      <w:pPr>
        <w:pStyle w:val="BodyTextIndent"/>
        <w:spacing w:after="0"/>
        <w:ind w:left="0" w:firstLine="567"/>
        <w:rPr>
          <w:lang w:val="uk-UA"/>
        </w:rPr>
      </w:pPr>
    </w:p>
    <w:p w:rsidR="00210939" w:rsidRPr="00553F9A" w:rsidRDefault="00210939">
      <w:pPr>
        <w:tabs>
          <w:tab w:val="num" w:pos="0"/>
        </w:tabs>
        <w:spacing w:line="360" w:lineRule="auto"/>
        <w:ind w:firstLine="709"/>
        <w:jc w:val="both"/>
        <w:rPr>
          <w:lang w:val="uk-UA"/>
        </w:rPr>
      </w:pPr>
    </w:p>
    <w:p w:rsidR="00210939" w:rsidRPr="00553F9A" w:rsidRDefault="00210939">
      <w:pPr>
        <w:rPr>
          <w:sz w:val="32"/>
          <w:szCs w:val="32"/>
          <w:lang w:val="uk-UA"/>
        </w:rPr>
      </w:pPr>
    </w:p>
    <w:p w:rsidR="00210939" w:rsidRPr="00553F9A" w:rsidRDefault="00210939"/>
    <w:sectPr w:rsidR="00210939" w:rsidRPr="00553F9A" w:rsidSect="003873DB">
      <w:pgSz w:w="11906" w:h="16838"/>
      <w:pgMar w:top="709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39" w:rsidRDefault="00210939">
      <w:r>
        <w:separator/>
      </w:r>
    </w:p>
  </w:endnote>
  <w:endnote w:type="continuationSeparator" w:id="0">
    <w:p w:rsidR="00210939" w:rsidRDefault="0021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39" w:rsidRDefault="00210939">
      <w:r>
        <w:separator/>
      </w:r>
    </w:p>
  </w:footnote>
  <w:footnote w:type="continuationSeparator" w:id="0">
    <w:p w:rsidR="00210939" w:rsidRDefault="00210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B1E"/>
    <w:rsid w:val="000B17E1"/>
    <w:rsid w:val="00107C09"/>
    <w:rsid w:val="00116DF0"/>
    <w:rsid w:val="00164BE7"/>
    <w:rsid w:val="001D085A"/>
    <w:rsid w:val="00210939"/>
    <w:rsid w:val="00333688"/>
    <w:rsid w:val="003873DB"/>
    <w:rsid w:val="00400B1E"/>
    <w:rsid w:val="004C0C3D"/>
    <w:rsid w:val="00553F9A"/>
    <w:rsid w:val="00592590"/>
    <w:rsid w:val="00854286"/>
    <w:rsid w:val="008854F6"/>
    <w:rsid w:val="00902799"/>
    <w:rsid w:val="009F5863"/>
    <w:rsid w:val="00B10491"/>
    <w:rsid w:val="00C3114F"/>
    <w:rsid w:val="00C67FE3"/>
    <w:rsid w:val="00CE27FF"/>
    <w:rsid w:val="00E2043A"/>
    <w:rsid w:val="00E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200"/>
      <w:outlineLvl w:val="0"/>
    </w:pPr>
    <w:rPr>
      <w:rFonts w:ascii="Arial" w:eastAsia="Calibri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360" w:after="200"/>
      <w:outlineLvl w:val="1"/>
    </w:pPr>
    <w:rPr>
      <w:rFonts w:ascii="Arial" w:eastAsia="Calibri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320" w:after="200"/>
      <w:outlineLvl w:val="2"/>
    </w:pPr>
    <w:rPr>
      <w:rFonts w:ascii="Arial" w:eastAsia="Calibri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320" w:after="200"/>
      <w:outlineLvl w:val="3"/>
    </w:pPr>
    <w:rPr>
      <w:rFonts w:ascii="Arial" w:eastAsia="Calibri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320" w:after="200"/>
      <w:outlineLvl w:val="4"/>
    </w:pPr>
    <w:rPr>
      <w:rFonts w:ascii="Arial" w:eastAsia="Calibri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320" w:after="200"/>
      <w:outlineLvl w:val="5"/>
    </w:pPr>
    <w:rPr>
      <w:rFonts w:ascii="Arial" w:eastAsia="Calibri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spacing w:before="320" w:after="200"/>
      <w:outlineLvl w:val="6"/>
    </w:pPr>
    <w:rPr>
      <w:rFonts w:ascii="Arial" w:eastAsia="Calibri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spacing w:before="320" w:after="200"/>
      <w:outlineLvl w:val="7"/>
    </w:pPr>
    <w:rPr>
      <w:rFonts w:ascii="Arial" w:eastAsia="Calibri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spacing w:before="320" w:after="200"/>
      <w:outlineLvl w:val="8"/>
    </w:pPr>
    <w:rPr>
      <w:rFonts w:ascii="Arial" w:eastAsia="Calibri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Arial" w:eastAsia="Times New Roman" w:hAnsi="Arial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eastAsia="Times New Roman" w:hAnsi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Arial" w:eastAsia="Times New Roman" w:hAnsi="Arial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Arial" w:eastAsia="Times New Roman" w:hAnsi="Arial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Arial" w:eastAsia="Times New Roman" w:hAnsi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Arial" w:eastAsia="Times New Roman" w:hAnsi="Arial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Arial" w:eastAsia="Times New Roman" w:hAnsi="Arial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Arial" w:eastAsia="Times New Roman" w:hAnsi="Arial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Arial" w:eastAsia="Times New Roman" w:hAnsi="Arial"/>
      <w:i/>
      <w:sz w:val="21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Spacing">
    <w:name w:val="No Spacing"/>
    <w:uiPriority w:val="99"/>
    <w:qFormat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Pr>
      <w:sz w:val="48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Pr>
      <w:sz w:val="24"/>
    </w:rPr>
  </w:style>
  <w:style w:type="paragraph" w:styleId="Quote">
    <w:name w:val="Quote"/>
    <w:basedOn w:val="Normal"/>
    <w:next w:val="Normal"/>
    <w:link w:val="QuoteChar"/>
    <w:uiPriority w:val="99"/>
    <w:qFormat/>
    <w:pPr>
      <w:ind w:left="720" w:right="720"/>
    </w:pPr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Pr>
      <w:i/>
    </w:rPr>
  </w:style>
  <w:style w:type="paragraph" w:styleId="Header">
    <w:name w:val="header"/>
    <w:basedOn w:val="Normal"/>
    <w:link w:val="HeaderChar"/>
    <w:uiPriority w:val="9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1"/>
    <w:uiPriority w:val="9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4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sz w:val="18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Pr>
      <w:sz w:val="20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pPr>
      <w:spacing w:after="57"/>
    </w:pPr>
  </w:style>
  <w:style w:type="paragraph" w:styleId="TOC2">
    <w:name w:val="toc 2"/>
    <w:basedOn w:val="Normal"/>
    <w:next w:val="Normal"/>
    <w:uiPriority w:val="99"/>
    <w:pPr>
      <w:spacing w:after="57"/>
      <w:ind w:left="283"/>
    </w:pPr>
  </w:style>
  <w:style w:type="paragraph" w:styleId="TOC3">
    <w:name w:val="toc 3"/>
    <w:basedOn w:val="Normal"/>
    <w:next w:val="Normal"/>
    <w:uiPriority w:val="99"/>
    <w:pPr>
      <w:spacing w:after="57"/>
      <w:ind w:left="567"/>
    </w:pPr>
  </w:style>
  <w:style w:type="paragraph" w:styleId="TOC4">
    <w:name w:val="toc 4"/>
    <w:basedOn w:val="Normal"/>
    <w:next w:val="Normal"/>
    <w:uiPriority w:val="99"/>
    <w:pPr>
      <w:spacing w:after="57"/>
      <w:ind w:left="850"/>
    </w:pPr>
  </w:style>
  <w:style w:type="paragraph" w:styleId="TOC5">
    <w:name w:val="toc 5"/>
    <w:basedOn w:val="Normal"/>
    <w:next w:val="Normal"/>
    <w:uiPriority w:val="99"/>
    <w:pPr>
      <w:spacing w:after="57"/>
      <w:ind w:left="1134"/>
    </w:pPr>
  </w:style>
  <w:style w:type="paragraph" w:styleId="TOC6">
    <w:name w:val="toc 6"/>
    <w:basedOn w:val="Normal"/>
    <w:next w:val="Normal"/>
    <w:uiPriority w:val="99"/>
    <w:pPr>
      <w:spacing w:after="57"/>
      <w:ind w:left="1417"/>
    </w:pPr>
  </w:style>
  <w:style w:type="paragraph" w:styleId="TOC7">
    <w:name w:val="toc 7"/>
    <w:basedOn w:val="Normal"/>
    <w:next w:val="Normal"/>
    <w:uiPriority w:val="99"/>
    <w:pPr>
      <w:spacing w:after="57"/>
      <w:ind w:left="1701"/>
    </w:pPr>
  </w:style>
  <w:style w:type="paragraph" w:styleId="TOC8">
    <w:name w:val="toc 8"/>
    <w:basedOn w:val="Normal"/>
    <w:next w:val="Normal"/>
    <w:uiPriority w:val="99"/>
    <w:pPr>
      <w:spacing w:after="57"/>
      <w:ind w:left="1984"/>
    </w:pPr>
  </w:style>
  <w:style w:type="paragraph" w:styleId="TOC9">
    <w:name w:val="toc 9"/>
    <w:basedOn w:val="Normal"/>
    <w:next w:val="Normal"/>
    <w:uiPriority w:val="99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pPr>
      <w:keepNext w:val="0"/>
      <w:keepLines w:val="0"/>
      <w:spacing w:before="0" w:after="0"/>
      <w:outlineLvl w:val="9"/>
    </w:pPr>
    <w:rPr>
      <w:rFonts w:ascii="Calibri" w:hAnsi="Calibri" w:cs="Times New Roman"/>
      <w:sz w:val="20"/>
      <w:szCs w:val="20"/>
      <w:lang w:val="uk-UA" w:eastAsia="uk-UA"/>
    </w:rPr>
  </w:style>
  <w:style w:type="paragraph" w:styleId="TableofFigures">
    <w:name w:val="table of figures"/>
    <w:basedOn w:val="Normal"/>
    <w:next w:val="Normal"/>
    <w:uiPriority w:val="99"/>
  </w:style>
  <w:style w:type="paragraph" w:styleId="BodyTextIndent">
    <w:name w:val="Body Text Indent"/>
    <w:aliases w:val="Знак"/>
    <w:basedOn w:val="Normal"/>
    <w:link w:val="BodyTextIndentChar1"/>
    <w:uiPriority w:val="99"/>
    <w:pPr>
      <w:spacing w:after="120"/>
      <w:ind w:left="283"/>
    </w:pPr>
  </w:style>
  <w:style w:type="character" w:customStyle="1" w:styleId="BodyTextIndentChar">
    <w:name w:val="Body Text Indent Char"/>
    <w:aliases w:val="Знак Char"/>
    <w:basedOn w:val="DefaultParagraphFont"/>
    <w:uiPriority w:val="99"/>
    <w:semiHidden/>
    <w:rsid w:val="00917BBB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aliases w:val="Знак Char1"/>
    <w:link w:val="BodyTextIndent"/>
    <w:uiPriority w:val="99"/>
    <w:locked/>
    <w:rPr>
      <w:rFonts w:ascii="Times New Roman" w:hAnsi="Times New Roman"/>
      <w:sz w:val="24"/>
      <w:lang w:val="x-none" w:eastAsia="ru-RU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Times New Roman" w:hAnsi="Times New Roman"/>
      <w:sz w:val="24"/>
      <w:lang w:val="x-none" w:eastAsia="ru-RU"/>
    </w:rPr>
  </w:style>
  <w:style w:type="character" w:customStyle="1" w:styleId="FontStyle14">
    <w:name w:val="Font Style14"/>
    <w:uiPriority w:val="99"/>
    <w:rPr>
      <w:rFonts w:ascii="Times New Roman" w:hAnsi="Times New Roman"/>
      <w:sz w:val="22"/>
    </w:rPr>
  </w:style>
  <w:style w:type="paragraph" w:customStyle="1" w:styleId="3">
    <w:name w:val="Обычный3"/>
    <w:uiPriority w:val="99"/>
    <w:pPr>
      <w:widowControl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">
    <w:name w:val="Знак Знак Знак"/>
    <w:uiPriority w:val="99"/>
    <w:rPr>
      <w:sz w:val="24"/>
      <w:lang w:val="ru-RU" w:eastAsia="ru-RU"/>
    </w:rPr>
  </w:style>
  <w:style w:type="paragraph" w:customStyle="1" w:styleId="310">
    <w:name w:val="Основной текст с отступом 31"/>
    <w:basedOn w:val="Normal"/>
    <w:uiPriority w:val="99"/>
    <w:pPr>
      <w:widowControl w:val="0"/>
      <w:ind w:firstLine="720"/>
      <w:jc w:val="both"/>
    </w:pPr>
    <w:rPr>
      <w:b/>
      <w:szCs w:val="20"/>
      <w:lang w:val="uk-UA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C67F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FE3"/>
    <w:rPr>
      <w:rFonts w:ascii="Segoe UI" w:hAnsi="Segoe UI"/>
      <w:sz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3008</Words>
  <Characters>1715</Characters>
  <Application>Microsoft Office Word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Коротка  характеристика  Препарату</dc:title>
  <dc:subject/>
  <dc:creator>Наталья</dc:creator>
  <cp:keywords/>
  <dc:description/>
  <cp:lastModifiedBy>Vezdenko</cp:lastModifiedBy>
  <cp:revision>5</cp:revision>
  <cp:lastPrinted>2025-03-20T09:47:00Z</cp:lastPrinted>
  <dcterms:created xsi:type="dcterms:W3CDTF">2025-04-24T12:37:00Z</dcterms:created>
  <dcterms:modified xsi:type="dcterms:W3CDTF">2025-04-25T15:11:00Z</dcterms:modified>
</cp:coreProperties>
</file>