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353"/>
        <w:gridCol w:w="4394"/>
      </w:tblGrid>
      <w:tr w:rsidR="00502DE7" w:rsidRPr="00151E80" w:rsidTr="008460E8">
        <w:tc>
          <w:tcPr>
            <w:tcW w:w="5353" w:type="dxa"/>
          </w:tcPr>
          <w:p w:rsidR="00502DE7" w:rsidRDefault="00502DE7" w:rsidP="008460E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394" w:type="dxa"/>
          </w:tcPr>
          <w:p w:rsidR="00502DE7" w:rsidRPr="00151E80" w:rsidRDefault="00502DE7" w:rsidP="008460E8">
            <w:pPr>
              <w:widowControl w:val="0"/>
              <w:ind w:left="-108"/>
              <w:jc w:val="left"/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        </w:t>
            </w:r>
            <w:r w:rsidRPr="00151E80">
              <w:rPr>
                <w:rFonts w:eastAsia="Calibri"/>
                <w:lang w:eastAsia="en-US"/>
              </w:rPr>
              <w:t>Додаток 1</w:t>
            </w:r>
            <w:r w:rsidRPr="00151E80">
              <w:t xml:space="preserve"> </w:t>
            </w:r>
          </w:p>
          <w:p w:rsidR="00502DE7" w:rsidRPr="00151E80" w:rsidRDefault="00502DE7" w:rsidP="00502DE7">
            <w:pPr>
              <w:widowControl w:val="0"/>
              <w:ind w:left="-108"/>
              <w:jc w:val="left"/>
            </w:pPr>
            <w:r w:rsidRPr="00151E80">
              <w:rPr>
                <w:rFonts w:eastAsia="Calibri"/>
                <w:lang w:eastAsia="en-US"/>
              </w:rPr>
              <w:t xml:space="preserve">до реєстраційного посвідчення    </w:t>
            </w:r>
          </w:p>
        </w:tc>
      </w:tr>
    </w:tbl>
    <w:p w:rsidR="00502DE7" w:rsidRPr="00151E80" w:rsidRDefault="00502DE7" w:rsidP="00502DE7">
      <w:pPr>
        <w:jc w:val="left"/>
        <w:rPr>
          <w:lang w:val="ru-RU"/>
        </w:rPr>
      </w:pPr>
    </w:p>
    <w:p w:rsidR="00502DE7" w:rsidRPr="00151E80" w:rsidRDefault="00502DE7" w:rsidP="00502DE7">
      <w:pPr>
        <w:jc w:val="center"/>
        <w:rPr>
          <w:b/>
        </w:rPr>
      </w:pPr>
      <w:r w:rsidRPr="00151E80">
        <w:rPr>
          <w:b/>
        </w:rPr>
        <w:t>Коротка характеристика препарату</w:t>
      </w:r>
    </w:p>
    <w:p w:rsidR="00EA53B5" w:rsidRPr="00151E80" w:rsidRDefault="00EA53B5" w:rsidP="00872115">
      <w:pPr>
        <w:rPr>
          <w:b/>
        </w:rPr>
      </w:pPr>
    </w:p>
    <w:p w:rsidR="00502DE7" w:rsidRPr="00151E80" w:rsidRDefault="00502DE7" w:rsidP="00872115">
      <w:r w:rsidRPr="00151E80">
        <w:rPr>
          <w:b/>
        </w:rPr>
        <w:t>1. Назва</w:t>
      </w:r>
    </w:p>
    <w:p w:rsidR="00502DE7" w:rsidRPr="00151E80" w:rsidRDefault="00502DE7" w:rsidP="005F3AA6">
      <w:r w:rsidRPr="00151E80">
        <w:t>Сурфарон</w:t>
      </w:r>
      <w:r w:rsidRPr="00151E80">
        <w:br/>
      </w:r>
      <w:r w:rsidRPr="00151E80">
        <w:rPr>
          <w:b/>
        </w:rPr>
        <w:t>2. Склад</w:t>
      </w:r>
    </w:p>
    <w:p w:rsidR="00502DE7" w:rsidRPr="00151E80" w:rsidRDefault="00502DE7" w:rsidP="005F3AA6">
      <w:pPr>
        <w:rPr>
          <w:lang w:val="ru-RU"/>
        </w:rPr>
      </w:pPr>
      <w:r w:rsidRPr="00151E80">
        <w:t>1 мл препарату містить</w:t>
      </w:r>
      <w:r w:rsidR="00EA53B5" w:rsidRPr="00151E80">
        <w:t xml:space="preserve"> </w:t>
      </w:r>
      <w:r w:rsidRPr="00151E80">
        <w:t>діючу речовину</w:t>
      </w:r>
      <w:r w:rsidR="00872115" w:rsidRPr="00151E80">
        <w:t>:</w:t>
      </w:r>
      <w:r w:rsidRPr="00151E80">
        <w:t xml:space="preserve"> аларелін</w:t>
      </w:r>
      <w:r w:rsidR="00EA53B5" w:rsidRPr="00151E80">
        <w:t>у</w:t>
      </w:r>
      <w:r w:rsidRPr="00151E80">
        <w:t xml:space="preserve"> ацетат – 5</w:t>
      </w:r>
      <w:r w:rsidR="00577A5A" w:rsidRPr="00151E80">
        <w:t>,0</w:t>
      </w:r>
      <w:r w:rsidRPr="00151E80">
        <w:t xml:space="preserve"> мкг</w:t>
      </w:r>
      <w:r w:rsidR="005F3AA6" w:rsidRPr="00151E80">
        <w:t>.</w:t>
      </w:r>
    </w:p>
    <w:p w:rsidR="00502DE7" w:rsidRPr="00151E80" w:rsidRDefault="00EA53B5" w:rsidP="00872115">
      <w:r w:rsidRPr="00151E80">
        <w:t>Допоміжні речовини</w:t>
      </w:r>
      <w:r w:rsidR="00872115" w:rsidRPr="00151E80">
        <w:t>:</w:t>
      </w:r>
      <w:r w:rsidRPr="00151E80">
        <w:t xml:space="preserve">  н</w:t>
      </w:r>
      <w:r w:rsidR="00502DE7" w:rsidRPr="00151E80">
        <w:t>атрію хлорид, ніпагін, вода для ін’єкцій.</w:t>
      </w:r>
    </w:p>
    <w:p w:rsidR="00502DE7" w:rsidRPr="00151E80" w:rsidRDefault="00502DE7" w:rsidP="00872115">
      <w:r w:rsidRPr="00151E80">
        <w:rPr>
          <w:b/>
        </w:rPr>
        <w:t>3. Фармацевтична форма</w:t>
      </w:r>
    </w:p>
    <w:p w:rsidR="00502DE7" w:rsidRPr="00151E80" w:rsidRDefault="00502DE7" w:rsidP="005F3AA6">
      <w:r w:rsidRPr="00151E80">
        <w:t>Розчин для ін’є</w:t>
      </w:r>
      <w:r w:rsidR="00EA53B5" w:rsidRPr="00151E80">
        <w:t>к</w:t>
      </w:r>
      <w:r w:rsidRPr="00151E80">
        <w:t>цій</w:t>
      </w:r>
    </w:p>
    <w:p w:rsidR="00502DE7" w:rsidRPr="00151E80" w:rsidRDefault="00502DE7" w:rsidP="00872115">
      <w:r w:rsidRPr="00151E80">
        <w:rPr>
          <w:b/>
        </w:rPr>
        <w:t>4. Фармакологічні властивості</w:t>
      </w:r>
    </w:p>
    <w:p w:rsidR="00502DE7" w:rsidRPr="00151E80" w:rsidRDefault="00502DE7" w:rsidP="0029513B">
      <w:pPr>
        <w:ind w:firstLine="708"/>
      </w:pPr>
      <w:r w:rsidRPr="00151E80">
        <w:t xml:space="preserve">Сурфарон стимулює виділення гонадотропінів гіпофізу в кров максимум через 2 - 3 години після введення. Підвищений вміст гонадотропінів в крові зберігається протягом 4 – 5 годин після введення. На відміну від природного люлеберину, біологічна активність </w:t>
      </w:r>
      <w:r w:rsidR="00872115" w:rsidRPr="00151E80">
        <w:t>С</w:t>
      </w:r>
      <w:r w:rsidRPr="00151E80">
        <w:t>урфарону в 50 разів більше, що дозволяє використовувати цей препарат в мікродозах та короткими курсами. Сурфарон повільніше, ніж природний люл</w:t>
      </w:r>
      <w:r w:rsidR="00872115" w:rsidRPr="00151E80">
        <w:t>і</w:t>
      </w:r>
      <w:r w:rsidRPr="00151E80">
        <w:t>берин, руйнується під впливом дії ферментів, що забезпечує сильнішу біологічну дію на гіпертропну функцію гіпофізу.</w:t>
      </w:r>
    </w:p>
    <w:p w:rsidR="00502DE7" w:rsidRPr="00151E80" w:rsidRDefault="00502DE7" w:rsidP="00872115">
      <w:pPr>
        <w:rPr>
          <w:b/>
        </w:rPr>
      </w:pPr>
      <w:r w:rsidRPr="00151E80">
        <w:rPr>
          <w:b/>
        </w:rPr>
        <w:t>5. Клінічні особливості.</w:t>
      </w:r>
    </w:p>
    <w:p w:rsidR="00502DE7" w:rsidRPr="00151E80" w:rsidRDefault="00502DE7" w:rsidP="00872115">
      <w:pPr>
        <w:rPr>
          <w:b/>
        </w:rPr>
      </w:pPr>
      <w:r w:rsidRPr="00151E80">
        <w:rPr>
          <w:b/>
        </w:rPr>
        <w:t>5.1. Вид тварин</w:t>
      </w:r>
    </w:p>
    <w:p w:rsidR="00502DE7" w:rsidRPr="00151E80" w:rsidRDefault="00502DE7" w:rsidP="00872115">
      <w:pPr>
        <w:ind w:firstLine="708"/>
      </w:pPr>
      <w:r w:rsidRPr="00151E80">
        <w:t>Корови, вівцематки, свиноматки.</w:t>
      </w:r>
    </w:p>
    <w:p w:rsidR="00502DE7" w:rsidRPr="00151E80" w:rsidRDefault="00502DE7" w:rsidP="00872115">
      <w:pPr>
        <w:rPr>
          <w:b/>
        </w:rPr>
      </w:pPr>
      <w:r w:rsidRPr="00151E80">
        <w:rPr>
          <w:b/>
        </w:rPr>
        <w:t xml:space="preserve">5.2. Показання до застосування. </w:t>
      </w:r>
    </w:p>
    <w:p w:rsidR="00502DE7" w:rsidRPr="00151E80" w:rsidRDefault="00502DE7" w:rsidP="00872115">
      <w:r w:rsidRPr="00151E80">
        <w:t>- рання індукція статевого циклу;</w:t>
      </w:r>
    </w:p>
    <w:p w:rsidR="00502DE7" w:rsidRPr="00151E80" w:rsidRDefault="00502DE7" w:rsidP="00872115">
      <w:r w:rsidRPr="00151E80">
        <w:t>- лікування гіпофункції яєчників та фолікулярних кіст;</w:t>
      </w:r>
    </w:p>
    <w:p w:rsidR="00502DE7" w:rsidRPr="00151E80" w:rsidRDefault="00502DE7" w:rsidP="00872115">
      <w:r w:rsidRPr="00151E80">
        <w:t>- підвищення запліднюваності маточного поголів’я сільськогосподарських тварин.</w:t>
      </w:r>
    </w:p>
    <w:p w:rsidR="00502DE7" w:rsidRPr="00151E80" w:rsidRDefault="00502DE7" w:rsidP="00872115">
      <w:pPr>
        <w:rPr>
          <w:b/>
        </w:rPr>
      </w:pPr>
      <w:r w:rsidRPr="00151E80">
        <w:rPr>
          <w:b/>
        </w:rPr>
        <w:t>5.3. Протипоказання.</w:t>
      </w:r>
    </w:p>
    <w:p w:rsidR="00502DE7" w:rsidRPr="00151E80" w:rsidRDefault="00502DE7" w:rsidP="00872115">
      <w:pPr>
        <w:ind w:firstLine="708"/>
      </w:pPr>
      <w:r w:rsidRPr="00151E80">
        <w:t>Підвищена чутливість до препарату.</w:t>
      </w:r>
    </w:p>
    <w:p w:rsidR="00502DE7" w:rsidRPr="00151E80" w:rsidRDefault="00502DE7" w:rsidP="00872115">
      <w:pPr>
        <w:rPr>
          <w:b/>
        </w:rPr>
      </w:pPr>
      <w:r w:rsidRPr="00151E80">
        <w:rPr>
          <w:b/>
        </w:rPr>
        <w:t>5.4. Побічна дія.</w:t>
      </w:r>
    </w:p>
    <w:p w:rsidR="00502DE7" w:rsidRPr="00151E80" w:rsidRDefault="00502DE7" w:rsidP="00872115">
      <w:pPr>
        <w:ind w:firstLine="708"/>
      </w:pPr>
      <w:r w:rsidRPr="00151E80">
        <w:t>У рекомендованих дозах не виникає побічної дії.</w:t>
      </w:r>
    </w:p>
    <w:p w:rsidR="00502DE7" w:rsidRPr="00151E80" w:rsidRDefault="00502DE7" w:rsidP="00872115">
      <w:pPr>
        <w:rPr>
          <w:b/>
        </w:rPr>
      </w:pPr>
      <w:r w:rsidRPr="00151E80">
        <w:rPr>
          <w:b/>
        </w:rPr>
        <w:t>5.5. Особливі застереження при використанні.</w:t>
      </w:r>
    </w:p>
    <w:p w:rsidR="00502DE7" w:rsidRPr="00151E80" w:rsidRDefault="00502DE7" w:rsidP="00872115">
      <w:pPr>
        <w:ind w:firstLine="708"/>
      </w:pPr>
      <w:r w:rsidRPr="00151E80">
        <w:t>Не має.</w:t>
      </w:r>
    </w:p>
    <w:p w:rsidR="00502DE7" w:rsidRPr="00151E80" w:rsidRDefault="00502DE7" w:rsidP="00872115">
      <w:r w:rsidRPr="00151E80">
        <w:rPr>
          <w:b/>
        </w:rPr>
        <w:t>5.6. Застосування під час вагітності та лактації.</w:t>
      </w:r>
    </w:p>
    <w:p w:rsidR="00502DE7" w:rsidRPr="00151E80" w:rsidRDefault="00502DE7" w:rsidP="00872115">
      <w:pPr>
        <w:ind w:firstLine="708"/>
      </w:pPr>
      <w:r w:rsidRPr="00151E80">
        <w:t>З метою попередження ранньої ембріональної смертності препарат вводять один раз в дозі 10–50 мкг на 8 – 12 добу після осіменіння для підвищення функціональної активності жовтого тіла вагітності.</w:t>
      </w:r>
    </w:p>
    <w:p w:rsidR="00502DE7" w:rsidRPr="00151E80" w:rsidRDefault="00502DE7" w:rsidP="00872115">
      <w:r w:rsidRPr="00151E80">
        <w:rPr>
          <w:rFonts w:ascii="Arial" w:hAnsi="Arial" w:cs="Arial"/>
          <w:color w:val="000000"/>
          <w:sz w:val="21"/>
          <w:szCs w:val="21"/>
        </w:rPr>
        <w:t> </w:t>
      </w:r>
      <w:r w:rsidRPr="00151E80">
        <w:rPr>
          <w:color w:val="000000"/>
        </w:rPr>
        <w:t>Для попередження ранньої ембріональної смертності у корів вводять Сурфарон на 3, 5 та 9 дні після запліднення в дозі 20-25 мкг.</w:t>
      </w:r>
    </w:p>
    <w:p w:rsidR="00502DE7" w:rsidRPr="00151E80" w:rsidRDefault="00502DE7" w:rsidP="00872115">
      <w:r w:rsidRPr="00151E80">
        <w:tab/>
        <w:t>Для ранньої індукції статевого циклу препарат вводять одноразово в дозі 50 мкг на 8 – 12 добу після отелу.</w:t>
      </w:r>
    </w:p>
    <w:p w:rsidR="00502DE7" w:rsidRPr="00151E80" w:rsidRDefault="00502DE7" w:rsidP="00872115">
      <w:pPr>
        <w:rPr>
          <w:b/>
        </w:rPr>
      </w:pPr>
      <w:r w:rsidRPr="00151E80">
        <w:rPr>
          <w:b/>
        </w:rPr>
        <w:t>5.7. Взаємодія з іншими засобами та інші форми взаємодії.</w:t>
      </w:r>
    </w:p>
    <w:p w:rsidR="00502DE7" w:rsidRPr="00151E80" w:rsidRDefault="00502DE7" w:rsidP="00872115">
      <w:pPr>
        <w:ind w:firstLine="708"/>
      </w:pPr>
      <w:r w:rsidRPr="00151E80">
        <w:t xml:space="preserve"> виявлено.</w:t>
      </w:r>
    </w:p>
    <w:p w:rsidR="00502DE7" w:rsidRPr="00151E80" w:rsidRDefault="00502DE7" w:rsidP="00872115">
      <w:pPr>
        <w:rPr>
          <w:b/>
        </w:rPr>
      </w:pPr>
      <w:r w:rsidRPr="00151E80">
        <w:rPr>
          <w:b/>
        </w:rPr>
        <w:t xml:space="preserve">5.8. Дози та способи введення. </w:t>
      </w:r>
    </w:p>
    <w:p w:rsidR="00502DE7" w:rsidRPr="00151E80" w:rsidRDefault="00502DE7" w:rsidP="00872115">
      <w:pPr>
        <w:ind w:firstLine="708"/>
      </w:pPr>
      <w:r w:rsidRPr="00151E80">
        <w:t>Для ранньої індукції статевого циклу Сурфарон вводять одноразово в дозі 50 мкг  на 8 – 12 добу після отелу. Осіменіння тварин проводять не раніше, ніж через 45 діб після отелу.</w:t>
      </w:r>
    </w:p>
    <w:p w:rsidR="00502DE7" w:rsidRPr="00151E80" w:rsidRDefault="00502DE7" w:rsidP="00872115">
      <w:pPr>
        <w:ind w:firstLine="708"/>
      </w:pPr>
      <w:r w:rsidRPr="00151E80">
        <w:lastRenderedPageBreak/>
        <w:t>Для лікування легкої форми гіпофункції яєчників Сурфарон вводять два рази: перший раз на 8 – 12 добу статевого циклу в дозі 50 мкг, другий раз через 10 діб в дозі 10- 25 мкг. При вираженій формі гіпофункції яєчників на 1, 3 та 5 добу вводять внутрішньом’язово 10 см</w:t>
      </w:r>
      <w:r w:rsidRPr="00151E80">
        <w:rPr>
          <w:vertAlign w:val="superscript"/>
        </w:rPr>
        <w:t>3</w:t>
      </w:r>
      <w:r w:rsidRPr="00151E80">
        <w:t xml:space="preserve"> 1 % олійного розчину прогестерону, на 7 день вводять Сурфарон в дозі 50 мкг.</w:t>
      </w:r>
    </w:p>
    <w:p w:rsidR="00502DE7" w:rsidRPr="00151E80" w:rsidRDefault="00502DE7" w:rsidP="00872115">
      <w:pPr>
        <w:ind w:firstLine="708"/>
      </w:pPr>
      <w:r w:rsidRPr="00151E80">
        <w:t>Для лікування фолікулярних кіст у корів Сурфарон вводять три рази з інтервалом 24 години в дозі 25 мкг. На 11 добу після первинного введення препарату вводять естрофан в дозі 250 мкг, клатропростин в дозі 100 – 200 мкг, двічі з інтервалом 10 – 12 годин.</w:t>
      </w:r>
    </w:p>
    <w:p w:rsidR="00502DE7" w:rsidRPr="00151E80" w:rsidRDefault="00502DE7" w:rsidP="00872115">
      <w:pPr>
        <w:ind w:firstLine="708"/>
      </w:pPr>
      <w:r w:rsidRPr="00151E80">
        <w:t>З метою попередження ранньої ембріональної смертності препарат вводять один раз в дозі 10 – 50 мкг на 8 – 12 добу після</w:t>
      </w:r>
      <w:bookmarkStart w:id="0" w:name="_GoBack_Copy_1"/>
      <w:bookmarkEnd w:id="0"/>
      <w:r w:rsidRPr="00151E80">
        <w:t xml:space="preserve"> осіменіння для підвищення функціональної активності жовтого тіла вагітності.</w:t>
      </w:r>
    </w:p>
    <w:p w:rsidR="00502DE7" w:rsidRPr="00151E80" w:rsidRDefault="00502DE7" w:rsidP="00872115">
      <w:pPr>
        <w:ind w:firstLine="708"/>
      </w:pPr>
      <w:r w:rsidRPr="00151E80">
        <w:t>При двох або більш перегулах корів на 10 – 14 добу статевого циклу внутрішньом’язово двічі з інтервалом 10 – 12 годин вводять естрофан в дозі 250 мкг, або клатропростин в дозі 100 – 200 мкг. На початку охоти або через 70 годин після першого введення естрофану (клатропростину) вводять 50 мкг, Сурфарону та тварин осіменяють. На 8 – 12 добу після осіменіння вводять 50 мкг,  Сурфарону.</w:t>
      </w:r>
    </w:p>
    <w:p w:rsidR="00502DE7" w:rsidRPr="00151E80" w:rsidRDefault="00502DE7" w:rsidP="00872115">
      <w:pPr>
        <w:ind w:firstLine="708"/>
      </w:pPr>
      <w:r w:rsidRPr="00151E80">
        <w:t>Для підвищення запліднюваності свиноматок через 24 – 48 годин після відлучення поросят, тваринам вводять 100 МО(</w:t>
      </w:r>
      <w:r w:rsidRPr="00151E80">
        <w:rPr>
          <w:lang w:val="en-US"/>
        </w:rPr>
        <w:t>IU</w:t>
      </w:r>
      <w:r w:rsidRPr="00151E80">
        <w:t>) СЖК або ГСЖК та через 56 годин Сурфарон у дозі 50 мкг. Осіменіння свиноматок проводять відповідно інструкції.</w:t>
      </w:r>
    </w:p>
    <w:p w:rsidR="00502DE7" w:rsidRPr="00151E80" w:rsidRDefault="00502DE7" w:rsidP="00872115">
      <w:pPr>
        <w:ind w:firstLine="708"/>
      </w:pPr>
      <w:r w:rsidRPr="00151E80">
        <w:t>З метою підвищення запліднюваності вівцематок препарат вводять в дозі  12 – 15 мкг.</w:t>
      </w:r>
    </w:p>
    <w:p w:rsidR="00502DE7" w:rsidRPr="00151E80" w:rsidRDefault="00502DE7" w:rsidP="00872115">
      <w:pPr>
        <w:rPr>
          <w:b/>
        </w:rPr>
      </w:pPr>
      <w:r w:rsidRPr="00151E80">
        <w:rPr>
          <w:b/>
        </w:rPr>
        <w:t>5.9. Передозування (симптоми, невідкладні заходи, антидоти).</w:t>
      </w:r>
    </w:p>
    <w:p w:rsidR="00502DE7" w:rsidRPr="00151E80" w:rsidRDefault="00502DE7" w:rsidP="00872115">
      <w:pPr>
        <w:ind w:firstLine="708"/>
      </w:pPr>
      <w:r w:rsidRPr="00151E80">
        <w:t>Не виявлено.</w:t>
      </w:r>
    </w:p>
    <w:p w:rsidR="00502DE7" w:rsidRPr="00151E80" w:rsidRDefault="00502DE7" w:rsidP="00872115">
      <w:pPr>
        <w:rPr>
          <w:b/>
        </w:rPr>
      </w:pPr>
      <w:r w:rsidRPr="00151E80">
        <w:rPr>
          <w:b/>
        </w:rPr>
        <w:t>5.10. Спеціальні застереження.</w:t>
      </w:r>
    </w:p>
    <w:p w:rsidR="00502DE7" w:rsidRPr="00151E80" w:rsidRDefault="00502DE7" w:rsidP="00872115">
      <w:pPr>
        <w:ind w:firstLine="708"/>
      </w:pPr>
      <w:r w:rsidRPr="00151E80">
        <w:t>Не має.</w:t>
      </w:r>
    </w:p>
    <w:p w:rsidR="00502DE7" w:rsidRPr="00151E80" w:rsidRDefault="00502DE7" w:rsidP="00872115">
      <w:pPr>
        <w:rPr>
          <w:b/>
        </w:rPr>
      </w:pPr>
      <w:r w:rsidRPr="00151E80">
        <w:rPr>
          <w:b/>
        </w:rPr>
        <w:t>5.11. Період виведення ( каренції).</w:t>
      </w:r>
    </w:p>
    <w:p w:rsidR="00502DE7" w:rsidRPr="00151E80" w:rsidRDefault="00E93809" w:rsidP="00872115">
      <w:pPr>
        <w:ind w:firstLine="708"/>
      </w:pPr>
      <w:r w:rsidRPr="00151E80">
        <w:t>Не вимагається</w:t>
      </w:r>
      <w:r w:rsidR="00502DE7" w:rsidRPr="00151E80">
        <w:t>.</w:t>
      </w:r>
    </w:p>
    <w:p w:rsidR="00502DE7" w:rsidRPr="00151E80" w:rsidRDefault="00502DE7" w:rsidP="00872115">
      <w:pPr>
        <w:rPr>
          <w:b/>
        </w:rPr>
      </w:pPr>
      <w:r w:rsidRPr="00151E80">
        <w:rPr>
          <w:b/>
        </w:rPr>
        <w:t>5.11. Спеціальні застереження для осіб і  обслуговуючого персоналу.</w:t>
      </w:r>
    </w:p>
    <w:p w:rsidR="00502DE7" w:rsidRPr="00151E80" w:rsidRDefault="00502DE7" w:rsidP="00872115">
      <w:pPr>
        <w:ind w:firstLine="708"/>
      </w:pPr>
      <w:r w:rsidRPr="00151E80">
        <w:t>Персонал, який працює з препаратом, повинен дотримуватись основних правил гігієни та безпеки, прийнятих при роботі з ветеринарними препаратами. Уникати контактів препарату зі шкірою та слизовими оболонками, користуючись при роботі індивідуальними засобами захисту.</w:t>
      </w:r>
    </w:p>
    <w:p w:rsidR="00502DE7" w:rsidRPr="00151E80" w:rsidRDefault="00502DE7" w:rsidP="00872115">
      <w:pPr>
        <w:rPr>
          <w:b/>
        </w:rPr>
      </w:pPr>
      <w:r w:rsidRPr="00151E80">
        <w:rPr>
          <w:b/>
        </w:rPr>
        <w:t>6. ФАРМАЦЕВТИЧНІ ОСОБЛИВОСТІ</w:t>
      </w:r>
    </w:p>
    <w:p w:rsidR="00502DE7" w:rsidRPr="00151E80" w:rsidRDefault="00502DE7" w:rsidP="00872115">
      <w:pPr>
        <w:rPr>
          <w:b/>
        </w:rPr>
      </w:pPr>
      <w:r w:rsidRPr="00151E80">
        <w:rPr>
          <w:b/>
        </w:rPr>
        <w:t>6.1. Форми несумісності</w:t>
      </w:r>
    </w:p>
    <w:p w:rsidR="00502DE7" w:rsidRPr="00151E80" w:rsidRDefault="00502DE7" w:rsidP="005F3AA6">
      <w:r w:rsidRPr="00151E80">
        <w:t>Не виявлено.</w:t>
      </w:r>
    </w:p>
    <w:p w:rsidR="00502DE7" w:rsidRPr="00151E80" w:rsidRDefault="00502DE7" w:rsidP="00872115">
      <w:pPr>
        <w:rPr>
          <w:b/>
        </w:rPr>
      </w:pPr>
      <w:r w:rsidRPr="00151E80">
        <w:rPr>
          <w:b/>
        </w:rPr>
        <w:t>6.2. Термін придатності</w:t>
      </w:r>
    </w:p>
    <w:p w:rsidR="00502DE7" w:rsidRPr="00151E80" w:rsidRDefault="00502DE7" w:rsidP="005F3AA6">
      <w:r w:rsidRPr="00151E80">
        <w:t>2 роки від дати виготовлення препарату.</w:t>
      </w:r>
    </w:p>
    <w:p w:rsidR="00502DE7" w:rsidRPr="00151E80" w:rsidRDefault="00502DE7" w:rsidP="00872115">
      <w:pPr>
        <w:rPr>
          <w:b/>
        </w:rPr>
      </w:pPr>
      <w:r w:rsidRPr="00151E80">
        <w:rPr>
          <w:b/>
        </w:rPr>
        <w:t xml:space="preserve">6.3. Особливі заходи зберігання </w:t>
      </w:r>
    </w:p>
    <w:p w:rsidR="00502DE7" w:rsidRPr="00151E80" w:rsidRDefault="00502DE7" w:rsidP="005F3AA6">
      <w:r w:rsidRPr="00151E80">
        <w:t xml:space="preserve">Зберігати у сухому захищеному від світла місці при температурі від </w:t>
      </w:r>
      <w:r w:rsidRPr="00151E80">
        <w:rPr>
          <w:lang w:val="ru-RU"/>
        </w:rPr>
        <w:t>5</w:t>
      </w:r>
      <w:r w:rsidRPr="00151E80">
        <w:t xml:space="preserve"> до </w:t>
      </w:r>
      <w:r w:rsidRPr="00151E80">
        <w:rPr>
          <w:lang w:val="ru-RU"/>
        </w:rPr>
        <w:t>25</w:t>
      </w:r>
      <w:r w:rsidR="005F3AA6" w:rsidRPr="00151E80">
        <w:rPr>
          <w:lang w:val="ru-RU"/>
        </w:rPr>
        <w:t xml:space="preserve"> </w:t>
      </w:r>
      <w:r w:rsidR="005F3AA6" w:rsidRPr="00151E80">
        <w:rPr>
          <w:vertAlign w:val="superscript"/>
          <w:lang w:val="ru-RU"/>
        </w:rPr>
        <w:t>0</w:t>
      </w:r>
      <w:r w:rsidR="005F3AA6" w:rsidRPr="00151E80">
        <w:rPr>
          <w:lang w:val="ru-RU"/>
        </w:rPr>
        <w:t>С</w:t>
      </w:r>
      <w:r w:rsidRPr="00151E80">
        <w:t>.</w:t>
      </w:r>
    </w:p>
    <w:p w:rsidR="00502DE7" w:rsidRPr="00151E80" w:rsidRDefault="00502DE7" w:rsidP="00872115">
      <w:pPr>
        <w:rPr>
          <w:b/>
        </w:rPr>
      </w:pPr>
      <w:r w:rsidRPr="00151E80">
        <w:rPr>
          <w:b/>
        </w:rPr>
        <w:t>6.4. Природа і склад контейнера первинного упакування</w:t>
      </w:r>
    </w:p>
    <w:p w:rsidR="00502DE7" w:rsidRPr="00151E80" w:rsidRDefault="00502DE7" w:rsidP="005F3AA6">
      <w:r w:rsidRPr="00151E80">
        <w:t>Скляні флакони, закриті гумовим</w:t>
      </w:r>
      <w:r w:rsidR="00EA53B5" w:rsidRPr="00151E80">
        <w:t>и</w:t>
      </w:r>
      <w:r w:rsidRPr="00151E80">
        <w:t xml:space="preserve"> корк</w:t>
      </w:r>
      <w:r w:rsidR="00EA53B5" w:rsidRPr="00151E80">
        <w:t>а</w:t>
      </w:r>
      <w:r w:rsidRPr="00151E80">
        <w:t>м</w:t>
      </w:r>
      <w:r w:rsidR="00EA53B5" w:rsidRPr="00151E80">
        <w:t>и</w:t>
      </w:r>
      <w:r w:rsidRPr="00151E80">
        <w:t xml:space="preserve"> під алюмінієв</w:t>
      </w:r>
      <w:r w:rsidR="00EA53B5" w:rsidRPr="00151E80">
        <w:t>ими</w:t>
      </w:r>
      <w:r w:rsidRPr="00151E80">
        <w:t xml:space="preserve"> обкатк</w:t>
      </w:r>
      <w:r w:rsidR="00EA53B5" w:rsidRPr="00151E80">
        <w:t>ами, об’ємом 10 або 50 мл</w:t>
      </w:r>
      <w:r w:rsidRPr="00151E80">
        <w:t>.</w:t>
      </w:r>
    </w:p>
    <w:p w:rsidR="00502DE7" w:rsidRPr="00151E80" w:rsidRDefault="00502DE7" w:rsidP="00872115">
      <w:pPr>
        <w:rPr>
          <w:b/>
        </w:rPr>
      </w:pPr>
      <w:r w:rsidRPr="00151E80">
        <w:rPr>
          <w:b/>
        </w:rPr>
        <w:t>6.5. Особливі заходи безпеки при поводженні з невикористаним засобом або його залишками</w:t>
      </w:r>
    </w:p>
    <w:p w:rsidR="00502DE7" w:rsidRPr="00151E80" w:rsidRDefault="00EA53B5" w:rsidP="00872115">
      <w:pPr>
        <w:ind w:firstLine="708"/>
      </w:pPr>
      <w:r w:rsidRPr="00151E80">
        <w:lastRenderedPageBreak/>
        <w:t>Залишки препарату, тару утилізувати відповідно до вимог чинного законодавства.</w:t>
      </w:r>
    </w:p>
    <w:p w:rsidR="00502DE7" w:rsidRPr="00151E80" w:rsidRDefault="00502DE7" w:rsidP="00872115">
      <w:pPr>
        <w:rPr>
          <w:b/>
        </w:rPr>
      </w:pPr>
      <w:r w:rsidRPr="00151E80">
        <w:rPr>
          <w:b/>
        </w:rPr>
        <w:t>7. Назва та місцезнаходження власника реєстраційного посвідчення.</w:t>
      </w:r>
    </w:p>
    <w:p w:rsidR="00502DE7" w:rsidRPr="00151E80" w:rsidRDefault="00502DE7" w:rsidP="00872115">
      <w:pPr>
        <w:ind w:firstLine="708"/>
      </w:pPr>
      <w:r w:rsidRPr="00151E80">
        <w:t>ПрАТ «РЕАГЕНТ», м. Дніпро,  вул. Ударників, 27, 49019 Україна.</w:t>
      </w:r>
    </w:p>
    <w:p w:rsidR="00502DE7" w:rsidRPr="00151E80" w:rsidRDefault="00502DE7" w:rsidP="00872115">
      <w:pPr>
        <w:rPr>
          <w:b/>
        </w:rPr>
      </w:pPr>
      <w:r w:rsidRPr="00151E80">
        <w:rPr>
          <w:b/>
        </w:rPr>
        <w:t>8. Назва та місцезнаходження виробника.</w:t>
      </w:r>
    </w:p>
    <w:p w:rsidR="00502DE7" w:rsidRDefault="00502DE7" w:rsidP="00872115">
      <w:pPr>
        <w:ind w:firstLine="708"/>
      </w:pPr>
      <w:r w:rsidRPr="00151E80">
        <w:t>ПрАТ «РЕАГЕНТ», м. Дніпро, вул. Ударників, 27, 49019 Україна.</w:t>
      </w:r>
      <w:bookmarkStart w:id="1" w:name="_GoBack"/>
      <w:bookmarkEnd w:id="1"/>
    </w:p>
    <w:p w:rsidR="00502DE7" w:rsidRDefault="00502DE7" w:rsidP="00872115">
      <w:pPr>
        <w:ind w:firstLine="708"/>
      </w:pPr>
    </w:p>
    <w:p w:rsidR="0029562D" w:rsidRDefault="0029562D" w:rsidP="00872115"/>
    <w:sectPr w:rsidR="0029562D" w:rsidSect="00457B63">
      <w:footerReference w:type="default" r:id="rId6"/>
      <w:pgSz w:w="11906" w:h="16838"/>
      <w:pgMar w:top="709" w:right="707" w:bottom="709" w:left="1276" w:header="708" w:footer="220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212" w:rsidRDefault="00773212" w:rsidP="00457B63">
      <w:r>
        <w:separator/>
      </w:r>
    </w:p>
  </w:endnote>
  <w:endnote w:type="continuationSeparator" w:id="0">
    <w:p w:rsidR="00773212" w:rsidRDefault="00773212" w:rsidP="00457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791542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457B63" w:rsidRPr="00457B63" w:rsidRDefault="00457B63">
        <w:pPr>
          <w:pStyle w:val="a5"/>
          <w:jc w:val="right"/>
          <w:rPr>
            <w:sz w:val="24"/>
            <w:szCs w:val="24"/>
          </w:rPr>
        </w:pPr>
        <w:r w:rsidRPr="00457B63">
          <w:rPr>
            <w:sz w:val="24"/>
            <w:szCs w:val="24"/>
          </w:rPr>
          <w:fldChar w:fldCharType="begin"/>
        </w:r>
        <w:r w:rsidRPr="00457B63">
          <w:rPr>
            <w:sz w:val="24"/>
            <w:szCs w:val="24"/>
          </w:rPr>
          <w:instrText>PAGE   \* MERGEFORMAT</w:instrText>
        </w:r>
        <w:r w:rsidRPr="00457B63">
          <w:rPr>
            <w:sz w:val="24"/>
            <w:szCs w:val="24"/>
          </w:rPr>
          <w:fldChar w:fldCharType="separate"/>
        </w:r>
        <w:r w:rsidR="00151E80" w:rsidRPr="00151E80">
          <w:rPr>
            <w:noProof/>
            <w:sz w:val="24"/>
            <w:szCs w:val="24"/>
            <w:lang w:val="ru-RU"/>
          </w:rPr>
          <w:t>11</w:t>
        </w:r>
        <w:r w:rsidRPr="00457B63">
          <w:rPr>
            <w:sz w:val="24"/>
            <w:szCs w:val="24"/>
          </w:rPr>
          <w:fldChar w:fldCharType="end"/>
        </w:r>
      </w:p>
    </w:sdtContent>
  </w:sdt>
  <w:p w:rsidR="00457B63" w:rsidRDefault="00457B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212" w:rsidRDefault="00773212" w:rsidP="00457B63">
      <w:r>
        <w:separator/>
      </w:r>
    </w:p>
  </w:footnote>
  <w:footnote w:type="continuationSeparator" w:id="0">
    <w:p w:rsidR="00773212" w:rsidRDefault="00773212" w:rsidP="00457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DE7"/>
    <w:rsid w:val="00151E80"/>
    <w:rsid w:val="0029513B"/>
    <w:rsid w:val="0029562D"/>
    <w:rsid w:val="002B0D2C"/>
    <w:rsid w:val="00457B63"/>
    <w:rsid w:val="00502DE7"/>
    <w:rsid w:val="00577A5A"/>
    <w:rsid w:val="005F3AA6"/>
    <w:rsid w:val="00773212"/>
    <w:rsid w:val="00872115"/>
    <w:rsid w:val="00E93809"/>
    <w:rsid w:val="00EA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1B79CD-7BE9-496F-90D4-09B51638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DE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B63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457B63"/>
    <w:rPr>
      <w:rFonts w:ascii="Times New Roman" w:eastAsia="Times New Roman" w:hAnsi="Times New Roman" w:cs="Times New Roman"/>
      <w:sz w:val="28"/>
      <w:szCs w:val="28"/>
      <w:lang w:val="uk-UA" w:eastAsia="ar-SA"/>
    </w:rPr>
  </w:style>
  <w:style w:type="paragraph" w:styleId="a5">
    <w:name w:val="footer"/>
    <w:basedOn w:val="a"/>
    <w:link w:val="a6"/>
    <w:uiPriority w:val="99"/>
    <w:unhideWhenUsed/>
    <w:rsid w:val="00457B63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457B63"/>
    <w:rPr>
      <w:rFonts w:ascii="Times New Roman" w:eastAsia="Times New Roman" w:hAnsi="Times New Roman" w:cs="Times New Roman"/>
      <w:sz w:val="28"/>
      <w:szCs w:val="2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3075</Words>
  <Characters>1754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2024-04-18T06:28:00Z</dcterms:created>
  <dcterms:modified xsi:type="dcterms:W3CDTF">2025-05-14T14:45:00Z</dcterms:modified>
</cp:coreProperties>
</file>