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6F09" w14:textId="77777777" w:rsidR="002B5CB2" w:rsidRPr="002B5CB2" w:rsidRDefault="002B5CB2" w:rsidP="002B5CB2">
      <w:pPr>
        <w:keepNext/>
        <w:ind w:firstLine="425"/>
        <w:contextualSpacing/>
        <w:jc w:val="center"/>
        <w:outlineLvl w:val="0"/>
        <w:rPr>
          <w:b/>
          <w:bCs/>
          <w:lang w:val="uk-UA"/>
        </w:rPr>
      </w:pPr>
      <w:bookmarkStart w:id="0" w:name="_Toc446058185"/>
      <w:bookmarkStart w:id="1" w:name="_Toc454538982"/>
      <w:bookmarkStart w:id="2" w:name="_Toc95132216"/>
      <w:bookmarkStart w:id="3" w:name="_Toc127976410"/>
      <w:r w:rsidRPr="002B5CB2">
        <w:rPr>
          <w:b/>
          <w:bCs/>
        </w:rPr>
        <w:t>Коротка характеристика препарату</w:t>
      </w:r>
      <w:bookmarkEnd w:id="0"/>
      <w:bookmarkEnd w:id="1"/>
      <w:bookmarkEnd w:id="2"/>
      <w:bookmarkEnd w:id="3"/>
    </w:p>
    <w:p w14:paraId="47C6A56E" w14:textId="77777777" w:rsidR="002B5CB2" w:rsidRPr="002B5CB2" w:rsidRDefault="002B5CB2" w:rsidP="002B5CB2">
      <w:pPr>
        <w:widowControl w:val="0"/>
        <w:ind w:firstLine="425"/>
        <w:contextualSpacing/>
        <w:jc w:val="both"/>
        <w:outlineLvl w:val="0"/>
        <w:rPr>
          <w:b/>
          <w:bCs/>
          <w:lang w:val="uk-UA"/>
        </w:rPr>
      </w:pPr>
    </w:p>
    <w:p w14:paraId="2AC53BCA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1. Назва</w:t>
      </w:r>
    </w:p>
    <w:p w14:paraId="6B936B27" w14:textId="77777777" w:rsidR="002B5CB2" w:rsidRPr="002B5CB2" w:rsidRDefault="002B5CB2" w:rsidP="002B5CB2">
      <w:pPr>
        <w:ind w:firstLine="425"/>
        <w:contextualSpacing/>
        <w:jc w:val="both"/>
        <w:rPr>
          <w:rFonts w:eastAsiaTheme="minorHAnsi"/>
          <w:noProof/>
          <w:lang w:val="uk-UA" w:eastAsia="uk-UA"/>
        </w:rPr>
      </w:pPr>
      <w:r w:rsidRPr="002B5CB2">
        <w:rPr>
          <w:rFonts w:eastAsiaTheme="minorHAnsi"/>
          <w:noProof/>
          <w:lang w:val="uk-UA" w:eastAsia="uk-UA"/>
        </w:rPr>
        <w:t>ЕНРОКСАН МАКС</w:t>
      </w:r>
    </w:p>
    <w:p w14:paraId="1182AEE8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2. Склад</w:t>
      </w:r>
    </w:p>
    <w:p w14:paraId="5D7CB7F2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1 мл препарату містить діючу речовину:</w:t>
      </w:r>
    </w:p>
    <w:p w14:paraId="14A9AB90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енрофлоксацин – 100 мг.</w:t>
      </w:r>
    </w:p>
    <w:p w14:paraId="4C277553" w14:textId="77777777" w:rsidR="002B5CB2" w:rsidRPr="002B5CB2" w:rsidRDefault="002B5CB2" w:rsidP="002B5CB2">
      <w:pPr>
        <w:ind w:firstLine="425"/>
        <w:contextualSpacing/>
        <w:jc w:val="both"/>
        <w:rPr>
          <w:rFonts w:eastAsiaTheme="minorHAnsi"/>
          <w:noProof/>
          <w:kern w:val="1"/>
          <w:lang w:val="uk-UA" w:eastAsia="ar-SA"/>
        </w:rPr>
      </w:pPr>
      <w:r w:rsidRPr="002B5CB2">
        <w:rPr>
          <w:rFonts w:eastAsiaTheme="minorHAnsi"/>
          <w:noProof/>
          <w:lang w:val="uk-UA" w:eastAsia="uk-UA"/>
        </w:rPr>
        <w:t>Допоміжні речовини: спирт бензиловий, бутилгідрокситолуол, бутилгідроксианізол, пропіленгліколь дікаприлат/дікапрат.</w:t>
      </w:r>
    </w:p>
    <w:p w14:paraId="20CCCBF8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3. Фармацевтична форма</w:t>
      </w:r>
    </w:p>
    <w:p w14:paraId="6BB9A243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Суспензія для ін’єкцій.</w:t>
      </w:r>
    </w:p>
    <w:p w14:paraId="4B92D4E2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 xml:space="preserve">4. Фармакологічні властивості </w:t>
      </w:r>
    </w:p>
    <w:p w14:paraId="5AFDB558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="Calibri"/>
          <w:i/>
          <w:noProof/>
          <w:lang w:val="uk-UA" w:eastAsia="uk-UA"/>
        </w:rPr>
      </w:pPr>
      <w:r w:rsidRPr="002B5CB2">
        <w:rPr>
          <w:rFonts w:eastAsiaTheme="minorHAnsi"/>
          <w:i/>
          <w:noProof/>
          <w:lang w:val="uk-UA" w:eastAsia="uk-UA"/>
        </w:rPr>
        <w:t xml:space="preserve">АТС vet класифікаційний код QJ01 – антибактеріальні ветеринарні препарати для системного застосування. </w:t>
      </w:r>
      <w:r w:rsidRPr="002B5CB2">
        <w:rPr>
          <w:rFonts w:eastAsia="Calibri"/>
          <w:i/>
          <w:noProof/>
          <w:lang w:val="uk-UA" w:eastAsia="uk-UA"/>
        </w:rPr>
        <w:t>QJ01MA90 – Енрофлоксацин.</w:t>
      </w:r>
    </w:p>
    <w:p w14:paraId="5222E99A" w14:textId="77777777" w:rsidR="002B5CB2" w:rsidRPr="002B5CB2" w:rsidRDefault="002B5CB2" w:rsidP="002B5CB2">
      <w:pPr>
        <w:ind w:firstLine="425"/>
        <w:contextualSpacing/>
        <w:jc w:val="both"/>
        <w:rPr>
          <w:rFonts w:eastAsiaTheme="minorHAnsi"/>
          <w:bCs/>
          <w:i/>
          <w:iCs/>
          <w:noProof/>
          <w:lang w:val="uk-UA" w:eastAsia="en-US"/>
        </w:rPr>
      </w:pPr>
      <w:r w:rsidRPr="002B5CB2">
        <w:rPr>
          <w:rFonts w:eastAsiaTheme="minorHAnsi"/>
          <w:noProof/>
          <w:lang w:val="uk-UA" w:eastAsia="uk-UA"/>
        </w:rPr>
        <w:t xml:space="preserve">Енрофлоксацин належить до хімічного класу фторхінолонів. Він пригнічує синтез бактеріальної ДНК-гірази в ядрах клітин мікроорганізмів. Енрофлоксацин діє бактерицидно проти грампозитивних </w:t>
      </w:r>
      <w:r w:rsidRPr="002B5CB2">
        <w:rPr>
          <w:rFonts w:eastAsiaTheme="minorHAnsi"/>
          <w:i/>
          <w:iCs/>
          <w:noProof/>
          <w:lang w:val="uk-UA" w:eastAsia="uk-UA"/>
        </w:rPr>
        <w:t>(Staphylococcus aureus,</w:t>
      </w:r>
      <w:r w:rsidRPr="002B5CB2">
        <w:rPr>
          <w:rFonts w:eastAsiaTheme="minorHAnsi"/>
          <w:i/>
          <w:noProof/>
          <w:lang w:val="uk-UA" w:eastAsia="uk-UA"/>
        </w:rPr>
        <w:t xml:space="preserve"> Streptococcus spp., Clostridium perfringens</w:t>
      </w:r>
      <w:r w:rsidRPr="002B5CB2">
        <w:rPr>
          <w:rFonts w:eastAsiaTheme="minorHAnsi"/>
          <w:i/>
          <w:noProof/>
          <w:color w:val="333333"/>
          <w:lang w:val="uk-UA" w:eastAsia="en-US"/>
        </w:rPr>
        <w:t xml:space="preserve">, </w:t>
      </w:r>
      <w:r w:rsidRPr="002B5CB2">
        <w:rPr>
          <w:rFonts w:eastAsiaTheme="minorHAnsi"/>
          <w:i/>
          <w:noProof/>
          <w:color w:val="333333"/>
          <w:lang w:val="en-US" w:eastAsia="en-US"/>
        </w:rPr>
        <w:t>Corynebacterum</w:t>
      </w:r>
      <w:r w:rsidRPr="002B5CB2">
        <w:rPr>
          <w:rFonts w:eastAsiaTheme="minorHAnsi"/>
          <w:i/>
          <w:noProof/>
          <w:color w:val="333333"/>
          <w:lang w:val="uk-UA" w:eastAsia="en-US"/>
        </w:rPr>
        <w:t xml:space="preserve"> </w:t>
      </w:r>
      <w:r w:rsidRPr="002B5CB2">
        <w:rPr>
          <w:rFonts w:eastAsiaTheme="minorHAnsi"/>
          <w:i/>
          <w:noProof/>
          <w:color w:val="333333"/>
          <w:lang w:val="en-US" w:eastAsia="en-US"/>
        </w:rPr>
        <w:t>pyogenes</w:t>
      </w:r>
      <w:r w:rsidRPr="002B5CB2">
        <w:rPr>
          <w:rFonts w:eastAsiaTheme="minorHAnsi"/>
          <w:i/>
          <w:iCs/>
          <w:noProof/>
          <w:lang w:val="uk-UA" w:eastAsia="uk-UA"/>
        </w:rPr>
        <w:t xml:space="preserve">) </w:t>
      </w:r>
      <w:r w:rsidRPr="002B5CB2">
        <w:rPr>
          <w:rFonts w:eastAsiaTheme="minorHAnsi"/>
          <w:iCs/>
          <w:noProof/>
          <w:lang w:val="uk-UA" w:eastAsia="uk-UA"/>
        </w:rPr>
        <w:t>та</w:t>
      </w:r>
      <w:r w:rsidRPr="002B5CB2">
        <w:rPr>
          <w:rFonts w:eastAsiaTheme="minorHAnsi"/>
          <w:i/>
          <w:iCs/>
          <w:noProof/>
          <w:lang w:val="uk-UA" w:eastAsia="uk-UA"/>
        </w:rPr>
        <w:t xml:space="preserve"> </w:t>
      </w:r>
      <w:r w:rsidRPr="002B5CB2">
        <w:rPr>
          <w:rFonts w:eastAsiaTheme="minorHAnsi"/>
          <w:noProof/>
          <w:lang w:val="uk-UA" w:eastAsia="uk-UA"/>
        </w:rPr>
        <w:t xml:space="preserve">грамнегативних мікроорганізмів </w:t>
      </w:r>
      <w:r w:rsidRPr="002B5CB2">
        <w:rPr>
          <w:rFonts w:eastAsiaTheme="minorHAnsi"/>
          <w:i/>
          <w:iCs/>
          <w:noProof/>
          <w:lang w:val="uk-UA" w:eastAsia="uk-UA"/>
        </w:rPr>
        <w:t xml:space="preserve">(Enterobacteriaceae, </w:t>
      </w:r>
      <w:r w:rsidRPr="002B5CB2">
        <w:rPr>
          <w:rFonts w:eastAsiaTheme="minorHAnsi"/>
          <w:iCs/>
          <w:noProof/>
          <w:lang w:val="uk-UA" w:eastAsia="uk-UA"/>
        </w:rPr>
        <w:t>включно</w:t>
      </w:r>
      <w:r w:rsidRPr="002B5CB2">
        <w:rPr>
          <w:rFonts w:eastAsiaTheme="minorHAnsi"/>
          <w:i/>
          <w:iCs/>
          <w:noProof/>
          <w:lang w:val="uk-UA" w:eastAsia="uk-UA"/>
        </w:rPr>
        <w:t xml:space="preserve"> Salmonella spp., Pasteurella spp.,</w:t>
      </w:r>
      <w:r w:rsidRPr="002B5CB2">
        <w:rPr>
          <w:rFonts w:eastAsiaTheme="minorHAnsi"/>
          <w:i/>
          <w:noProof/>
          <w:lang w:val="uk-UA" w:eastAsia="en-US"/>
        </w:rPr>
        <w:t xml:space="preserve"> </w:t>
      </w:r>
      <w:r w:rsidRPr="002B5CB2">
        <w:rPr>
          <w:rFonts w:eastAsiaTheme="minorHAnsi"/>
          <w:i/>
          <w:noProof/>
          <w:lang w:val="en-US" w:eastAsia="en-US"/>
        </w:rPr>
        <w:t>Escherichia</w:t>
      </w:r>
      <w:r w:rsidRPr="002B5CB2">
        <w:rPr>
          <w:rFonts w:eastAsiaTheme="minorHAnsi"/>
          <w:i/>
          <w:noProof/>
          <w:lang w:val="uk-UA" w:eastAsia="en-US"/>
        </w:rPr>
        <w:t xml:space="preserve"> </w:t>
      </w:r>
      <w:r w:rsidRPr="002B5CB2">
        <w:rPr>
          <w:rFonts w:eastAsiaTheme="minorHAnsi"/>
          <w:i/>
          <w:noProof/>
          <w:lang w:val="en-US" w:eastAsia="en-US"/>
        </w:rPr>
        <w:t>coli</w:t>
      </w:r>
      <w:r w:rsidRPr="002B5CB2">
        <w:rPr>
          <w:rFonts w:eastAsiaTheme="minorHAnsi"/>
          <w:i/>
          <w:noProof/>
          <w:lang w:val="uk-UA" w:eastAsia="en-US"/>
        </w:rPr>
        <w:t xml:space="preserve">, </w:t>
      </w:r>
      <w:r w:rsidRPr="002B5CB2">
        <w:rPr>
          <w:rFonts w:eastAsiaTheme="minorHAnsi"/>
          <w:i/>
          <w:noProof/>
          <w:lang w:val="en-US" w:eastAsia="en-US"/>
        </w:rPr>
        <w:t>Klebsiella</w:t>
      </w:r>
      <w:r w:rsidRPr="002B5CB2">
        <w:rPr>
          <w:rFonts w:eastAsiaTheme="minorHAnsi"/>
          <w:i/>
          <w:noProof/>
          <w:lang w:val="uk-UA" w:eastAsia="en-US"/>
        </w:rPr>
        <w:t xml:space="preserve"> </w:t>
      </w:r>
      <w:r w:rsidRPr="002B5CB2">
        <w:rPr>
          <w:rFonts w:eastAsiaTheme="minorHAnsi"/>
          <w:i/>
          <w:noProof/>
          <w:lang w:val="en-US" w:eastAsia="en-US"/>
        </w:rPr>
        <w:t>spp</w:t>
      </w:r>
      <w:r w:rsidRPr="002B5CB2">
        <w:rPr>
          <w:rFonts w:eastAsiaTheme="minorHAnsi"/>
          <w:i/>
          <w:noProof/>
          <w:lang w:val="uk-UA" w:eastAsia="en-US"/>
        </w:rPr>
        <w:t xml:space="preserve">., </w:t>
      </w:r>
      <w:r w:rsidRPr="002B5CB2">
        <w:rPr>
          <w:rFonts w:eastAsiaTheme="minorHAnsi"/>
          <w:i/>
          <w:noProof/>
          <w:lang w:val="en-US" w:eastAsia="en-US"/>
        </w:rPr>
        <w:t>Proteus</w:t>
      </w:r>
      <w:r w:rsidRPr="002B5CB2">
        <w:rPr>
          <w:rFonts w:eastAsiaTheme="minorHAnsi"/>
          <w:i/>
          <w:noProof/>
          <w:lang w:val="uk-UA" w:eastAsia="en-US"/>
        </w:rPr>
        <w:t xml:space="preserve"> </w:t>
      </w:r>
      <w:r w:rsidRPr="002B5CB2">
        <w:rPr>
          <w:rFonts w:eastAsiaTheme="minorHAnsi"/>
          <w:i/>
          <w:noProof/>
          <w:lang w:val="en-US" w:eastAsia="en-US"/>
        </w:rPr>
        <w:t>spp</w:t>
      </w:r>
      <w:r w:rsidRPr="002B5CB2">
        <w:rPr>
          <w:rFonts w:eastAsiaTheme="minorHAnsi"/>
          <w:i/>
          <w:noProof/>
          <w:lang w:val="uk-UA" w:eastAsia="en-US"/>
        </w:rPr>
        <w:t>.,</w:t>
      </w:r>
      <w:r w:rsidRPr="002B5CB2">
        <w:rPr>
          <w:rFonts w:eastAsiaTheme="minorHAnsi"/>
          <w:i/>
          <w:iCs/>
          <w:noProof/>
          <w:lang w:val="uk-UA" w:eastAsia="uk-UA"/>
        </w:rPr>
        <w:t xml:space="preserve"> Haemophilus spp., Actinobacillus spp., Brucella spp., Bordetella bronchiseptica, Pseudomonas aeruginosa, Pasteurella spp.,</w:t>
      </w:r>
      <w:r w:rsidRPr="002B5CB2">
        <w:rPr>
          <w:rFonts w:eastAsiaTheme="minorHAnsi"/>
          <w:noProof/>
          <w:lang w:val="uk-UA" w:eastAsia="uk-UA"/>
        </w:rPr>
        <w:t xml:space="preserve"> та інші), а також діє проти мікоплазм (</w:t>
      </w:r>
      <w:r w:rsidRPr="002B5CB2">
        <w:rPr>
          <w:rFonts w:eastAsiaTheme="minorHAnsi"/>
          <w:i/>
          <w:iCs/>
          <w:noProof/>
          <w:lang w:val="uk-UA" w:eastAsia="uk-UA"/>
        </w:rPr>
        <w:t>Mycoplasma spp.)</w:t>
      </w:r>
      <w:r w:rsidRPr="002B5CB2">
        <w:rPr>
          <w:rFonts w:eastAsiaTheme="minorHAnsi"/>
          <w:noProof/>
          <w:lang w:val="uk-UA" w:eastAsia="uk-UA"/>
        </w:rPr>
        <w:t xml:space="preserve"> та хламідій (</w:t>
      </w:r>
      <w:r w:rsidRPr="002B5CB2">
        <w:rPr>
          <w:rFonts w:eastAsiaTheme="minorHAnsi"/>
          <w:bCs/>
          <w:i/>
          <w:iCs/>
          <w:noProof/>
          <w:lang w:val="uk-UA" w:eastAsia="en-US"/>
        </w:rPr>
        <w:t xml:space="preserve">Chlamydia spp.). </w:t>
      </w:r>
    </w:p>
    <w:p w14:paraId="2068A3B8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uk-UA"/>
        </w:rPr>
      </w:pPr>
      <w:r w:rsidRPr="002B5CB2">
        <w:rPr>
          <w:rFonts w:eastAsiaTheme="minorHAnsi"/>
          <w:noProof/>
          <w:lang w:val="uk-UA" w:eastAsia="uk-UA"/>
        </w:rPr>
        <w:t>Після підшкірного та внутрішньом’язового введення енрофлоксацин дуже швидко абсорбується завдяки високій біодоступності. Його максимальна концентрація в крові досягається у середньому через 6 год., терапевтична концентрація підтримується протягом 2-х діб. Енрофлоксацин частково метаболізується в печінці і виводиться з організму з сечею і жовчю.</w:t>
      </w:r>
    </w:p>
    <w:p w14:paraId="695D9D76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Енрофлоксацин має високий рівень розподілу. Так, його концентрації в тканинах та органах зазвичай значно вищі ніж у сироватці крові. Органи, в яких може спостерігатися найбільша концентрація, це – легені, печінка, нирки, кишечник та м’язова тканина.</w:t>
      </w:r>
    </w:p>
    <w:p w14:paraId="476EACFB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5. Клінічні особливості</w:t>
      </w:r>
    </w:p>
    <w:p w14:paraId="7BEEEF59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5.1 Вид тварин</w:t>
      </w:r>
    </w:p>
    <w:p w14:paraId="18612531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eastAsia="en-US"/>
        </w:rPr>
      </w:pPr>
      <w:r w:rsidRPr="002B5CB2">
        <w:rPr>
          <w:rFonts w:eastAsiaTheme="minorHAnsi"/>
          <w:noProof/>
          <w:snapToGrid w:val="0"/>
          <w:lang w:val="uk-UA" w:eastAsia="en-US"/>
        </w:rPr>
        <w:t>Велика рогата худоба, свині</w:t>
      </w:r>
      <w:r w:rsidRPr="002B5CB2">
        <w:rPr>
          <w:rFonts w:eastAsiaTheme="minorHAnsi"/>
          <w:noProof/>
          <w:snapToGrid w:val="0"/>
          <w:lang w:eastAsia="en-US"/>
        </w:rPr>
        <w:t>.</w:t>
      </w:r>
    </w:p>
    <w:p w14:paraId="61DC8604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5.2 Показання до застосування</w:t>
      </w:r>
    </w:p>
    <w:p w14:paraId="640E30A7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 xml:space="preserve">Велика рогата худоба: лікування тварин при захворюваннях органів дихання, що спричинені </w:t>
      </w:r>
      <w:r w:rsidRPr="002B5CB2">
        <w:rPr>
          <w:rFonts w:eastAsiaTheme="minorHAnsi"/>
          <w:i/>
          <w:iCs/>
          <w:noProof/>
          <w:lang w:val="uk-UA" w:eastAsia="en-US"/>
        </w:rPr>
        <w:t>Mannheimia haemolytica,</w:t>
      </w:r>
      <w:r w:rsidRPr="002B5CB2">
        <w:rPr>
          <w:rFonts w:eastAsiaTheme="minorHAnsi"/>
          <w:i/>
          <w:noProof/>
          <w:lang w:eastAsia="en-US"/>
        </w:rPr>
        <w:t xml:space="preserve"> </w:t>
      </w:r>
      <w:r w:rsidRPr="002B5CB2">
        <w:rPr>
          <w:rFonts w:eastAsiaTheme="minorHAnsi"/>
          <w:i/>
          <w:noProof/>
          <w:lang w:val="en-US" w:eastAsia="en-US"/>
        </w:rPr>
        <w:t>Escherichia</w:t>
      </w:r>
      <w:r w:rsidRPr="002B5CB2">
        <w:rPr>
          <w:rFonts w:eastAsiaTheme="minorHAnsi"/>
          <w:i/>
          <w:noProof/>
          <w:lang w:eastAsia="en-US"/>
        </w:rPr>
        <w:t xml:space="preserve"> </w:t>
      </w:r>
      <w:r w:rsidRPr="002B5CB2">
        <w:rPr>
          <w:rFonts w:eastAsiaTheme="minorHAnsi"/>
          <w:i/>
          <w:noProof/>
          <w:lang w:val="en-US" w:eastAsia="en-US"/>
        </w:rPr>
        <w:t>coli</w:t>
      </w:r>
      <w:r w:rsidRPr="002B5CB2">
        <w:rPr>
          <w:rFonts w:eastAsiaTheme="minorHAnsi"/>
          <w:i/>
          <w:noProof/>
          <w:lang w:eastAsia="en-US"/>
        </w:rPr>
        <w:t>,</w:t>
      </w:r>
      <w:r w:rsidRPr="002B5CB2">
        <w:rPr>
          <w:rFonts w:eastAsiaTheme="minorHAnsi"/>
          <w:i/>
          <w:iCs/>
          <w:noProof/>
          <w:lang w:val="uk-UA" w:eastAsia="en-US"/>
        </w:rPr>
        <w:t xml:space="preserve"> Pasteurella multocida, Haemophilus somni</w:t>
      </w:r>
      <w:r w:rsidRPr="002B5CB2">
        <w:rPr>
          <w:rFonts w:eastAsiaTheme="minorHAnsi"/>
          <w:noProof/>
          <w:lang w:val="uk-UA" w:eastAsia="en-US"/>
        </w:rPr>
        <w:t xml:space="preserve"> та </w:t>
      </w:r>
      <w:r w:rsidRPr="002B5CB2">
        <w:rPr>
          <w:rFonts w:eastAsiaTheme="minorHAnsi"/>
          <w:i/>
          <w:iCs/>
          <w:noProof/>
          <w:lang w:val="uk-UA" w:eastAsia="en-US"/>
        </w:rPr>
        <w:t>Mycoplasma</w:t>
      </w:r>
      <w:r w:rsidRPr="002B5CB2">
        <w:rPr>
          <w:rFonts w:eastAsiaTheme="minorHAnsi"/>
          <w:i/>
          <w:iCs/>
          <w:noProof/>
          <w:lang w:val="uk-UA" w:eastAsia="uk-UA"/>
        </w:rPr>
        <w:t xml:space="preserve"> spp.</w:t>
      </w:r>
      <w:r w:rsidRPr="002B5CB2">
        <w:rPr>
          <w:rFonts w:eastAsiaTheme="minorHAnsi"/>
          <w:i/>
          <w:iCs/>
          <w:noProof/>
          <w:lang w:val="uk-UA" w:eastAsia="en-US"/>
        </w:rPr>
        <w:t xml:space="preserve"> </w:t>
      </w:r>
      <w:r w:rsidRPr="002B5CB2">
        <w:rPr>
          <w:rFonts w:eastAsiaTheme="minorHAnsi"/>
          <w:iCs/>
          <w:noProof/>
          <w:lang w:val="uk-UA" w:eastAsia="en-US"/>
        </w:rPr>
        <w:t>та іншими збудниками</w:t>
      </w:r>
      <w:r w:rsidRPr="002B5CB2">
        <w:rPr>
          <w:rFonts w:eastAsiaTheme="minorHAnsi"/>
          <w:noProof/>
          <w:lang w:val="uk-UA" w:eastAsia="en-US"/>
        </w:rPr>
        <w:t xml:space="preserve"> чутливими до енрофлоксацину. </w:t>
      </w:r>
    </w:p>
    <w:p w14:paraId="0F6D5169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 xml:space="preserve">Свині: лікування тварин, хворих на синдром мастит-метрит-агалактія, а також при захворюваннях органів дихання, які спричинені </w:t>
      </w:r>
      <w:r w:rsidRPr="002B5CB2">
        <w:rPr>
          <w:rFonts w:eastAsiaTheme="minorHAnsi"/>
          <w:i/>
          <w:iCs/>
          <w:noProof/>
          <w:lang w:val="uk-UA" w:eastAsia="en-US"/>
        </w:rPr>
        <w:t xml:space="preserve">Mycoplasma hyopneumoniae, Pasteurella multocida, Actinobacillus pleuropneumoniae, Haemophilus </w:t>
      </w:r>
      <w:r w:rsidRPr="002B5CB2">
        <w:rPr>
          <w:rFonts w:eastAsiaTheme="minorHAnsi"/>
          <w:i/>
          <w:noProof/>
          <w:color w:val="3B393C"/>
          <w:shd w:val="clear" w:color="auto" w:fill="FFFFFF"/>
          <w:lang w:val="en-US" w:eastAsia="en-US"/>
        </w:rPr>
        <w:t>somn</w:t>
      </w:r>
      <w:r w:rsidRPr="002B5CB2">
        <w:rPr>
          <w:rFonts w:eastAsiaTheme="minorHAnsi"/>
          <w:i/>
          <w:noProof/>
          <w:color w:val="3B393C"/>
          <w:shd w:val="clear" w:color="auto" w:fill="FFFFFF"/>
          <w:lang w:val="uk-UA" w:eastAsia="en-US"/>
        </w:rPr>
        <w:t>і</w:t>
      </w:r>
      <w:r w:rsidRPr="002B5CB2">
        <w:rPr>
          <w:rFonts w:eastAsiaTheme="minorHAnsi"/>
          <w:i/>
          <w:iCs/>
          <w:noProof/>
          <w:lang w:val="uk-UA" w:eastAsia="en-US"/>
        </w:rPr>
        <w:t>, Streptococcus suis, Bordetella bronchiseptica,</w:t>
      </w:r>
      <w:r w:rsidRPr="002B5CB2">
        <w:rPr>
          <w:rFonts w:eastAsiaTheme="minorHAnsi"/>
          <w:noProof/>
          <w:lang w:val="uk-UA" w:eastAsia="en-US"/>
        </w:rPr>
        <w:t xml:space="preserve"> чутливими до енрофлоксацину.</w:t>
      </w:r>
    </w:p>
    <w:p w14:paraId="6FD8DB58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5.3 Протипоказання</w:t>
      </w:r>
    </w:p>
    <w:p w14:paraId="6D63B3A1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uk-UA"/>
        </w:rPr>
      </w:pPr>
      <w:r w:rsidRPr="002B5CB2">
        <w:rPr>
          <w:rFonts w:eastAsiaTheme="minorHAnsi"/>
          <w:noProof/>
          <w:lang w:val="uk-UA" w:eastAsia="uk-UA"/>
        </w:rPr>
        <w:t>Не застосовувати тваринам із індивідуальною чутливістю до складових препарату.</w:t>
      </w:r>
    </w:p>
    <w:p w14:paraId="24EF20A6" w14:textId="77777777" w:rsidR="002B5CB2" w:rsidRPr="002B5CB2" w:rsidRDefault="002B5CB2" w:rsidP="002B5CB2">
      <w:pPr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Не застосовувати для нецільових тварин.</w:t>
      </w:r>
    </w:p>
    <w:p w14:paraId="04C44F35" w14:textId="77777777" w:rsidR="002B5CB2" w:rsidRPr="002B5CB2" w:rsidRDefault="002B5CB2" w:rsidP="002B5CB2">
      <w:pPr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Не застосовувати тваринам із порушенням розвитку хрящової та кісткової тканин, а також з ознаками захворювань центральної нервової системи та нирковою недостатністю.</w:t>
      </w:r>
    </w:p>
    <w:p w14:paraId="7A1F61FE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 xml:space="preserve">Не застосовувати одночасно з нестероїдними протизапальними засобами, антибіотиками групи макролідів, тетрациклінами та хлорамфеніколом, що містять </w:t>
      </w:r>
      <w:r w:rsidRPr="002B5CB2">
        <w:rPr>
          <w:rFonts w:eastAsiaTheme="minorHAnsi"/>
          <w:noProof/>
          <w:lang w:val="et-EE" w:eastAsia="en-US"/>
        </w:rPr>
        <w:t>катіони Fe</w:t>
      </w:r>
      <w:r w:rsidRPr="002B5CB2">
        <w:rPr>
          <w:rFonts w:eastAsiaTheme="minorHAnsi"/>
          <w:noProof/>
          <w:vertAlign w:val="superscript"/>
          <w:lang w:val="et-EE" w:eastAsia="en-US"/>
        </w:rPr>
        <w:t>3+</w:t>
      </w:r>
      <w:r w:rsidRPr="002B5CB2">
        <w:rPr>
          <w:rFonts w:eastAsiaTheme="minorHAnsi"/>
          <w:noProof/>
          <w:lang w:val="et-EE" w:eastAsia="en-US"/>
        </w:rPr>
        <w:t>, Са</w:t>
      </w:r>
      <w:r w:rsidRPr="002B5CB2">
        <w:rPr>
          <w:rFonts w:eastAsiaTheme="minorHAnsi"/>
          <w:noProof/>
          <w:vertAlign w:val="superscript"/>
          <w:lang w:val="et-EE" w:eastAsia="en-US"/>
        </w:rPr>
        <w:t>2+</w:t>
      </w:r>
      <w:r w:rsidRPr="002B5CB2">
        <w:rPr>
          <w:rFonts w:eastAsiaTheme="minorHAnsi"/>
          <w:noProof/>
          <w:lang w:val="et-EE" w:eastAsia="en-US"/>
        </w:rPr>
        <w:t>, Al</w:t>
      </w:r>
      <w:r w:rsidRPr="002B5CB2">
        <w:rPr>
          <w:rFonts w:eastAsiaTheme="minorHAnsi"/>
          <w:noProof/>
          <w:vertAlign w:val="superscript"/>
          <w:lang w:val="et-EE" w:eastAsia="en-US"/>
        </w:rPr>
        <w:t>+3</w:t>
      </w:r>
      <w:r w:rsidRPr="002B5CB2">
        <w:rPr>
          <w:rFonts w:eastAsiaTheme="minorHAnsi"/>
          <w:noProof/>
          <w:lang w:val="et-EE" w:eastAsia="en-US"/>
        </w:rPr>
        <w:t xml:space="preserve"> і Мg</w:t>
      </w:r>
      <w:r w:rsidRPr="002B5CB2">
        <w:rPr>
          <w:rFonts w:eastAsiaTheme="minorHAnsi"/>
          <w:noProof/>
          <w:vertAlign w:val="superscript"/>
          <w:lang w:val="et-EE" w:eastAsia="en-US"/>
        </w:rPr>
        <w:t>2+</w:t>
      </w:r>
      <w:r w:rsidRPr="002B5CB2">
        <w:rPr>
          <w:rFonts w:eastAsiaTheme="minorHAnsi"/>
          <w:noProof/>
          <w:lang w:val="uk-UA" w:eastAsia="en-US"/>
        </w:rPr>
        <w:t>, ненасиченими жирними кислотами та поліфосфатами.</w:t>
      </w:r>
    </w:p>
    <w:p w14:paraId="20FF40E4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Не застосовувати для профілактики.</w:t>
      </w:r>
    </w:p>
    <w:p w14:paraId="7B6928CA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Не застосовувати при виявленні стійких штамів патогенних бактерій, резистентних до хінолонів.</w:t>
      </w:r>
    </w:p>
    <w:p w14:paraId="0C4ED5E8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5.4 Побічна дія</w:t>
      </w:r>
    </w:p>
    <w:p w14:paraId="4770D6F5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 xml:space="preserve">При застосуванні за показаннями у рекомендованих дозах побічних явищ та ускладнень, як правило, не спостерігається. Фторхінолони можуть викликати атропатії і кульгавість у молодих </w:t>
      </w:r>
      <w:r w:rsidRPr="002B5CB2">
        <w:rPr>
          <w:rFonts w:eastAsiaTheme="minorHAnsi"/>
          <w:noProof/>
          <w:lang w:val="uk-UA" w:eastAsia="en-US"/>
        </w:rPr>
        <w:lastRenderedPageBreak/>
        <w:t xml:space="preserve">тварин, яка виникає внаслідок пошкодження суглобових хрящів. У місці ін’єкції може виникнути незначна припухлість, яка не потребує лікування. </w:t>
      </w:r>
    </w:p>
    <w:p w14:paraId="4EF35F40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5.5 Особливі застереження при використанні</w:t>
      </w:r>
    </w:p>
    <w:p w14:paraId="699A09D1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 xml:space="preserve">По можливості, фторхінолони слід застосовувати з врахуванням чутливості мікроорганізмів. </w:t>
      </w:r>
    </w:p>
    <w:p w14:paraId="55778286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Перед застосуванням препарату рекомендовано зробити тест на чутливість мікроорганізмів-збудників до енрофлоксацину.</w:t>
      </w:r>
    </w:p>
    <w:p w14:paraId="64D72239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Застосування препарату з порушенням рекомендацій, наведених в цій короткій характеристиці препарату, може призвести до збільшення кількості бактерій, резистентних до фторхінолонів, та зменшення ефективності лікування іншими фторхінолонами через наявність перехресної резистентності.</w:t>
      </w:r>
    </w:p>
    <w:p w14:paraId="2C48D2DA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5.6 Використання під час вагітності, лактації</w:t>
      </w:r>
    </w:p>
    <w:p w14:paraId="00CDCF7D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Безпечний при використанні під час вагітності та лактації.</w:t>
      </w:r>
    </w:p>
    <w:p w14:paraId="729D9D2A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5.7 Взаємодія з іншими засобами та інші форми взаємодії</w:t>
      </w:r>
    </w:p>
    <w:p w14:paraId="23A33B4A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 xml:space="preserve">Не застосовувати одночасно з нестероїдними протизапальними засобами, антибіотиками групи макролідів, тетрациклінами та хлорамфеніколом, препаратами, що містять </w:t>
      </w:r>
      <w:r w:rsidRPr="002B5CB2">
        <w:rPr>
          <w:rFonts w:eastAsiaTheme="minorHAnsi"/>
          <w:noProof/>
          <w:lang w:val="et-EE" w:eastAsia="en-US"/>
        </w:rPr>
        <w:t>катіони Fe</w:t>
      </w:r>
      <w:r w:rsidRPr="002B5CB2">
        <w:rPr>
          <w:rFonts w:eastAsiaTheme="minorHAnsi"/>
          <w:noProof/>
          <w:vertAlign w:val="superscript"/>
          <w:lang w:val="et-EE" w:eastAsia="en-US"/>
        </w:rPr>
        <w:t>3+</w:t>
      </w:r>
      <w:r w:rsidRPr="002B5CB2">
        <w:rPr>
          <w:rFonts w:eastAsiaTheme="minorHAnsi"/>
          <w:noProof/>
          <w:lang w:val="et-EE" w:eastAsia="en-US"/>
        </w:rPr>
        <w:t>, Са</w:t>
      </w:r>
      <w:r w:rsidRPr="002B5CB2">
        <w:rPr>
          <w:rFonts w:eastAsiaTheme="minorHAnsi"/>
          <w:noProof/>
          <w:vertAlign w:val="superscript"/>
          <w:lang w:val="et-EE" w:eastAsia="en-US"/>
        </w:rPr>
        <w:t>2+</w:t>
      </w:r>
      <w:r w:rsidRPr="002B5CB2">
        <w:rPr>
          <w:rFonts w:eastAsiaTheme="minorHAnsi"/>
          <w:noProof/>
          <w:lang w:val="et-EE" w:eastAsia="en-US"/>
        </w:rPr>
        <w:t>, Al</w:t>
      </w:r>
      <w:r w:rsidRPr="002B5CB2">
        <w:rPr>
          <w:rFonts w:eastAsiaTheme="minorHAnsi"/>
          <w:noProof/>
          <w:vertAlign w:val="superscript"/>
          <w:lang w:val="et-EE" w:eastAsia="en-US"/>
        </w:rPr>
        <w:t>+3</w:t>
      </w:r>
      <w:r w:rsidRPr="002B5CB2">
        <w:rPr>
          <w:rFonts w:eastAsiaTheme="minorHAnsi"/>
          <w:noProof/>
          <w:lang w:val="et-EE" w:eastAsia="en-US"/>
        </w:rPr>
        <w:t xml:space="preserve"> і Мg</w:t>
      </w:r>
      <w:r w:rsidRPr="002B5CB2">
        <w:rPr>
          <w:rFonts w:eastAsiaTheme="minorHAnsi"/>
          <w:noProof/>
          <w:vertAlign w:val="superscript"/>
          <w:lang w:val="et-EE" w:eastAsia="en-US"/>
        </w:rPr>
        <w:t>2+</w:t>
      </w:r>
      <w:r w:rsidRPr="002B5CB2">
        <w:rPr>
          <w:rFonts w:eastAsiaTheme="minorHAnsi"/>
          <w:noProof/>
          <w:lang w:val="uk-UA" w:eastAsia="en-US"/>
        </w:rPr>
        <w:t>, ненасиченими жирними кислотами та поліфосфатами.</w:t>
      </w:r>
    </w:p>
    <w:p w14:paraId="48263B9B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 xml:space="preserve">5.8 Дози і способи введення тваринам різного віку </w:t>
      </w:r>
    </w:p>
    <w:p w14:paraId="7DC98C36" w14:textId="77777777" w:rsidR="002B5CB2" w:rsidRPr="002B5CB2" w:rsidRDefault="002B5CB2" w:rsidP="002B5CB2">
      <w:pPr>
        <w:ind w:firstLine="425"/>
        <w:jc w:val="both"/>
        <w:rPr>
          <w:lang w:val="uk-UA"/>
        </w:rPr>
      </w:pPr>
      <w:r w:rsidRPr="002B5CB2">
        <w:rPr>
          <w:lang w:val="uk-UA"/>
        </w:rPr>
        <w:t>Великій рогатій худобі: підшкірно одноразово, в дозі 7,5 мл на 100 кг маси тварини (7,5 мг енрофлоксацину на 1 кг маси тварини).</w:t>
      </w:r>
    </w:p>
    <w:p w14:paraId="3814EAD4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lang w:val="uk-UA"/>
        </w:rPr>
        <w:t xml:space="preserve">Свиням: внутрішньом’язово в дозі 7,5 мл на 100 кг маси тварини (7,5 мг енрофлоксацину на 1 кг маси тварини) одноразово. </w:t>
      </w:r>
    </w:p>
    <w:p w14:paraId="1581A08F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noProof/>
          <w:lang w:val="uk-UA" w:eastAsia="uk-UA"/>
        </w:rPr>
        <w:t>В одне місце ін'єкції можна вводити не більше 15 мл для великої рогатої худоби, 5 мл - для свиней.</w:t>
      </w:r>
    </w:p>
    <w:p w14:paraId="28F943C0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 xml:space="preserve">5.9 Передозування </w:t>
      </w:r>
    </w:p>
    <w:p w14:paraId="7DA8E042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Не реєструвалось.</w:t>
      </w:r>
    </w:p>
    <w:p w14:paraId="52B03711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5.10 Спеціальні застереження</w:t>
      </w:r>
    </w:p>
    <w:p w14:paraId="4D3D6104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uk-UA"/>
        </w:rPr>
      </w:pPr>
      <w:r w:rsidRPr="002B5CB2">
        <w:rPr>
          <w:rFonts w:eastAsiaTheme="minorHAnsi"/>
          <w:noProof/>
          <w:lang w:val="uk-UA" w:eastAsia="uk-UA"/>
        </w:rPr>
        <w:t>Перед застосуванням флакон з препаратом необхідно ретельно струсити.</w:t>
      </w:r>
    </w:p>
    <w:p w14:paraId="46BFA820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5.11 Період виведення (каренції)</w:t>
      </w:r>
    </w:p>
    <w:p w14:paraId="41A1AD04" w14:textId="77777777" w:rsidR="002B5CB2" w:rsidRPr="002B5CB2" w:rsidRDefault="002B5CB2" w:rsidP="002B5CB2">
      <w:pPr>
        <w:ind w:firstLine="425"/>
        <w:contextualSpacing/>
        <w:jc w:val="both"/>
        <w:rPr>
          <w:rFonts w:eastAsiaTheme="minorHAnsi"/>
          <w:noProof/>
          <w:lang w:eastAsia="uk-UA"/>
        </w:rPr>
      </w:pPr>
      <w:r w:rsidRPr="002B5CB2">
        <w:rPr>
          <w:rFonts w:eastAsiaTheme="minorHAnsi"/>
          <w:noProof/>
          <w:lang w:val="uk-UA" w:eastAsia="uk-UA"/>
        </w:rPr>
        <w:t xml:space="preserve">Забій тварин на м'ясо дозволяють через 14 діб (велика рогата худоба) та </w:t>
      </w:r>
      <w:r w:rsidRPr="002B5CB2">
        <w:rPr>
          <w:rFonts w:eastAsiaTheme="minorHAnsi"/>
          <w:noProof/>
          <w:lang w:eastAsia="uk-UA"/>
        </w:rPr>
        <w:t>5</w:t>
      </w:r>
      <w:r w:rsidRPr="002B5CB2">
        <w:rPr>
          <w:rFonts w:eastAsiaTheme="minorHAnsi"/>
          <w:noProof/>
          <w:lang w:val="uk-UA" w:eastAsia="uk-UA"/>
        </w:rPr>
        <w:t xml:space="preserve"> діб (свині) після останнього застосування препарату. Споживання молока дозволяють через </w:t>
      </w:r>
      <w:r w:rsidRPr="002B5CB2">
        <w:rPr>
          <w:rFonts w:eastAsiaTheme="minorHAnsi"/>
          <w:noProof/>
          <w:lang w:eastAsia="uk-UA"/>
        </w:rPr>
        <w:t xml:space="preserve">4 дні </w:t>
      </w:r>
      <w:r w:rsidRPr="002B5CB2">
        <w:rPr>
          <w:rFonts w:eastAsiaTheme="minorHAnsi"/>
          <w:noProof/>
          <w:lang w:val="uk-UA" w:eastAsia="uk-UA"/>
        </w:rPr>
        <w:t>після останнього застосування препарату. Отримане, до зазначеного терміну, м'ясо та молоко утилізують або згодовують непродуктивним тваринам, залежно від висновку лікаря ветеринарної медицини.</w:t>
      </w:r>
    </w:p>
    <w:p w14:paraId="727740AD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5.12 Спеціальні застереження для осіб і обслуговуючого персоналу</w:t>
      </w:r>
    </w:p>
    <w:p w14:paraId="63F91EF6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snapToGrid w:val="0"/>
          <w:lang w:val="uk-UA" w:eastAsia="en-US"/>
        </w:rPr>
        <w:t>Персонал, який працює з препаратом, повинен дотримуватись основних правил гігієни та безпеки, прийнятих при роботі з ветеринарними препаратами.</w:t>
      </w:r>
    </w:p>
    <w:p w14:paraId="6725B5C8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6. Фармацевтичні особливості</w:t>
      </w:r>
    </w:p>
    <w:p w14:paraId="2CBBA182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6.1 Форми несумісності (основні)</w:t>
      </w:r>
    </w:p>
    <w:p w14:paraId="352FC8A0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Не застосовувати одночасно з нестероїдними протизапальними засобами, антибіотиками групи макролідів, тетрациклінами та хлорамфеніколом, препаратами, що містять алюміній, магній, залізо або кальцій, ненасиченими жирними кислотами та поліфосфатами.</w:t>
      </w:r>
    </w:p>
    <w:p w14:paraId="05307826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6.2 Термін придатності</w:t>
      </w:r>
    </w:p>
    <w:p w14:paraId="2F7DEB00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 xml:space="preserve">2 роки. </w:t>
      </w:r>
    </w:p>
    <w:p w14:paraId="0CAD2463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>Після першого відбору з флакону - 28 діб за умови зберігання його у темному місці за температури від 5 °С до 25 °С.</w:t>
      </w:r>
    </w:p>
    <w:p w14:paraId="6959A515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6.3 Особливі заходи зберігання</w:t>
      </w:r>
    </w:p>
    <w:p w14:paraId="2F1EFC88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lang w:val="uk-UA" w:eastAsia="en-US"/>
        </w:rPr>
        <w:t xml:space="preserve">Сухе, темне, недоступне для дітей місце за температури від 5 °С до 25 °С. </w:t>
      </w:r>
    </w:p>
    <w:p w14:paraId="52CAC871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6.4 Природа і склад контейнера первинного упакування</w:t>
      </w:r>
    </w:p>
    <w:p w14:paraId="48788B7D" w14:textId="77777777" w:rsidR="002B5CB2" w:rsidRPr="002B5CB2" w:rsidRDefault="002B5CB2" w:rsidP="002B5CB2">
      <w:pPr>
        <w:ind w:firstLine="425"/>
        <w:contextualSpacing/>
        <w:jc w:val="both"/>
        <w:rPr>
          <w:rFonts w:eastAsia="Calibri"/>
          <w:noProof/>
          <w:lang w:val="uk-UA" w:eastAsia="en-US"/>
        </w:rPr>
      </w:pPr>
      <w:r w:rsidRPr="002B5CB2">
        <w:rPr>
          <w:rFonts w:eastAsia="Calibri"/>
          <w:noProof/>
          <w:lang w:val="uk-UA" w:eastAsia="en-US"/>
        </w:rPr>
        <w:t>Флакони зі скла, закриті гумовими корками під алюмінієву обкатку  по 10, 50, 100мл.</w:t>
      </w:r>
    </w:p>
    <w:p w14:paraId="538C1E97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b/>
          <w:noProof/>
          <w:lang w:val="uk-UA" w:eastAsia="en-US"/>
        </w:rPr>
      </w:pPr>
      <w:r w:rsidRPr="002B5CB2">
        <w:rPr>
          <w:rFonts w:eastAsiaTheme="minorHAnsi"/>
          <w:b/>
          <w:noProof/>
          <w:lang w:val="uk-UA" w:eastAsia="en-US"/>
        </w:rPr>
        <w:t>6.5 Особливі заходи безпеки при поводженні з невикористаним препаратом або із його залишками</w:t>
      </w:r>
    </w:p>
    <w:p w14:paraId="417E5B13" w14:textId="77777777" w:rsidR="002B5CB2" w:rsidRPr="002B5CB2" w:rsidRDefault="002B5CB2" w:rsidP="002B5CB2">
      <w:pPr>
        <w:shd w:val="clear" w:color="auto" w:fill="FFFFFF"/>
        <w:ind w:firstLine="425"/>
        <w:contextualSpacing/>
        <w:jc w:val="both"/>
        <w:rPr>
          <w:rFonts w:eastAsiaTheme="minorHAnsi"/>
          <w:noProof/>
          <w:lang w:val="uk-UA" w:eastAsia="en-US"/>
        </w:rPr>
      </w:pPr>
      <w:r w:rsidRPr="002B5CB2">
        <w:rPr>
          <w:rFonts w:eastAsiaTheme="minorHAnsi"/>
          <w:noProof/>
          <w:spacing w:val="-1"/>
          <w:lang w:eastAsia="en-US"/>
        </w:rPr>
        <w:t>Ветеринарні препарати не мають потрапляти в воду. Необхідно дотримуватись інструкцій місцевих влад щодо утилізації ветеринарних препаратів та інсектицидів.</w:t>
      </w:r>
    </w:p>
    <w:p w14:paraId="2778C80A" w14:textId="77777777" w:rsidR="002B5CB2" w:rsidRPr="002B5CB2" w:rsidRDefault="002B5CB2" w:rsidP="002B5CB2">
      <w:pPr>
        <w:ind w:firstLine="425"/>
        <w:jc w:val="both"/>
        <w:rPr>
          <w:lang w:val="uk-UA"/>
        </w:rPr>
      </w:pPr>
    </w:p>
    <w:p w14:paraId="05F4EA61" w14:textId="77777777" w:rsidR="00F30D34" w:rsidRPr="007F779D" w:rsidRDefault="00F30D34" w:rsidP="00F30D34">
      <w:pPr>
        <w:ind w:firstLine="425"/>
        <w:rPr>
          <w:b/>
        </w:rPr>
      </w:pPr>
      <w:r w:rsidRPr="007F779D">
        <w:rPr>
          <w:b/>
        </w:rPr>
        <w:lastRenderedPageBreak/>
        <w:t xml:space="preserve">7. Назва та </w:t>
      </w:r>
      <w:r w:rsidRPr="007F779D">
        <w:rPr>
          <w:b/>
          <w:lang w:val="uk-UA"/>
        </w:rPr>
        <w:t>м</w:t>
      </w:r>
      <w:r w:rsidRPr="007F779D">
        <w:rPr>
          <w:b/>
        </w:rPr>
        <w:t>ісцезнаходження власника реєстраційного посвідчення</w:t>
      </w:r>
    </w:p>
    <w:p w14:paraId="1FD04F6D" w14:textId="77777777" w:rsidR="00F30D34" w:rsidRPr="007F779D" w:rsidRDefault="00F30D34" w:rsidP="00F30D34">
      <w:pPr>
        <w:ind w:firstLine="425"/>
        <w:rPr>
          <w:bCs/>
        </w:rPr>
      </w:pPr>
      <w:r w:rsidRPr="007F779D">
        <w:rPr>
          <w:bCs/>
        </w:rPr>
        <w:t>ТОВ "БІОТЕСТЛАБ"</w:t>
      </w:r>
    </w:p>
    <w:p w14:paraId="1583C751" w14:textId="77777777" w:rsidR="00F30D34" w:rsidRPr="007F779D" w:rsidRDefault="00F30D34" w:rsidP="00F30D34">
      <w:pPr>
        <w:ind w:firstLine="425"/>
        <w:rPr>
          <w:bCs/>
          <w:lang w:val="uk-UA"/>
        </w:rPr>
      </w:pPr>
      <w:r w:rsidRPr="007F779D">
        <w:rPr>
          <w:bCs/>
        </w:rPr>
        <w:t>Україна</w:t>
      </w:r>
      <w:r w:rsidRPr="007F779D">
        <w:rPr>
          <w:bCs/>
          <w:lang w:val="uk-UA"/>
        </w:rPr>
        <w:t>,</w:t>
      </w:r>
      <w:r w:rsidRPr="007F779D">
        <w:rPr>
          <w:bCs/>
        </w:rPr>
        <w:t xml:space="preserve"> 0860</w:t>
      </w:r>
      <w:r w:rsidRPr="007F779D">
        <w:rPr>
          <w:bCs/>
          <w:lang w:val="uk-UA"/>
        </w:rPr>
        <w:t>1</w:t>
      </w:r>
      <w:r w:rsidRPr="007F779D">
        <w:rPr>
          <w:bCs/>
        </w:rPr>
        <w:t>, Київська обл., м. Васильків, вул. Володимирська, 57-А</w:t>
      </w:r>
      <w:r w:rsidRPr="007F779D">
        <w:rPr>
          <w:bCs/>
          <w:lang w:val="uk-UA"/>
        </w:rPr>
        <w:t>.</w:t>
      </w:r>
    </w:p>
    <w:p w14:paraId="7B82232C" w14:textId="77777777" w:rsidR="00F30D34" w:rsidRPr="007F779D" w:rsidRDefault="00F30D34" w:rsidP="00F30D34">
      <w:pPr>
        <w:ind w:firstLine="425"/>
        <w:rPr>
          <w:b/>
        </w:rPr>
      </w:pPr>
      <w:r w:rsidRPr="007F779D">
        <w:rPr>
          <w:b/>
        </w:rPr>
        <w:t xml:space="preserve">8. Назва та </w:t>
      </w:r>
      <w:r w:rsidRPr="007F779D">
        <w:rPr>
          <w:b/>
          <w:lang w:val="uk-UA"/>
        </w:rPr>
        <w:t>м</w:t>
      </w:r>
      <w:r w:rsidRPr="007F779D">
        <w:rPr>
          <w:b/>
        </w:rPr>
        <w:t>ісцезнаходження виробника (виробників)</w:t>
      </w:r>
    </w:p>
    <w:p w14:paraId="4A8C4A64" w14:textId="77777777" w:rsidR="00F30D34" w:rsidRPr="007F779D" w:rsidRDefault="00F30D34" w:rsidP="00F30D34">
      <w:pPr>
        <w:ind w:firstLine="425"/>
        <w:rPr>
          <w:b/>
          <w:lang w:val="uk-UA"/>
        </w:rPr>
      </w:pPr>
      <w:r w:rsidRPr="007F779D">
        <w:rPr>
          <w:b/>
          <w:lang w:val="uk-UA"/>
        </w:rPr>
        <w:t>ТОВ «</w:t>
      </w:r>
      <w:r w:rsidRPr="007F779D">
        <w:rPr>
          <w:b/>
        </w:rPr>
        <w:t>БІОТЕСТЛАБ</w:t>
      </w:r>
      <w:r w:rsidRPr="007F779D">
        <w:rPr>
          <w:b/>
          <w:lang w:val="uk-UA"/>
        </w:rPr>
        <w:t>»</w:t>
      </w:r>
    </w:p>
    <w:p w14:paraId="030EBE77" w14:textId="77777777" w:rsidR="00F30D34" w:rsidRPr="007F779D" w:rsidRDefault="00F30D34" w:rsidP="00F30D34">
      <w:pPr>
        <w:ind w:firstLine="425"/>
        <w:rPr>
          <w:bCs/>
        </w:rPr>
      </w:pPr>
      <w:r w:rsidRPr="007F779D">
        <w:rPr>
          <w:bCs/>
        </w:rPr>
        <w:t>Україна</w:t>
      </w:r>
      <w:r w:rsidRPr="007F779D">
        <w:rPr>
          <w:bCs/>
          <w:lang w:val="uk-UA"/>
        </w:rPr>
        <w:t>,</w:t>
      </w:r>
      <w:r w:rsidRPr="007F779D">
        <w:rPr>
          <w:bCs/>
        </w:rPr>
        <w:t xml:space="preserve"> 08601, Київська обл., м. Васильків,</w:t>
      </w:r>
      <w:r w:rsidRPr="007F779D">
        <w:rPr>
          <w:bCs/>
          <w:lang w:val="uk-UA"/>
        </w:rPr>
        <w:t xml:space="preserve"> </w:t>
      </w:r>
      <w:r w:rsidRPr="007F779D">
        <w:rPr>
          <w:bCs/>
        </w:rPr>
        <w:t xml:space="preserve">вул. Лістрового Олександра, </w:t>
      </w:r>
      <w:r w:rsidRPr="007F779D">
        <w:rPr>
          <w:bCs/>
          <w:lang w:val="uk-UA"/>
        </w:rPr>
        <w:t>буд.</w:t>
      </w:r>
      <w:r w:rsidRPr="007F779D">
        <w:rPr>
          <w:bCs/>
        </w:rPr>
        <w:t xml:space="preserve"> 1/3</w:t>
      </w:r>
    </w:p>
    <w:p w14:paraId="67AD906D" w14:textId="77777777" w:rsidR="00F30D34" w:rsidRPr="007F779D" w:rsidRDefault="00F30D34" w:rsidP="00F30D34">
      <w:pPr>
        <w:ind w:firstLine="425"/>
        <w:rPr>
          <w:bCs/>
        </w:rPr>
      </w:pPr>
      <w:r w:rsidRPr="007F779D">
        <w:rPr>
          <w:bCs/>
          <w:u w:val="single"/>
          <w:lang w:val="en-US"/>
        </w:rPr>
        <w:t>www</w:t>
      </w:r>
      <w:r w:rsidRPr="007F779D">
        <w:rPr>
          <w:bCs/>
          <w:u w:val="single"/>
        </w:rPr>
        <w:t>.</w:t>
      </w:r>
      <w:r w:rsidRPr="007F779D">
        <w:rPr>
          <w:bCs/>
          <w:u w:val="single"/>
          <w:lang w:val="en-US"/>
        </w:rPr>
        <w:t>biotestlab</w:t>
      </w:r>
      <w:r w:rsidRPr="007F779D">
        <w:rPr>
          <w:bCs/>
          <w:u w:val="single"/>
        </w:rPr>
        <w:t>.</w:t>
      </w:r>
      <w:r w:rsidRPr="007F779D">
        <w:rPr>
          <w:bCs/>
          <w:u w:val="single"/>
          <w:lang w:val="en-US"/>
        </w:rPr>
        <w:t>ua</w:t>
      </w:r>
      <w:r w:rsidRPr="007F779D">
        <w:rPr>
          <w:bCs/>
          <w:u w:val="single"/>
        </w:rPr>
        <w:t>.</w:t>
      </w:r>
    </w:p>
    <w:p w14:paraId="088AA475" w14:textId="77777777" w:rsidR="00F30D34" w:rsidRPr="007F779D" w:rsidRDefault="00F30D34" w:rsidP="00F30D34">
      <w:pPr>
        <w:ind w:firstLine="425"/>
        <w:rPr>
          <w:b/>
        </w:rPr>
      </w:pPr>
      <w:r w:rsidRPr="007F779D">
        <w:rPr>
          <w:b/>
        </w:rPr>
        <w:t>9. Додаткова інформація</w:t>
      </w:r>
    </w:p>
    <w:p w14:paraId="49D3D47A" w14:textId="77777777" w:rsidR="00F30D34" w:rsidRPr="007F779D" w:rsidRDefault="00F30D34" w:rsidP="00F30D34">
      <w:pPr>
        <w:ind w:firstLine="425"/>
        <w:rPr>
          <w:bCs/>
          <w:lang w:val="uk-UA"/>
        </w:rPr>
      </w:pPr>
      <w:r w:rsidRPr="007F779D">
        <w:rPr>
          <w:bCs/>
        </w:rPr>
        <w:t>Відсутня.</w:t>
      </w:r>
    </w:p>
    <w:p w14:paraId="5AE6D662" w14:textId="77777777" w:rsidR="00CA606C" w:rsidRPr="002B5CB2" w:rsidRDefault="00CA606C" w:rsidP="002B5CB2">
      <w:pPr>
        <w:ind w:firstLine="425"/>
      </w:pPr>
    </w:p>
    <w:sectPr w:rsidR="00CA606C" w:rsidRPr="002B5CB2" w:rsidSect="00CD3320">
      <w:headerReference w:type="default" r:id="rId7"/>
      <w:headerReference w:type="first" r:id="rId8"/>
      <w:pgSz w:w="11906" w:h="16838"/>
      <w:pgMar w:top="567" w:right="45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3D9A" w14:textId="77777777" w:rsidR="004F2DD1" w:rsidRDefault="004F2DD1" w:rsidP="00CD3320">
      <w:r>
        <w:separator/>
      </w:r>
    </w:p>
  </w:endnote>
  <w:endnote w:type="continuationSeparator" w:id="0">
    <w:p w14:paraId="61CDE678" w14:textId="77777777" w:rsidR="004F2DD1" w:rsidRDefault="004F2DD1" w:rsidP="00CD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7C35" w14:textId="77777777" w:rsidR="004F2DD1" w:rsidRDefault="004F2DD1" w:rsidP="00CD3320">
      <w:r>
        <w:separator/>
      </w:r>
    </w:p>
  </w:footnote>
  <w:footnote w:type="continuationSeparator" w:id="0">
    <w:p w14:paraId="578E8124" w14:textId="77777777" w:rsidR="004F2DD1" w:rsidRDefault="004F2DD1" w:rsidP="00CD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0474" w14:textId="77777777" w:rsidR="004F2DD1" w:rsidRPr="00877901" w:rsidRDefault="004F2DD1" w:rsidP="00CD3320">
    <w:pPr>
      <w:widowControl w:val="0"/>
      <w:ind w:firstLine="425"/>
      <w:jc w:val="right"/>
      <w:rPr>
        <w:bCs/>
        <w:color w:val="000000"/>
        <w:spacing w:val="3"/>
      </w:rPr>
    </w:pPr>
    <w:r>
      <w:rPr>
        <w:bCs/>
        <w:color w:val="000000"/>
        <w:spacing w:val="3"/>
      </w:rPr>
      <w:t>Продовження Додат</w:t>
    </w:r>
    <w:r w:rsidRPr="00877901">
      <w:rPr>
        <w:bCs/>
        <w:color w:val="000000"/>
        <w:spacing w:val="3"/>
      </w:rPr>
      <w:t>к</w:t>
    </w:r>
    <w:r>
      <w:rPr>
        <w:bCs/>
        <w:color w:val="000000"/>
        <w:spacing w:val="3"/>
      </w:rPr>
      <w:t>у</w:t>
    </w:r>
    <w:r w:rsidRPr="00877901">
      <w:rPr>
        <w:bCs/>
        <w:color w:val="000000"/>
        <w:spacing w:val="3"/>
      </w:rPr>
      <w:t xml:space="preserve"> 1 </w:t>
    </w:r>
  </w:p>
  <w:p w14:paraId="021AD573" w14:textId="77777777" w:rsidR="004F2DD1" w:rsidRPr="00877901" w:rsidRDefault="004F2DD1" w:rsidP="00CD3320">
    <w:pPr>
      <w:widowControl w:val="0"/>
      <w:ind w:firstLine="425"/>
      <w:jc w:val="right"/>
      <w:rPr>
        <w:bCs/>
        <w:color w:val="000000"/>
        <w:spacing w:val="3"/>
      </w:rPr>
    </w:pPr>
    <w:r w:rsidRPr="00877901">
      <w:rPr>
        <w:bCs/>
        <w:color w:val="000000"/>
        <w:spacing w:val="3"/>
      </w:rPr>
      <w:t>до реєстраційного посвідчення</w:t>
    </w:r>
    <w:r>
      <w:rPr>
        <w:bCs/>
        <w:color w:val="000000"/>
        <w:spacing w:val="3"/>
      </w:rPr>
      <w:t xml:space="preserve"> </w:t>
    </w:r>
    <w:r>
      <w:rPr>
        <w:lang w:val="uk-UA"/>
      </w:rPr>
      <w:t xml:space="preserve">№ </w:t>
    </w:r>
    <w:r w:rsidRPr="00093A95">
      <w:rPr>
        <w:szCs w:val="28"/>
      </w:rPr>
      <w:t>АВ-</w:t>
    </w:r>
    <w:r>
      <w:rPr>
        <w:szCs w:val="28"/>
        <w:lang w:val="uk-UA"/>
      </w:rPr>
      <w:t>03243</w:t>
    </w:r>
    <w:r w:rsidRPr="00093A95">
      <w:rPr>
        <w:szCs w:val="28"/>
      </w:rPr>
      <w:t>-01-</w:t>
    </w:r>
    <w:r>
      <w:rPr>
        <w:szCs w:val="28"/>
        <w:lang w:val="uk-UA"/>
      </w:rPr>
      <w:t>12</w:t>
    </w:r>
  </w:p>
  <w:p w14:paraId="5A7B4144" w14:textId="77777777" w:rsidR="004F2DD1" w:rsidRPr="00CD3320" w:rsidRDefault="004F2D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E9C7" w14:textId="77777777" w:rsidR="004F2DD1" w:rsidRPr="00877901" w:rsidRDefault="004F2DD1" w:rsidP="00CD3320">
    <w:pPr>
      <w:widowControl w:val="0"/>
      <w:ind w:firstLine="425"/>
      <w:jc w:val="right"/>
      <w:rPr>
        <w:bCs/>
        <w:color w:val="000000"/>
        <w:spacing w:val="3"/>
      </w:rPr>
    </w:pPr>
    <w:r w:rsidRPr="00877901">
      <w:rPr>
        <w:bCs/>
        <w:color w:val="000000"/>
        <w:spacing w:val="3"/>
      </w:rPr>
      <w:t xml:space="preserve">Додаток 1 </w:t>
    </w:r>
  </w:p>
  <w:p w14:paraId="12AF649E" w14:textId="77777777" w:rsidR="004F2DD1" w:rsidRDefault="004F2DD1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  <w:r w:rsidRPr="00877901">
      <w:rPr>
        <w:bCs/>
        <w:color w:val="000000"/>
        <w:spacing w:val="3"/>
      </w:rPr>
      <w:t xml:space="preserve">до реєстраційного посвідчення </w:t>
    </w:r>
    <w:r>
      <w:rPr>
        <w:lang w:val="uk-UA"/>
      </w:rPr>
      <w:t xml:space="preserve">№ </w:t>
    </w:r>
    <w:r w:rsidRPr="00093A95">
      <w:rPr>
        <w:szCs w:val="28"/>
      </w:rPr>
      <w:t>АВ-</w:t>
    </w:r>
    <w:r>
      <w:rPr>
        <w:szCs w:val="28"/>
        <w:lang w:val="uk-UA"/>
      </w:rPr>
      <w:t>03243</w:t>
    </w:r>
    <w:r w:rsidRPr="00093A95">
      <w:rPr>
        <w:szCs w:val="28"/>
      </w:rPr>
      <w:t>-01-</w:t>
    </w:r>
    <w:r>
      <w:rPr>
        <w:szCs w:val="28"/>
        <w:lang w:val="uk-UA"/>
      </w:rPr>
      <w:t>12</w:t>
    </w:r>
  </w:p>
  <w:p w14:paraId="6DB3B565" w14:textId="77777777" w:rsidR="004F2DD1" w:rsidRPr="005E0156" w:rsidRDefault="004F2DD1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" w15:restartNumberingAfterBreak="0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</w:lvl>
    <w:lvl w:ilvl="3" w:tplc="0419000F" w:tentative="1">
      <w:start w:val="1"/>
      <w:numFmt w:val="decimal"/>
      <w:lvlText w:val="%4."/>
      <w:lvlJc w:val="left"/>
      <w:pPr>
        <w:ind w:left="4792" w:hanging="360"/>
      </w:p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</w:lvl>
    <w:lvl w:ilvl="6" w:tplc="0419000F" w:tentative="1">
      <w:start w:val="1"/>
      <w:numFmt w:val="decimal"/>
      <w:lvlText w:val="%7."/>
      <w:lvlJc w:val="left"/>
      <w:pPr>
        <w:ind w:left="6952" w:hanging="360"/>
      </w:p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2" w15:restartNumberingAfterBreak="0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3" w15:restartNumberingAfterBreak="0">
    <w:nsid w:val="3B974AF4"/>
    <w:multiLevelType w:val="hybridMultilevel"/>
    <w:tmpl w:val="F0882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730BC1"/>
    <w:multiLevelType w:val="singleLevel"/>
    <w:tmpl w:val="34FC0DC2"/>
    <w:lvl w:ilvl="0">
      <w:start w:val="10"/>
      <w:numFmt w:val="decimal"/>
      <w:lvlText w:val="5.%1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DA236E"/>
    <w:multiLevelType w:val="singleLevel"/>
    <w:tmpl w:val="BEFA1A6A"/>
    <w:lvl w:ilvl="0">
      <w:start w:val="7"/>
      <w:numFmt w:val="decimal"/>
      <w:lvlText w:val="5.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 w16cid:durableId="598106844">
    <w:abstractNumId w:val="6"/>
  </w:num>
  <w:num w:numId="2" w16cid:durableId="91702459">
    <w:abstractNumId w:val="2"/>
  </w:num>
  <w:num w:numId="3" w16cid:durableId="1148134827">
    <w:abstractNumId w:val="1"/>
  </w:num>
  <w:num w:numId="4" w16cid:durableId="278297185">
    <w:abstractNumId w:val="0"/>
  </w:num>
  <w:num w:numId="5" w16cid:durableId="912930492">
    <w:abstractNumId w:val="4"/>
  </w:num>
  <w:num w:numId="6" w16cid:durableId="1303268389">
    <w:abstractNumId w:val="3"/>
  </w:num>
  <w:num w:numId="7" w16cid:durableId="1724208625">
    <w:abstractNumId w:val="7"/>
  </w:num>
  <w:num w:numId="8" w16cid:durableId="832257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F1B"/>
    <w:rsid w:val="0000343E"/>
    <w:rsid w:val="000333A8"/>
    <w:rsid w:val="00090590"/>
    <w:rsid w:val="000D2B6D"/>
    <w:rsid w:val="0012607A"/>
    <w:rsid w:val="00146A7D"/>
    <w:rsid w:val="00147495"/>
    <w:rsid w:val="002B5CB2"/>
    <w:rsid w:val="003A0039"/>
    <w:rsid w:val="003A1103"/>
    <w:rsid w:val="00420F1B"/>
    <w:rsid w:val="004A0315"/>
    <w:rsid w:val="004B5C41"/>
    <w:rsid w:val="004C4E9B"/>
    <w:rsid w:val="004F2DD1"/>
    <w:rsid w:val="005903D3"/>
    <w:rsid w:val="005E0156"/>
    <w:rsid w:val="00617F16"/>
    <w:rsid w:val="00621681"/>
    <w:rsid w:val="0064474B"/>
    <w:rsid w:val="00743730"/>
    <w:rsid w:val="007E0B80"/>
    <w:rsid w:val="007F1E81"/>
    <w:rsid w:val="00816169"/>
    <w:rsid w:val="008348FC"/>
    <w:rsid w:val="00872A69"/>
    <w:rsid w:val="00877901"/>
    <w:rsid w:val="00885998"/>
    <w:rsid w:val="00907B99"/>
    <w:rsid w:val="009A5FFC"/>
    <w:rsid w:val="009F1076"/>
    <w:rsid w:val="00A41F97"/>
    <w:rsid w:val="00A73D66"/>
    <w:rsid w:val="00B02329"/>
    <w:rsid w:val="00B265AF"/>
    <w:rsid w:val="00B55FED"/>
    <w:rsid w:val="00B80CF7"/>
    <w:rsid w:val="00B83D3E"/>
    <w:rsid w:val="00B86105"/>
    <w:rsid w:val="00BB6CBE"/>
    <w:rsid w:val="00C25399"/>
    <w:rsid w:val="00C50957"/>
    <w:rsid w:val="00C602C4"/>
    <w:rsid w:val="00CA606C"/>
    <w:rsid w:val="00CD3320"/>
    <w:rsid w:val="00D03ED3"/>
    <w:rsid w:val="00DC7DE5"/>
    <w:rsid w:val="00E22F1D"/>
    <w:rsid w:val="00ED6241"/>
    <w:rsid w:val="00F30D34"/>
    <w:rsid w:val="00F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670C"/>
  <w15:docId w15:val="{71C35FD3-F018-420C-9955-8AAFF9B5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420F1B"/>
    <w:pPr>
      <w:widowControl w:val="0"/>
      <w:shd w:val="clear" w:color="auto" w:fill="FFFFFF"/>
      <w:spacing w:after="60" w:line="0" w:lineRule="atLeast"/>
      <w:jc w:val="right"/>
    </w:pPr>
    <w:rPr>
      <w:spacing w:val="2"/>
    </w:rPr>
  </w:style>
  <w:style w:type="character" w:customStyle="1" w:styleId="a3">
    <w:name w:val="Основной текст_"/>
    <w:basedOn w:val="a0"/>
    <w:link w:val="1"/>
    <w:rsid w:val="0012607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styleId="a4">
    <w:name w:val="List Paragraph"/>
    <w:basedOn w:val="a"/>
    <w:uiPriority w:val="34"/>
    <w:qFormat/>
    <w:rsid w:val="00CA606C"/>
    <w:pPr>
      <w:ind w:left="720"/>
      <w:contextualSpacing/>
    </w:pPr>
  </w:style>
  <w:style w:type="table" w:styleId="a5">
    <w:name w:val="Table Grid"/>
    <w:basedOn w:val="a1"/>
    <w:uiPriority w:val="59"/>
    <w:rsid w:val="00B861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a0"/>
    <w:link w:val="Bodytext30"/>
    <w:locked/>
    <w:rsid w:val="00A73D66"/>
    <w:rPr>
      <w:rFonts w:ascii="Times New Roman" w:hAnsi="Times New Roman" w:cs="Times New Roman"/>
      <w:i/>
      <w:iCs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A73D66"/>
    <w:pPr>
      <w:widowControl w:val="0"/>
      <w:shd w:val="clear" w:color="auto" w:fill="FFFFFF"/>
      <w:spacing w:line="274" w:lineRule="exact"/>
      <w:jc w:val="both"/>
    </w:pPr>
    <w:rPr>
      <w:i/>
      <w:iCs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CD332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CD3320"/>
    <w:rPr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CD332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CD3320"/>
    <w:rPr>
      <w:lang w:val="en-GB"/>
    </w:rPr>
  </w:style>
  <w:style w:type="paragraph" w:customStyle="1" w:styleId="10">
    <w:name w:val="1 заголовок"/>
    <w:basedOn w:val="a"/>
    <w:link w:val="11"/>
    <w:autoRedefine/>
    <w:qFormat/>
    <w:rsid w:val="00907B99"/>
    <w:pPr>
      <w:keepNext/>
      <w:spacing w:line="360" w:lineRule="auto"/>
      <w:ind w:firstLine="709"/>
      <w:jc w:val="center"/>
      <w:outlineLvl w:val="0"/>
    </w:pPr>
    <w:rPr>
      <w:rFonts w:eastAsia="Arial Unicode MS"/>
      <w:b/>
      <w:bCs/>
      <w:sz w:val="32"/>
      <w:szCs w:val="32"/>
      <w:lang w:val="uk-UA"/>
    </w:rPr>
  </w:style>
  <w:style w:type="character" w:customStyle="1" w:styleId="11">
    <w:name w:val="1 заголовок Знак"/>
    <w:link w:val="10"/>
    <w:rsid w:val="00907B99"/>
    <w:rPr>
      <w:rFonts w:ascii="Times New Roman" w:eastAsia="Arial Unicode MS" w:hAnsi="Times New Roman" w:cs="Times New Roman"/>
      <w:b/>
      <w:bCs/>
      <w:sz w:val="32"/>
      <w:szCs w:val="32"/>
      <w:lang w:val="uk-UA"/>
    </w:rPr>
  </w:style>
  <w:style w:type="paragraph" w:customStyle="1" w:styleId="cs7fb5c607">
    <w:name w:val="cs7fb5c607"/>
    <w:basedOn w:val="a"/>
    <w:rsid w:val="005E0156"/>
    <w:pPr>
      <w:ind w:firstLine="720"/>
      <w:jc w:val="both"/>
    </w:pPr>
    <w:rPr>
      <w:lang w:val="uk-UA" w:eastAsia="uk-UA"/>
    </w:rPr>
  </w:style>
  <w:style w:type="character" w:customStyle="1" w:styleId="cs5efed22f6">
    <w:name w:val="cs5efed22f6"/>
    <w:rsid w:val="005E01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503</dc:creator>
  <cp:lastModifiedBy>vrip-1</cp:lastModifiedBy>
  <cp:revision>19</cp:revision>
  <cp:lastPrinted>2024-09-05T12:16:00Z</cp:lastPrinted>
  <dcterms:created xsi:type="dcterms:W3CDTF">2024-05-31T13:18:00Z</dcterms:created>
  <dcterms:modified xsi:type="dcterms:W3CDTF">2025-05-22T08:27:00Z</dcterms:modified>
</cp:coreProperties>
</file>