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02" w:rsidRPr="00E73A38" w:rsidRDefault="00861002" w:rsidP="00D2240D">
      <w:pPr>
        <w:shd w:val="clear" w:color="auto" w:fill="FFFFFF"/>
        <w:spacing w:after="0" w:line="240" w:lineRule="auto"/>
        <w:ind w:left="7"/>
        <w:jc w:val="right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Додаток 1</w:t>
      </w:r>
    </w:p>
    <w:p w:rsidR="00861002" w:rsidRPr="00E73A38" w:rsidRDefault="00861002" w:rsidP="00D2240D">
      <w:pPr>
        <w:shd w:val="clear" w:color="auto" w:fill="FFFFFF"/>
        <w:spacing w:after="0" w:line="240" w:lineRule="auto"/>
        <w:ind w:left="7"/>
        <w:jc w:val="right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до реєстраційного посвідчення АВ-00882-01-10</w:t>
      </w:r>
    </w:p>
    <w:p w:rsidR="00D2240D" w:rsidRPr="00E73A38" w:rsidRDefault="00D2240D" w:rsidP="00D224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61002" w:rsidRPr="00E73A38" w:rsidRDefault="00861002" w:rsidP="00D224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Коротка характеристика препарату</w:t>
      </w:r>
    </w:p>
    <w:p w:rsidR="00D2240D" w:rsidRPr="00E73A38" w:rsidRDefault="00D2240D" w:rsidP="00D224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 Назва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 xml:space="preserve">Бровалевамізол 8% 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2. Склад</w:t>
      </w:r>
    </w:p>
    <w:p w:rsidR="00861002" w:rsidRPr="00E73A38" w:rsidRDefault="00E73A38" w:rsidP="00D2240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  <w:t>1 мл препарату містить</w:t>
      </w:r>
      <w:r w:rsidR="00861002" w:rsidRPr="00E73A38">
        <w:rPr>
          <w:rFonts w:ascii="Times New Roman" w:eastAsia="Times New Roman" w:hAnsi="Times New Roman"/>
          <w:bCs/>
          <w:strike/>
          <w:snapToGrid w:val="0"/>
          <w:sz w:val="24"/>
          <w:szCs w:val="24"/>
          <w:lang w:val="uk-UA" w:eastAsia="ru-RU"/>
        </w:rPr>
        <w:t xml:space="preserve"> </w:t>
      </w:r>
      <w:r w:rsidR="00861002" w:rsidRPr="00E73A38"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  <w:t>діючу речовину:</w:t>
      </w:r>
    </w:p>
    <w:p w:rsidR="00861002" w:rsidRPr="00E73A38" w:rsidRDefault="00861002" w:rsidP="00D2240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  <w:t xml:space="preserve">левамізолу гідрохлорид 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–</w:t>
      </w:r>
      <w:r w:rsidRPr="00E73A38"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  <w:t xml:space="preserve"> 80,0 мг. </w:t>
      </w:r>
    </w:p>
    <w:p w:rsidR="00861002" w:rsidRPr="00E73A38" w:rsidRDefault="00861002" w:rsidP="00D224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  <w:t xml:space="preserve">Допоміжна речовина: трилон Б, натрію метабісульфіт, кислота лимонна, натрію гідроксид, пропіленгліколь, метилпарабен, пропілпарабен, вода високоочищена </w:t>
      </w:r>
    </w:p>
    <w:p w:rsidR="00861002" w:rsidRPr="00E73A38" w:rsidRDefault="00861002" w:rsidP="00D2240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3. Фармацевтична (лікарська) форма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ru-RU"/>
        </w:rPr>
        <w:t>Розчин для ін’єкцій</w:t>
      </w:r>
      <w:r w:rsidR="00D2240D" w:rsidRPr="00E73A38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4. Фармакологічні властивості</w:t>
      </w:r>
    </w:p>
    <w:p w:rsidR="00861002" w:rsidRPr="00E73A38" w:rsidRDefault="00861002" w:rsidP="00D224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  <w:t xml:space="preserve">АТСvet класифікаційний код: QP52 </w:t>
      </w:r>
      <w:r w:rsidRPr="00E73A38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–</w:t>
      </w:r>
      <w:r w:rsidRPr="00E73A38"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  <w:t xml:space="preserve"> Антигельмінтні ветеринарні препарати. QP52АЕ01 </w:t>
      </w:r>
      <w:r w:rsidRPr="00E73A38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–</w:t>
      </w:r>
      <w:r w:rsidRPr="00E73A38"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  <w:t xml:space="preserve"> Левамізол.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Левамізолу гідрохлорид – синтетична сполука із групи імідазотіазолів. Гальмує фермент основного обміну фумаратредуктазу і утворення АТФ, паралізує нервові вузли, спричиняє параліч та загибель нематод у перші 12-24 години після введення. Діє проти </w:t>
      </w:r>
      <w:r w:rsidRPr="00E73A38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Ascaris, Enterobius, Trichocephalus trichiurus, Ancylostoma duodenale, Necator americanus, Strongyloides stercoralis. 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Левамізолу гідрохлорид впливає на імунну систему: підвищує вироблення антитіл до різних антигенів, посилює імунну відповідь, активує Т-лімфоцити й стимулює їхню проліферацію, підвищує здатність моноцитів, макрофагів та нейтрофілів до хемотаксису, адгезії та фагоцитозу. 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Після парентерального введення левамізолу гідрохлорид швидко резорбується з місця ін'єкції та розподіляється в органах і тканинах. Максимальної концентрації у сироватці крові досягає через 30-50 хвилин, на терапевтичному рівні зберігається протягом 6-9 годин. Метаболізується у печінці з утворенням неактивних метаболітів (оксимеркаптоетилфеніл-імідазолідину, який має імуностимулюючу дію). З організму виводиться протягом 3-4 діб переважно нирками (95%), частково з фекаліямі (у незміненому вигляді), у лактуючих тварин – з молоком. Період напіввиведення становить 3-4 години, за порушень функцій печінки цей час може збільшуватись.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За ступенем впливу на організм належить до помірно небезпечних речовин. У рекомендованих дозах добре переноситься тваринами, не чинить місцево-подразнювальної, ембріотоксичної, тератогенної, мутагенної і сенсибілізуючої дії.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 Клінічні особливості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5.1. Вид тварин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>Велика рогата худоба, вівці, свині, птиця (кури, гуси, індики, голуби).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5.2. Показання до застосування</w:t>
      </w:r>
    </w:p>
    <w:p w:rsidR="00861002" w:rsidRPr="00E73A38" w:rsidRDefault="00861002" w:rsidP="00D2240D">
      <w:pPr>
        <w:tabs>
          <w:tab w:val="left" w:pos="65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Hlk187675360"/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Профілактика і лікування великої рогатої худоби, овець, свиней і птиці за захворювань спричинених: </w:t>
      </w:r>
    </w:p>
    <w:p w:rsidR="00861002" w:rsidRPr="00E73A38" w:rsidRDefault="00861002" w:rsidP="00D2240D">
      <w:pPr>
        <w:tabs>
          <w:tab w:val="left" w:pos="65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велика рогата худоба, вівці</w:t>
      </w:r>
      <w:r w:rsidRPr="00E73A3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– </w:t>
      </w:r>
      <w:bookmarkStart w:id="1" w:name="_Hlk187737541"/>
      <w:r w:rsidR="00E73A38"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нематодами травного каналу 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та легеневими нематодами: </w:t>
      </w:r>
      <w:bookmarkEnd w:id="1"/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Trichostrongylus colubriformis, T. axei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Ostertagia circumcincta, Haemonchus contortus, Nematodirus spathiger, Oesophagostomum venulosum, O. columbianum, O. radiatum, Bunostomum trigonocephalus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Trichuris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skrjabini, T. ovis, T. globulosa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Strongyloides papillosus,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Dictyocaulus filaria, D. viviparus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Muellerius capillaris, Protostrongylus kochi, Neoascaris vitulorum 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тощо;</w:t>
      </w:r>
    </w:p>
    <w:p w:rsidR="00861002" w:rsidRPr="00E73A38" w:rsidRDefault="00861002" w:rsidP="00D2240D">
      <w:pPr>
        <w:tabs>
          <w:tab w:val="left" w:pos="65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свині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– </w:t>
      </w:r>
      <w:bookmarkStart w:id="2" w:name="_Hlk187737529"/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нематодами родів: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bookmarkEnd w:id="2"/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Ascaris suum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Trichuris suis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Oesophagostomum dentatum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Metastrongylus elongatus, M. pudendotectus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M. salmi, M. pulmonalis, M. tschiauricus, Ollulanus tricuspis, O. suis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Strongyloides ransomi;</w:t>
      </w:r>
    </w:p>
    <w:p w:rsidR="00861002" w:rsidRPr="00E73A38" w:rsidRDefault="00861002" w:rsidP="00D2240D">
      <w:pPr>
        <w:tabs>
          <w:tab w:val="left" w:pos="65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птиця </w:t>
      </w:r>
      <w:bookmarkStart w:id="3" w:name="_Hlk187674833"/>
      <w:r w:rsidRPr="00E73A38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>(кури, гуси, індики, голуби)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bookmarkEnd w:id="3"/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– нематодами видів: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Ascaridia galli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E73A3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Heterakis gallinarum, Capillaria spp., Trichostrongylus spp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bookmarkEnd w:id="0"/>
    <w:p w:rsidR="00861002" w:rsidRPr="00E73A38" w:rsidRDefault="00861002" w:rsidP="00D2240D">
      <w:pPr>
        <w:tabs>
          <w:tab w:val="left" w:pos="6564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5.3.Протипоказання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Не застосовувати тваринам і птиці, молоко або яйця як</w:t>
      </w:r>
      <w:r w:rsidR="00E73A38"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і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E73A38"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призначені для споживання людьми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!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Не використовувати хворим і виснаженим тваринам, самкам в останню третину вагітності, племінним плідникам у парувальний період і курям-несучкам.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eastAsia="uk-UA"/>
        </w:rPr>
        <w:t>Не застосовувати одночасно з пірантелом, морантелом, фосфорорганічними препаратами, неостигміном.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5.4. Побічна дія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 w:bidi="uk-UA"/>
        </w:rPr>
      </w:pPr>
      <w:r w:rsidRPr="00E73A38">
        <w:rPr>
          <w:rFonts w:ascii="Times New Roman" w:eastAsia="Times New Roman" w:hAnsi="Times New Roman"/>
          <w:bCs/>
          <w:sz w:val="24"/>
          <w:szCs w:val="24"/>
          <w:lang w:val="uk-UA" w:eastAsia="uk-UA" w:bidi="uk-UA"/>
        </w:rPr>
        <w:lastRenderedPageBreak/>
        <w:t xml:space="preserve">Побічні ефекти виникають при значному передозуванні препарату. 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 w:bidi="uk-UA"/>
        </w:rPr>
      </w:pPr>
      <w:r w:rsidRPr="00E73A38">
        <w:rPr>
          <w:rFonts w:ascii="Times New Roman" w:eastAsia="Times New Roman" w:hAnsi="Times New Roman"/>
          <w:bCs/>
          <w:sz w:val="24"/>
          <w:szCs w:val="24"/>
          <w:lang w:val="uk-UA" w:eastAsia="uk-UA" w:bidi="uk-UA"/>
        </w:rPr>
        <w:t xml:space="preserve">Побічні ефекти виникають при значному передозуванні препарату. У великої рогатої худоби з’являється піна навколо рота або гіперсалівація. Таке стається після введення великих доз препарату або одночасного застосування з фосфорорганічними речовинами. Ці симптоми, як правило, зникають через 2 години, а незначна припухлість — через декілька днів. 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 w:bidi="uk-UA"/>
        </w:rPr>
      </w:pPr>
      <w:r w:rsidRPr="00E73A38">
        <w:rPr>
          <w:rFonts w:ascii="Times New Roman" w:eastAsia="Times New Roman" w:hAnsi="Times New Roman"/>
          <w:bCs/>
          <w:sz w:val="24"/>
          <w:szCs w:val="24"/>
          <w:lang w:val="uk-UA" w:eastAsia="uk-UA" w:bidi="uk-UA"/>
        </w:rPr>
        <w:t>У овець може спостерігатися тимчасове збудження, у свиней — салівація та піна навколо рота, а при ураженні легеневими нематодами — кашель та блювота.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5.5. Особливості застереження при використанні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Не застосовувати одночасно з пірантелом, морантелом, фосфорорганічними препаратами, неостигміном!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5.6. Застосування під час вагітності, лактації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>Не використовувати самкам в останню третину вагітності.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5.7. Взаємодія з іншими засобами та інші форми взаємодії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При застосуванні одночасно з препаратами нікотиноподібної дії (пірантел, морантел, диетилкарбамазин) та інгібіторами холінестерази (фосфорорганічні препарати, неостигмін) токсичний ефект Бровалевамізолу 8% може посилюватися.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Препарат може посилювати імунну реакцію і ефективність вакцин проти бруцельозу.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Одночасне застосування препарату з хлорамфеніколом може призвести до загибелі тварин.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5.8. Дози і способи введення тваринам різного віку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Pr="00E73A38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велика рогата худоба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– 1 мл на 10 кг маси тіла, але не більше 30 мл одній тварині, підшкірно (нижня середина шиї ) або внутрішньом'язово (ділянка ліктьового м'яза); дозу понад 15 мл ділять на дві частини і вводять у різні місця;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Pr="00E73A38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свині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– 1 мл на 10 кг маси тіла при масі тварини до 150 кг, на кожні наступні 50 кг додають 2,5 мл, підшкірно (ділянка колінної складки або за вухом) або внутрішньом'язово; дозу понад 10 мл ділять на дві частини і вводять з двох сторін;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Pr="00E73A38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вівці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– 1 мл на 10 кг маси тіла,  при масі тварини понад 50 кг – 6 мл, підшкірно, одноразово;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Pr="00E73A38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птиця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– 3-4 мл на 10 кг маси тіла, перорально з водою, одноразово або дозу ділять на 3-4 дні;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</w:t>
      </w:r>
      <w:r w:rsidRPr="00E73A38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голуби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– 1 мл на 200 мл води, розчин дають замість води 3-5 днів.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5.9. Передозування (симптоми, невідкладні заходи, антидоти)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Cs/>
          <w:snapToGrid w:val="0"/>
          <w:sz w:val="24"/>
          <w:szCs w:val="24"/>
          <w:lang w:val="uk-UA" w:eastAsia="ru-RU"/>
        </w:rPr>
        <w:t>Симптоми при передозуванні препарату схожі на передозування фосфорорганічними препаратами: гіперсалівація, гіперстезія, неспокій, клонічні судоми, пригнічення ЦНС, задишка, дефекація, сечовипускання і колапс. При таких симптомах застосовують симптоматичне лікування, оскільки симптоми проходять самі по собі через декілька годин після введення препарату. Гостре передозування препарату може призвести до загибелі тварини внаслідок зупинки дихання.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5.10. Спеціальні застереження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Не застосовувати препарат внутрішньовенно! Тваринам із сильною інвазією гельмінтами або з постійною ймовірністю контакту з паразитами через 2-4 тижні після першої обробки лікування повторюють.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5.11. Період виведення (каренція)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Після останнього застосування препарату забій ВРХ, овець, свиней та птиці на м′ясо дозволяється через 8 діб. 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М’ясо, отримане раніше вказаного терміну кареції, залежно від висновку лікаря ветеринарної медицини використовують тільки для годування м’ясоїдних тварин або виготовлення м’</w:t>
      </w:r>
      <w:r w:rsidR="00E73A38"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ясо-кісткового борошна.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5.12. Спеціальні застереження для осіб і обслуговуючого персоналу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ru-RU"/>
        </w:rPr>
        <w:t>Персонал, який працює з препаратом, повинен дотримуватися основних правил гігієни та безпеки, що прийняті при роботі з ветеринарними препаратами.</w:t>
      </w:r>
    </w:p>
    <w:p w:rsidR="00861002" w:rsidRPr="00E73A38" w:rsidRDefault="00861002" w:rsidP="00D22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ru-RU"/>
        </w:rPr>
        <w:t>При випадковому введенні препарату людині, необхідно звернутися до лікаря, маючи при собі цю листівку вкладку.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 Фармацевтичні особливості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6.1. Форми несумісності (основні).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>Не застосовувати одночасно з пірантелом, морантелом, фосфорорганічними препаратами, неостигміном, хлорамфеніколом.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 xml:space="preserve">6.2. Термін придатності 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ru-RU"/>
        </w:rPr>
        <w:t>3 роки.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6.3. Особливі заходи зберігання</w:t>
      </w:r>
    </w:p>
    <w:p w:rsidR="00861002" w:rsidRPr="00E73A38" w:rsidRDefault="00861002" w:rsidP="00D2240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У сухому темному, </w:t>
      </w:r>
      <w:r w:rsidR="00D2240D"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недоступному для дітей, місці </w:t>
      </w: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за температури від 1 до 25 °С.</w:t>
      </w:r>
    </w:p>
    <w:p w:rsidR="00861002" w:rsidRPr="00E73A38" w:rsidRDefault="00861002" w:rsidP="00D2240D">
      <w:pPr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lastRenderedPageBreak/>
        <w:t>6.4. Природа і склад контейнера первинного пакування</w:t>
      </w:r>
    </w:p>
    <w:p w:rsidR="00861002" w:rsidRPr="00E73A38" w:rsidRDefault="00861002" w:rsidP="00D2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uk-UA"/>
        </w:rPr>
        <w:t>Скляні флакони по 10, 20, 50, 100 мл з гумовими корками і алюмінієвою обкаткою.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6.5. Особливі заходи безпеки при поводженні з невикористаним засобом або його залишками.</w:t>
      </w:r>
    </w:p>
    <w:p w:rsidR="00861002" w:rsidRPr="00E73A38" w:rsidRDefault="00861002" w:rsidP="00D22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 xml:space="preserve">Невикористаний препарат повинен бути утилізований відповідно </w:t>
      </w:r>
      <w:r w:rsidR="00D2240D"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>до</w:t>
      </w:r>
      <w:r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 xml:space="preserve"> національни</w:t>
      </w:r>
      <w:r w:rsidR="00D2240D"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>х</w:t>
      </w:r>
      <w:r w:rsidRPr="00E73A38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 xml:space="preserve"> вимог</w:t>
      </w:r>
      <w:r w:rsidRPr="00E73A38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.</w:t>
      </w:r>
    </w:p>
    <w:p w:rsidR="00861002" w:rsidRPr="00E73A38" w:rsidRDefault="00861002" w:rsidP="00D22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 Назва та місцезнаходження власника реєстраційного посвідчення</w:t>
      </w:r>
    </w:p>
    <w:p w:rsidR="00861002" w:rsidRPr="00E73A38" w:rsidRDefault="00861002" w:rsidP="00D22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ru-RU"/>
        </w:rPr>
        <w:t>ТОВ “БРОВАФАРМА”</w:t>
      </w:r>
    </w:p>
    <w:p w:rsidR="00861002" w:rsidRPr="00E73A38" w:rsidRDefault="00861002" w:rsidP="00D22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ru-RU"/>
        </w:rPr>
        <w:t>б-р Незалежності 18-а, м. Бровари, Київська обл., 07400</w:t>
      </w:r>
    </w:p>
    <w:p w:rsidR="00861002" w:rsidRPr="00E73A38" w:rsidRDefault="00861002" w:rsidP="00D2240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73A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Назва та місцезнаходження виробника (виробників)</w:t>
      </w:r>
    </w:p>
    <w:p w:rsidR="00861002" w:rsidRPr="00E73A38" w:rsidRDefault="00861002" w:rsidP="00D2240D">
      <w:pPr>
        <w:suppressAutoHyphens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ar-SA"/>
        </w:rPr>
        <w:t>ТОВ “БРОВАФАРМА”</w:t>
      </w:r>
    </w:p>
    <w:p w:rsidR="00861002" w:rsidRPr="00E73A38" w:rsidRDefault="00861002" w:rsidP="00D2240D">
      <w:pPr>
        <w:suppressAutoHyphens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73A38">
        <w:rPr>
          <w:rFonts w:ascii="Times New Roman" w:eastAsia="Times New Roman" w:hAnsi="Times New Roman"/>
          <w:sz w:val="24"/>
          <w:szCs w:val="24"/>
          <w:lang w:val="uk-UA" w:eastAsia="ar-SA"/>
        </w:rPr>
        <w:t>б-р Незалежності 18-а, м. Бровари, Київська обл., 07400</w:t>
      </w:r>
    </w:p>
    <w:p w:rsidR="00E56FC7" w:rsidRPr="00E73A38" w:rsidRDefault="00861002" w:rsidP="00D2240D">
      <w:pPr>
        <w:spacing w:after="0" w:line="240" w:lineRule="auto"/>
        <w:ind w:firstLine="540"/>
        <w:jc w:val="both"/>
        <w:rPr>
          <w:sz w:val="24"/>
          <w:szCs w:val="24"/>
          <w:lang w:val="uk-UA"/>
        </w:rPr>
      </w:pPr>
      <w:r w:rsidRPr="00E73A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Додаткова інформація</w:t>
      </w:r>
      <w:bookmarkStart w:id="4" w:name="_gjdgxs" w:colFirst="0" w:colLast="0"/>
      <w:bookmarkStart w:id="5" w:name="_GoBack"/>
      <w:bookmarkEnd w:id="4"/>
      <w:bookmarkEnd w:id="5"/>
    </w:p>
    <w:sectPr w:rsidR="00E56FC7" w:rsidRPr="00E73A38" w:rsidSect="00D2240D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02"/>
    <w:rsid w:val="005E6DE3"/>
    <w:rsid w:val="00702AA3"/>
    <w:rsid w:val="00853812"/>
    <w:rsid w:val="00861002"/>
    <w:rsid w:val="008918EE"/>
    <w:rsid w:val="00B12AD6"/>
    <w:rsid w:val="00B26DF2"/>
    <w:rsid w:val="00BD2A76"/>
    <w:rsid w:val="00C26FB1"/>
    <w:rsid w:val="00D2240D"/>
    <w:rsid w:val="00E35C35"/>
    <w:rsid w:val="00E56FC7"/>
    <w:rsid w:val="00E73A38"/>
    <w:rsid w:val="00F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AE99"/>
  <w15:docId w15:val="{C8E52AA6-44F2-486F-83E6-575B158A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6D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6DE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5E6DE3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6DE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5E6DE3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E6D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4969</Words>
  <Characters>2833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Распутний</dc:creator>
  <cp:lastModifiedBy>admin</cp:lastModifiedBy>
  <cp:revision>10</cp:revision>
  <dcterms:created xsi:type="dcterms:W3CDTF">2025-03-10T09:16:00Z</dcterms:created>
  <dcterms:modified xsi:type="dcterms:W3CDTF">2025-06-18T15:57:00Z</dcterms:modified>
</cp:coreProperties>
</file>