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46D3" w14:textId="622BE459" w:rsidR="003862BA" w:rsidRPr="00CA0D48" w:rsidRDefault="003862BA" w:rsidP="003862BA">
      <w:pPr>
        <w:ind w:left="5760" w:firstLine="720"/>
        <w:jc w:val="right"/>
        <w:rPr>
          <w:lang w:val="uk-UA"/>
        </w:rPr>
      </w:pPr>
      <w:r w:rsidRPr="00CA0D48">
        <w:t xml:space="preserve">Додаток </w:t>
      </w:r>
      <w:r w:rsidRPr="00CA0D48">
        <w:rPr>
          <w:lang w:val="uk-UA"/>
        </w:rPr>
        <w:t>1</w:t>
      </w:r>
    </w:p>
    <w:p w14:paraId="2F6DC539" w14:textId="3DF53B83" w:rsidR="003862BA" w:rsidRPr="00CA0D48" w:rsidRDefault="003862BA" w:rsidP="003862BA">
      <w:pPr>
        <w:ind w:firstLine="426"/>
        <w:jc w:val="right"/>
        <w:rPr>
          <w:lang w:val="uk-UA"/>
        </w:rPr>
      </w:pPr>
      <w:r w:rsidRPr="00CA0D48">
        <w:rPr>
          <w:lang w:val="uk-UA"/>
        </w:rPr>
        <w:t xml:space="preserve">                                                       </w:t>
      </w:r>
      <w:r w:rsidRPr="00CA0D48">
        <w:t>до реєстраційного посвідчення</w:t>
      </w:r>
      <w:r w:rsidRPr="00CA0D48">
        <w:rPr>
          <w:lang w:val="uk-UA"/>
        </w:rPr>
        <w:t xml:space="preserve"> АВ-01015-01-10</w:t>
      </w:r>
    </w:p>
    <w:p w14:paraId="03F8EB42" w14:textId="77777777" w:rsidR="003862BA" w:rsidRPr="00CA0D48" w:rsidRDefault="003862BA" w:rsidP="003862BA">
      <w:pPr>
        <w:ind w:firstLine="426"/>
        <w:jc w:val="right"/>
      </w:pPr>
    </w:p>
    <w:p w14:paraId="01B1A521" w14:textId="77777777" w:rsidR="004C258B" w:rsidRPr="00CA0D48" w:rsidRDefault="000E02F8">
      <w:pPr>
        <w:spacing w:line="360" w:lineRule="auto"/>
        <w:jc w:val="center"/>
        <w:rPr>
          <w:b/>
          <w:bCs/>
          <w:lang w:val="uk-UA"/>
        </w:rPr>
      </w:pPr>
      <w:r w:rsidRPr="00CA0D48">
        <w:rPr>
          <w:b/>
          <w:bCs/>
          <w:lang w:val="uk-UA"/>
        </w:rPr>
        <w:t>Коротка  характеристика  препарату</w:t>
      </w:r>
    </w:p>
    <w:p w14:paraId="7F65EE35" w14:textId="77777777" w:rsidR="003862BA" w:rsidRPr="00CA0D48" w:rsidRDefault="003862BA">
      <w:pPr>
        <w:spacing w:line="360" w:lineRule="auto"/>
        <w:jc w:val="center"/>
        <w:rPr>
          <w:b/>
          <w:bCs/>
          <w:lang w:val="uk-UA"/>
        </w:rPr>
      </w:pPr>
    </w:p>
    <w:p w14:paraId="17188DED" w14:textId="77777777" w:rsidR="004C258B" w:rsidRPr="00CA0D48" w:rsidRDefault="000E02F8">
      <w:pPr>
        <w:ind w:firstLine="567"/>
        <w:jc w:val="both"/>
        <w:rPr>
          <w:b/>
          <w:lang w:val="uk-UA"/>
        </w:rPr>
      </w:pPr>
      <w:r w:rsidRPr="00CA0D48">
        <w:rPr>
          <w:b/>
          <w:lang w:val="uk-UA"/>
        </w:rPr>
        <w:t>1. Назва</w:t>
      </w:r>
    </w:p>
    <w:p w14:paraId="240973A6" w14:textId="77777777" w:rsidR="004C258B" w:rsidRPr="00CA0D48" w:rsidRDefault="000E02F8">
      <w:pPr>
        <w:ind w:firstLine="567"/>
        <w:jc w:val="both"/>
        <w:rPr>
          <w:lang w:val="uk-UA"/>
        </w:rPr>
      </w:pPr>
      <w:bookmarkStart w:id="0" w:name="_GoBack"/>
      <w:r w:rsidRPr="00CA0D48">
        <w:rPr>
          <w:lang w:val="uk-UA"/>
        </w:rPr>
        <w:t>ГЕНТАВЕТ 10%</w:t>
      </w:r>
    </w:p>
    <w:bookmarkEnd w:id="0"/>
    <w:p w14:paraId="19A67AC7" w14:textId="77777777" w:rsidR="004C258B" w:rsidRPr="00CA0D48" w:rsidRDefault="000E02F8">
      <w:pPr>
        <w:ind w:firstLine="567"/>
        <w:jc w:val="both"/>
        <w:rPr>
          <w:b/>
          <w:lang w:val="uk-UA"/>
        </w:rPr>
      </w:pPr>
      <w:r w:rsidRPr="00CA0D48">
        <w:rPr>
          <w:b/>
          <w:lang w:val="uk-UA"/>
        </w:rPr>
        <w:t>2.   Склад:</w:t>
      </w:r>
    </w:p>
    <w:p w14:paraId="22C0E51C" w14:textId="5D985C37" w:rsidR="004C258B" w:rsidRPr="00CA0D48" w:rsidRDefault="000E02F8">
      <w:pPr>
        <w:spacing w:line="100" w:lineRule="atLeast"/>
        <w:ind w:firstLine="567"/>
        <w:jc w:val="both"/>
        <w:rPr>
          <w:lang w:eastAsia="ar-SA"/>
        </w:rPr>
      </w:pPr>
      <w:r w:rsidRPr="00CA0D48">
        <w:rPr>
          <w:lang w:eastAsia="ar-SA"/>
        </w:rPr>
        <w:t>1 мл препарату містить діючу речовину:</w:t>
      </w:r>
    </w:p>
    <w:p w14:paraId="5BEC9ED9" w14:textId="577615A8" w:rsidR="003B2364" w:rsidRPr="00CA0D48" w:rsidRDefault="003B2364">
      <w:pPr>
        <w:spacing w:line="100" w:lineRule="atLeast"/>
        <w:ind w:firstLine="567"/>
        <w:jc w:val="both"/>
        <w:rPr>
          <w:lang w:val="uk-UA" w:eastAsia="ar-SA"/>
        </w:rPr>
      </w:pPr>
      <w:r w:rsidRPr="00CA0D48">
        <w:rPr>
          <w:lang w:val="uk-UA" w:eastAsia="ar-SA"/>
        </w:rPr>
        <w:t>гентаміцину сульфат – 100,0 мг.</w:t>
      </w:r>
    </w:p>
    <w:p w14:paraId="007B0818" w14:textId="77777777" w:rsidR="004C258B" w:rsidRPr="00CA0D48" w:rsidRDefault="000E02F8">
      <w:pPr>
        <w:ind w:firstLine="567"/>
        <w:jc w:val="both"/>
        <w:rPr>
          <w:lang w:val="uk-UA"/>
        </w:rPr>
      </w:pPr>
      <w:r w:rsidRPr="00CA0D48">
        <w:rPr>
          <w:lang w:val="uk-UA"/>
        </w:rPr>
        <w:t>Допоміжні речовини: натрію метабісульфіт, трилон Б, 1,2-пропіленгліколь, вода очищена.</w:t>
      </w:r>
    </w:p>
    <w:p w14:paraId="0AF21E8B" w14:textId="77777777" w:rsidR="004C258B" w:rsidRPr="00CA0D48" w:rsidRDefault="000E02F8">
      <w:pPr>
        <w:ind w:firstLine="567"/>
        <w:jc w:val="both"/>
        <w:rPr>
          <w:b/>
          <w:lang w:val="uk-UA"/>
        </w:rPr>
      </w:pPr>
      <w:r w:rsidRPr="00CA0D48">
        <w:rPr>
          <w:b/>
          <w:lang w:val="uk-UA"/>
        </w:rPr>
        <w:t>3. Фармацевтична  форма</w:t>
      </w:r>
    </w:p>
    <w:p w14:paraId="058A7937" w14:textId="77777777" w:rsidR="004C258B" w:rsidRPr="00CA0D48" w:rsidRDefault="000E02F8">
      <w:pPr>
        <w:ind w:firstLine="567"/>
        <w:jc w:val="both"/>
        <w:rPr>
          <w:lang w:val="uk-UA"/>
        </w:rPr>
      </w:pPr>
      <w:r w:rsidRPr="00CA0D48">
        <w:rPr>
          <w:lang w:val="uk-UA"/>
        </w:rPr>
        <w:t>Розчин для перорального застосування.</w:t>
      </w:r>
    </w:p>
    <w:p w14:paraId="2C58F33C" w14:textId="77777777" w:rsidR="004C258B" w:rsidRPr="00CA0D48" w:rsidRDefault="000E02F8">
      <w:pPr>
        <w:ind w:firstLine="567"/>
        <w:jc w:val="both"/>
        <w:rPr>
          <w:b/>
          <w:lang w:val="uk-UA"/>
        </w:rPr>
      </w:pPr>
      <w:r w:rsidRPr="00CA0D48">
        <w:rPr>
          <w:b/>
          <w:lang w:val="uk-UA"/>
        </w:rPr>
        <w:t>4.  Фармакологічні  властивості:</w:t>
      </w:r>
    </w:p>
    <w:p w14:paraId="6B780220" w14:textId="77777777" w:rsidR="004C258B" w:rsidRPr="00CA0D48" w:rsidRDefault="000E02F8">
      <w:pPr>
        <w:ind w:firstLine="567"/>
        <w:jc w:val="both"/>
        <w:rPr>
          <w:b/>
          <w:i/>
        </w:rPr>
      </w:pPr>
      <w:r w:rsidRPr="00CA0D48">
        <w:rPr>
          <w:b/>
          <w:i/>
        </w:rPr>
        <w:t>АТС vet класифікаційний код QJ01 – антибактеріальні ветеринарні препарати для системного застосування. QJ01GB03 – Гентаміцин.</w:t>
      </w:r>
    </w:p>
    <w:p w14:paraId="75F66618" w14:textId="77777777" w:rsidR="004C258B" w:rsidRPr="00CA0D48" w:rsidRDefault="000E02F8">
      <w:pPr>
        <w:ind w:firstLine="567"/>
        <w:jc w:val="both"/>
        <w:rPr>
          <w:lang w:val="uk-UA"/>
        </w:rPr>
      </w:pPr>
      <w:r w:rsidRPr="00CA0D48">
        <w:rPr>
          <w:lang w:val="uk-UA"/>
        </w:rPr>
        <w:t>Гентаміцин - аміноглікозидний антибіотик. Механізм його дії полягає в порушенні синтезу бактеріального білка шляхом зв'язування з 30S</w:t>
      </w:r>
      <w:r w:rsidRPr="00CA0D48">
        <w:rPr>
          <w:rFonts w:eastAsia="Lucida Sans Unicode"/>
          <w:lang w:val="uk-UA"/>
        </w:rPr>
        <w:t>-</w:t>
      </w:r>
      <w:r w:rsidRPr="00CA0D48">
        <w:rPr>
          <w:lang w:val="uk-UA"/>
        </w:rPr>
        <w:t>субодиницею бактеріальних рибосом. За цих умов спостерігають утворення білка з невідповідною амінокислотною послідовністю. Він активний по відношенню до грамнегативних та грампозитивних м</w:t>
      </w:r>
      <w:r w:rsidRPr="00CA0D48">
        <w:t>i</w:t>
      </w:r>
      <w:r w:rsidRPr="00CA0D48">
        <w:rPr>
          <w:lang w:val="uk-UA"/>
        </w:rPr>
        <w:t>кроорган</w:t>
      </w:r>
      <w:r w:rsidRPr="00CA0D48">
        <w:t>i</w:t>
      </w:r>
      <w:r w:rsidRPr="00CA0D48">
        <w:rPr>
          <w:lang w:val="uk-UA"/>
        </w:rPr>
        <w:t>зм</w:t>
      </w:r>
      <w:r w:rsidRPr="00CA0D48">
        <w:t>i</w:t>
      </w:r>
      <w:r w:rsidRPr="00CA0D48">
        <w:rPr>
          <w:lang w:val="uk-UA"/>
        </w:rPr>
        <w:t xml:space="preserve">в: </w:t>
      </w:r>
      <w:r w:rsidRPr="00CA0D48">
        <w:rPr>
          <w:i/>
        </w:rPr>
        <w:t>Escherichia</w:t>
      </w:r>
      <w:r w:rsidRPr="00CA0D48">
        <w:rPr>
          <w:i/>
          <w:lang w:val="uk-UA"/>
        </w:rPr>
        <w:t xml:space="preserve"> </w:t>
      </w:r>
      <w:r w:rsidRPr="00CA0D48">
        <w:rPr>
          <w:i/>
        </w:rPr>
        <w:t>coli</w:t>
      </w:r>
      <w:r w:rsidRPr="00CA0D48">
        <w:rPr>
          <w:i/>
          <w:lang w:val="uk-UA"/>
        </w:rPr>
        <w:t xml:space="preserve">, </w:t>
      </w:r>
      <w:r w:rsidRPr="00CA0D48">
        <w:rPr>
          <w:i/>
        </w:rPr>
        <w:t>Salmonella</w:t>
      </w:r>
      <w:r w:rsidRPr="00CA0D48">
        <w:rPr>
          <w:i/>
          <w:lang w:val="uk-UA"/>
        </w:rPr>
        <w:t xml:space="preserve"> </w:t>
      </w:r>
      <w:r w:rsidRPr="00CA0D48">
        <w:rPr>
          <w:i/>
        </w:rPr>
        <w:t>spp</w:t>
      </w:r>
      <w:r w:rsidRPr="00CA0D48">
        <w:rPr>
          <w:i/>
          <w:lang w:val="uk-UA"/>
        </w:rPr>
        <w:t xml:space="preserve">.,  </w:t>
      </w:r>
      <w:r w:rsidRPr="00CA0D48">
        <w:rPr>
          <w:i/>
        </w:rPr>
        <w:t>Shigella</w:t>
      </w:r>
      <w:r w:rsidRPr="00CA0D48">
        <w:rPr>
          <w:i/>
          <w:lang w:val="uk-UA"/>
        </w:rPr>
        <w:t xml:space="preserve"> </w:t>
      </w:r>
      <w:r w:rsidRPr="00CA0D48">
        <w:rPr>
          <w:i/>
        </w:rPr>
        <w:t>spp</w:t>
      </w:r>
      <w:r w:rsidRPr="00CA0D48">
        <w:rPr>
          <w:i/>
          <w:lang w:val="uk-UA"/>
        </w:rPr>
        <w:t xml:space="preserve">., </w:t>
      </w:r>
      <w:r w:rsidRPr="00CA0D48">
        <w:rPr>
          <w:i/>
        </w:rPr>
        <w:t>Enterobacter</w:t>
      </w:r>
      <w:r w:rsidRPr="00CA0D48">
        <w:rPr>
          <w:i/>
          <w:lang w:val="uk-UA"/>
        </w:rPr>
        <w:t xml:space="preserve"> </w:t>
      </w:r>
      <w:r w:rsidRPr="00CA0D48">
        <w:rPr>
          <w:i/>
        </w:rPr>
        <w:t>aerogenes</w:t>
      </w:r>
      <w:r w:rsidRPr="00CA0D48">
        <w:rPr>
          <w:i/>
          <w:lang w:val="uk-UA"/>
        </w:rPr>
        <w:t xml:space="preserve">,  </w:t>
      </w:r>
      <w:r w:rsidRPr="00CA0D48">
        <w:rPr>
          <w:i/>
        </w:rPr>
        <w:t>Klebsiella</w:t>
      </w:r>
      <w:r w:rsidRPr="00CA0D48">
        <w:rPr>
          <w:i/>
          <w:lang w:val="uk-UA"/>
        </w:rPr>
        <w:t xml:space="preserve"> </w:t>
      </w:r>
      <w:r w:rsidRPr="00CA0D48">
        <w:rPr>
          <w:i/>
        </w:rPr>
        <w:t>spp</w:t>
      </w:r>
      <w:r w:rsidRPr="00CA0D48">
        <w:rPr>
          <w:i/>
          <w:lang w:val="uk-UA"/>
        </w:rPr>
        <w:t>.</w:t>
      </w:r>
      <w:r w:rsidRPr="00CA0D48">
        <w:rPr>
          <w:lang w:val="uk-UA"/>
        </w:rPr>
        <w:t xml:space="preserve">, деяких видів </w:t>
      </w:r>
      <w:r w:rsidRPr="00CA0D48">
        <w:rPr>
          <w:i/>
        </w:rPr>
        <w:t>Proteus</w:t>
      </w:r>
      <w:r w:rsidRPr="00CA0D48">
        <w:rPr>
          <w:i/>
          <w:lang w:val="uk-UA"/>
        </w:rPr>
        <w:t xml:space="preserve"> </w:t>
      </w:r>
      <w:r w:rsidRPr="00CA0D48">
        <w:rPr>
          <w:i/>
        </w:rPr>
        <w:t>spp</w:t>
      </w:r>
      <w:r w:rsidRPr="00CA0D48">
        <w:rPr>
          <w:i/>
          <w:lang w:val="uk-UA"/>
        </w:rPr>
        <w:t>.</w:t>
      </w:r>
      <w:r w:rsidRPr="00CA0D48">
        <w:rPr>
          <w:lang w:val="uk-UA"/>
        </w:rPr>
        <w:t xml:space="preserve"> та </w:t>
      </w:r>
      <w:r w:rsidRPr="00CA0D48">
        <w:rPr>
          <w:i/>
        </w:rPr>
        <w:t>Serratia</w:t>
      </w:r>
      <w:r w:rsidRPr="00CA0D48">
        <w:rPr>
          <w:i/>
          <w:lang w:val="uk-UA"/>
        </w:rPr>
        <w:t xml:space="preserve"> </w:t>
      </w:r>
      <w:r w:rsidRPr="00CA0D48">
        <w:rPr>
          <w:i/>
        </w:rPr>
        <w:t>spp</w:t>
      </w:r>
      <w:r w:rsidRPr="00CA0D48">
        <w:rPr>
          <w:i/>
          <w:lang w:val="uk-UA"/>
        </w:rPr>
        <w:t>.</w:t>
      </w:r>
      <w:r w:rsidRPr="00CA0D48">
        <w:rPr>
          <w:lang w:val="uk-UA"/>
        </w:rPr>
        <w:t xml:space="preserve">, </w:t>
      </w:r>
      <w:r w:rsidRPr="00CA0D48">
        <w:rPr>
          <w:i/>
        </w:rPr>
        <w:t>Pseudomonas</w:t>
      </w:r>
      <w:r w:rsidRPr="00CA0D48">
        <w:rPr>
          <w:i/>
          <w:lang w:val="uk-UA"/>
        </w:rPr>
        <w:t xml:space="preserve">  </w:t>
      </w:r>
      <w:r w:rsidRPr="00CA0D48">
        <w:rPr>
          <w:i/>
        </w:rPr>
        <w:t>aeruginosa</w:t>
      </w:r>
      <w:r w:rsidRPr="00CA0D48">
        <w:rPr>
          <w:i/>
          <w:lang w:val="uk-UA"/>
        </w:rPr>
        <w:t xml:space="preserve">, </w:t>
      </w:r>
      <w:r w:rsidRPr="00CA0D48">
        <w:rPr>
          <w:i/>
        </w:rPr>
        <w:t>Pasteurella</w:t>
      </w:r>
      <w:r w:rsidRPr="00CA0D48">
        <w:rPr>
          <w:i/>
          <w:lang w:val="uk-UA"/>
        </w:rPr>
        <w:t xml:space="preserve"> </w:t>
      </w:r>
      <w:r w:rsidRPr="00CA0D48">
        <w:rPr>
          <w:i/>
        </w:rPr>
        <w:t>multocida</w:t>
      </w:r>
      <w:r w:rsidRPr="00CA0D48">
        <w:rPr>
          <w:i/>
          <w:lang w:val="uk-UA"/>
        </w:rPr>
        <w:t xml:space="preserve">, </w:t>
      </w:r>
      <w:r w:rsidRPr="00CA0D48">
        <w:rPr>
          <w:i/>
        </w:rPr>
        <w:t>Sta</w:t>
      </w:r>
      <w:r w:rsidRPr="00CA0D48">
        <w:rPr>
          <w:i/>
          <w:lang w:val="uk-UA"/>
        </w:rPr>
        <w:t>р</w:t>
      </w:r>
      <w:r w:rsidRPr="00CA0D48">
        <w:rPr>
          <w:i/>
        </w:rPr>
        <w:t>hylococcus</w:t>
      </w:r>
      <w:r w:rsidRPr="00CA0D48">
        <w:rPr>
          <w:i/>
          <w:lang w:val="uk-UA"/>
        </w:rPr>
        <w:t xml:space="preserve"> </w:t>
      </w:r>
      <w:r w:rsidRPr="00CA0D48">
        <w:rPr>
          <w:i/>
        </w:rPr>
        <w:t>aureus</w:t>
      </w:r>
      <w:r w:rsidRPr="00CA0D48">
        <w:rPr>
          <w:i/>
          <w:lang w:val="uk-UA"/>
        </w:rPr>
        <w:t xml:space="preserve">, </w:t>
      </w:r>
      <w:r w:rsidRPr="00CA0D48">
        <w:rPr>
          <w:i/>
        </w:rPr>
        <w:t>Serpulina</w:t>
      </w:r>
      <w:r w:rsidRPr="00CA0D48">
        <w:rPr>
          <w:i/>
          <w:lang w:val="uk-UA"/>
        </w:rPr>
        <w:t xml:space="preserve">  </w:t>
      </w:r>
      <w:r w:rsidRPr="00CA0D48">
        <w:rPr>
          <w:i/>
        </w:rPr>
        <w:t>hyodysenteriae</w:t>
      </w:r>
      <w:r w:rsidRPr="00CA0D48">
        <w:rPr>
          <w:i/>
          <w:lang w:val="uk-UA"/>
        </w:rPr>
        <w:t xml:space="preserve">, </w:t>
      </w:r>
      <w:r w:rsidRPr="00CA0D48">
        <w:rPr>
          <w:i/>
        </w:rPr>
        <w:t>Mycoplasma</w:t>
      </w:r>
      <w:r w:rsidRPr="00CA0D48">
        <w:rPr>
          <w:i/>
          <w:lang w:val="uk-UA"/>
        </w:rPr>
        <w:t xml:space="preserve">  </w:t>
      </w:r>
      <w:r w:rsidRPr="00CA0D48">
        <w:rPr>
          <w:i/>
        </w:rPr>
        <w:t>spp</w:t>
      </w:r>
      <w:r w:rsidRPr="00CA0D48">
        <w:rPr>
          <w:i/>
          <w:lang w:val="uk-UA"/>
        </w:rPr>
        <w:t>.</w:t>
      </w:r>
    </w:p>
    <w:p w14:paraId="08B78E80" w14:textId="77777777" w:rsidR="004C258B" w:rsidRPr="00CA0D48" w:rsidRDefault="000E02F8">
      <w:pPr>
        <w:ind w:firstLine="567"/>
        <w:jc w:val="both"/>
        <w:rPr>
          <w:lang w:val="uk-UA"/>
        </w:rPr>
      </w:pPr>
      <w:r w:rsidRPr="00CA0D48">
        <w:rPr>
          <w:lang w:val="uk-UA"/>
        </w:rPr>
        <w:t>Резистентність до нього виникає  рідко і розвивається повільно.</w:t>
      </w:r>
    </w:p>
    <w:p w14:paraId="04E267A5" w14:textId="2EA1FC82" w:rsidR="004C258B" w:rsidRPr="00CA0D48" w:rsidRDefault="0065229E">
      <w:pPr>
        <w:ind w:firstLine="567"/>
        <w:jc w:val="both"/>
      </w:pPr>
      <w:r w:rsidRPr="00CA0D48">
        <w:t xml:space="preserve">Гентаміцин після перорального застосування </w:t>
      </w:r>
      <w:r w:rsidRPr="00CA0D48">
        <w:rPr>
          <w:shd w:val="clear" w:color="auto" w:fill="FFFFFF"/>
        </w:rPr>
        <w:t>практично не всмоктується в кишечнику і діє переважно в травному каналі</w:t>
      </w:r>
      <w:r w:rsidRPr="00CA0D48">
        <w:t xml:space="preserve">. З білками плазми зв’язується менше, ніж 20 % гентаміцину. </w:t>
      </w:r>
      <w:r w:rsidR="000E02F8" w:rsidRPr="00CA0D48">
        <w:rPr>
          <w:lang w:val="uk-UA"/>
        </w:rPr>
        <w:t xml:space="preserve">Терапевтична концентрація зберігається в організмі від 8 до 12 годин. Гентаміцин проникає також у плевральну та черевну порожнину та через плаценту. </w:t>
      </w:r>
      <w:r w:rsidRPr="00CA0D48">
        <w:t xml:space="preserve">Гентаміцин не метаболізується в організмі </w:t>
      </w:r>
      <w:r w:rsidRPr="00CA0D48">
        <w:rPr>
          <w:lang w:val="uk-UA"/>
        </w:rPr>
        <w:t xml:space="preserve">та в </w:t>
      </w:r>
      <w:r w:rsidR="000E02F8" w:rsidRPr="00CA0D48">
        <w:rPr>
          <w:lang w:val="uk-UA"/>
        </w:rPr>
        <w:t xml:space="preserve"> активному виді виводиться нирками.</w:t>
      </w:r>
    </w:p>
    <w:p w14:paraId="2866975B" w14:textId="77777777" w:rsidR="004C258B" w:rsidRPr="00CA0D48" w:rsidRDefault="000E02F8">
      <w:pPr>
        <w:ind w:firstLine="567"/>
        <w:jc w:val="both"/>
        <w:rPr>
          <w:b/>
          <w:lang w:val="uk-UA"/>
        </w:rPr>
      </w:pPr>
      <w:r w:rsidRPr="00CA0D48">
        <w:rPr>
          <w:b/>
          <w:lang w:val="uk-UA"/>
        </w:rPr>
        <w:t>5. Клінічні  особливості</w:t>
      </w:r>
    </w:p>
    <w:p w14:paraId="02C9513C" w14:textId="77777777" w:rsidR="004C258B" w:rsidRPr="00CA0D48" w:rsidRDefault="000E02F8">
      <w:pPr>
        <w:ind w:firstLine="567"/>
        <w:jc w:val="both"/>
        <w:rPr>
          <w:b/>
          <w:lang w:val="uk-UA"/>
        </w:rPr>
      </w:pPr>
      <w:r w:rsidRPr="00CA0D48">
        <w:rPr>
          <w:b/>
          <w:lang w:val="uk-UA"/>
        </w:rPr>
        <w:t>5.1</w:t>
      </w:r>
      <w:r w:rsidRPr="00CA0D48">
        <w:rPr>
          <w:lang w:val="uk-UA"/>
        </w:rPr>
        <w:t xml:space="preserve"> </w:t>
      </w:r>
      <w:r w:rsidRPr="00CA0D48">
        <w:rPr>
          <w:b/>
          <w:lang w:val="uk-UA"/>
        </w:rPr>
        <w:t>Види тварин</w:t>
      </w:r>
    </w:p>
    <w:p w14:paraId="003E0FBE" w14:textId="77777777" w:rsidR="004C258B" w:rsidRPr="00CA0D48" w:rsidRDefault="000E02F8">
      <w:pPr>
        <w:ind w:firstLine="567"/>
        <w:jc w:val="both"/>
        <w:rPr>
          <w:lang w:val="uk-UA"/>
        </w:rPr>
      </w:pPr>
      <w:r w:rsidRPr="00CA0D48">
        <w:rPr>
          <w:lang w:val="uk-UA"/>
        </w:rPr>
        <w:t xml:space="preserve">Велика рогата худоба (телята </w:t>
      </w:r>
      <w:r w:rsidRPr="00CA0D48">
        <w:rPr>
          <w:color w:val="202020"/>
          <w:lang w:val="uk-UA"/>
        </w:rPr>
        <w:t>віком до 3-х місяців</w:t>
      </w:r>
      <w:r w:rsidRPr="00CA0D48">
        <w:rPr>
          <w:lang w:val="uk-UA"/>
        </w:rPr>
        <w:t>) та свині.</w:t>
      </w:r>
    </w:p>
    <w:p w14:paraId="67EE8E31" w14:textId="77777777" w:rsidR="004C258B" w:rsidRPr="00CA0D48" w:rsidRDefault="000E02F8">
      <w:pPr>
        <w:ind w:firstLine="567"/>
        <w:jc w:val="both"/>
        <w:rPr>
          <w:b/>
          <w:lang w:val="uk-UA"/>
        </w:rPr>
      </w:pPr>
      <w:r w:rsidRPr="00CA0D48">
        <w:rPr>
          <w:b/>
          <w:lang w:val="uk-UA"/>
        </w:rPr>
        <w:t>5.2 Покази до  застосування</w:t>
      </w:r>
    </w:p>
    <w:p w14:paraId="45D1D80B" w14:textId="1CA0684E" w:rsidR="004C258B" w:rsidRPr="00CA0D48" w:rsidRDefault="000E02F8">
      <w:pPr>
        <w:ind w:firstLine="567"/>
        <w:jc w:val="both"/>
        <w:rPr>
          <w:lang w:val="uk-UA"/>
        </w:rPr>
      </w:pPr>
      <w:r w:rsidRPr="00CA0D48">
        <w:rPr>
          <w:lang w:val="uk-UA"/>
        </w:rPr>
        <w:t xml:space="preserve">Лікування телят віком до 3-х місяців та свиней при захворюваннях травного каналу (гастрити, ентерити, перитоніти, ентероколіти, дизентерії свиней), що спричинені мікроорганізмами, чутливими до гентаміцину. </w:t>
      </w:r>
    </w:p>
    <w:p w14:paraId="1E59FD4F" w14:textId="77777777" w:rsidR="004C258B" w:rsidRPr="00CA0D48" w:rsidRDefault="000E02F8">
      <w:pPr>
        <w:ind w:firstLine="567"/>
        <w:jc w:val="both"/>
        <w:rPr>
          <w:b/>
          <w:lang w:val="uk-UA"/>
        </w:rPr>
      </w:pPr>
      <w:r w:rsidRPr="00CA0D48">
        <w:rPr>
          <w:b/>
          <w:lang w:val="uk-UA"/>
        </w:rPr>
        <w:t>5.3 Протипоказання</w:t>
      </w:r>
    </w:p>
    <w:p w14:paraId="7D5774F8" w14:textId="77777777" w:rsidR="004C258B" w:rsidRPr="00CA0D48" w:rsidRDefault="000E02F8">
      <w:pPr>
        <w:ind w:firstLine="567"/>
        <w:jc w:val="both"/>
        <w:rPr>
          <w:lang w:val="uk-UA"/>
        </w:rPr>
      </w:pPr>
      <w:r w:rsidRPr="00CA0D48">
        <w:rPr>
          <w:lang w:val="uk-UA"/>
        </w:rPr>
        <w:t>Підвищена чутливість до гентаміцину.</w:t>
      </w:r>
    </w:p>
    <w:p w14:paraId="1F2F53EB" w14:textId="77777777" w:rsidR="004C258B" w:rsidRPr="00CA0D48" w:rsidRDefault="000E02F8">
      <w:pPr>
        <w:ind w:firstLine="567"/>
        <w:jc w:val="both"/>
        <w:rPr>
          <w:lang w:val="uk-UA"/>
        </w:rPr>
      </w:pPr>
      <w:r w:rsidRPr="00CA0D48">
        <w:rPr>
          <w:lang w:val="uk-UA"/>
        </w:rPr>
        <w:t>Не застосовувати тваринам із порушеною функцією нирок, слуху та органів рівноваги.</w:t>
      </w:r>
    </w:p>
    <w:p w14:paraId="75B321BB" w14:textId="77777777" w:rsidR="004C258B" w:rsidRPr="00CA0D48" w:rsidRDefault="000E02F8">
      <w:pPr>
        <w:ind w:firstLine="567"/>
        <w:jc w:val="both"/>
        <w:rPr>
          <w:lang w:val="uk-UA"/>
        </w:rPr>
      </w:pPr>
      <w:r w:rsidRPr="00CA0D48">
        <w:rPr>
          <w:lang w:val="uk-UA"/>
        </w:rPr>
        <w:t>Не застосовувати одночасно з іншими аміноглікозидними антибіотиками та антибіотиками, що мають нефротоксичну дію (поліміксин В, колістин, амфотерцин, хлорамфенікол, цефалоспорини, еритроміцин), з міорелаксантами та анестезуючими засобами, сульфаніламідами, гепарином, вітамінами групи В, сечогінними засобами (фуросемід).</w:t>
      </w:r>
    </w:p>
    <w:p w14:paraId="779C6E5B" w14:textId="47428D1F" w:rsidR="0065229E" w:rsidRPr="00CA0D48" w:rsidRDefault="0065229E">
      <w:pPr>
        <w:ind w:firstLine="567"/>
        <w:jc w:val="both"/>
        <w:rPr>
          <w:lang w:val="uk-UA"/>
        </w:rPr>
      </w:pPr>
      <w:r w:rsidRPr="00CA0D48">
        <w:t>Не застосовувати великій рогатій худобі з функціонально розвиненими передшлунками.</w:t>
      </w:r>
    </w:p>
    <w:p w14:paraId="7421E815" w14:textId="77777777" w:rsidR="004C258B" w:rsidRPr="00CA0D48" w:rsidRDefault="000E02F8">
      <w:pPr>
        <w:ind w:firstLine="567"/>
        <w:jc w:val="both"/>
        <w:rPr>
          <w:b/>
          <w:lang w:val="uk-UA"/>
        </w:rPr>
      </w:pPr>
      <w:r w:rsidRPr="00CA0D48">
        <w:rPr>
          <w:b/>
          <w:lang w:val="uk-UA"/>
        </w:rPr>
        <w:t>5.4 Побічна дія</w:t>
      </w:r>
    </w:p>
    <w:p w14:paraId="12F77A85" w14:textId="77777777" w:rsidR="003862BA" w:rsidRPr="00CA0D48" w:rsidRDefault="000E02F8">
      <w:pPr>
        <w:ind w:firstLine="567"/>
        <w:jc w:val="both"/>
        <w:rPr>
          <w:lang w:val="uk-UA"/>
        </w:rPr>
      </w:pPr>
      <w:r w:rsidRPr="00CA0D48">
        <w:rPr>
          <w:lang w:val="uk-UA"/>
        </w:rPr>
        <w:lastRenderedPageBreak/>
        <w:t xml:space="preserve">При тривалому застосуванні гентаміцин може викликати нефротоксичну дію (яку спостерігають у вигляді протеїнурії, азотемії, олігурії), ототоксичний ефект (який </w:t>
      </w:r>
    </w:p>
    <w:p w14:paraId="6BFC338C" w14:textId="5465F4FF" w:rsidR="003862BA" w:rsidRPr="00CA0D48" w:rsidRDefault="003862BA" w:rsidP="003862BA">
      <w:pPr>
        <w:ind w:left="6480"/>
        <w:jc w:val="right"/>
        <w:rPr>
          <w:lang w:val="uk-UA"/>
        </w:rPr>
      </w:pPr>
      <w:r w:rsidRPr="00CA0D48">
        <w:rPr>
          <w:lang w:val="uk-UA"/>
        </w:rPr>
        <w:t xml:space="preserve">Продовження додатку 1                                                                                   </w:t>
      </w:r>
    </w:p>
    <w:p w14:paraId="4552710E" w14:textId="77777777" w:rsidR="003862BA" w:rsidRPr="00CA0D48" w:rsidRDefault="003862BA" w:rsidP="003862BA">
      <w:pPr>
        <w:ind w:firstLine="567"/>
        <w:jc w:val="right"/>
        <w:rPr>
          <w:lang w:val="uk-UA"/>
        </w:rPr>
      </w:pPr>
      <w:r w:rsidRPr="00CA0D48">
        <w:t>до реєстраційного посвідчення АВ-01015-01-10</w:t>
      </w:r>
    </w:p>
    <w:p w14:paraId="06C7EED8" w14:textId="77777777" w:rsidR="003862BA" w:rsidRPr="00CA0D48" w:rsidRDefault="003862BA" w:rsidP="003862BA">
      <w:pPr>
        <w:ind w:firstLine="567"/>
        <w:jc w:val="right"/>
        <w:rPr>
          <w:lang w:val="uk-UA"/>
        </w:rPr>
      </w:pPr>
    </w:p>
    <w:p w14:paraId="3F229642" w14:textId="77777777" w:rsidR="003862BA" w:rsidRPr="00CA0D48" w:rsidRDefault="003862BA" w:rsidP="003862BA">
      <w:pPr>
        <w:ind w:firstLine="567"/>
        <w:jc w:val="right"/>
        <w:rPr>
          <w:lang w:val="uk-UA"/>
        </w:rPr>
      </w:pPr>
    </w:p>
    <w:p w14:paraId="53D17639" w14:textId="12B9188C" w:rsidR="004C258B" w:rsidRPr="00CA0D48" w:rsidRDefault="000E02F8">
      <w:pPr>
        <w:ind w:firstLine="567"/>
        <w:jc w:val="both"/>
        <w:rPr>
          <w:lang w:val="uk-UA"/>
        </w:rPr>
      </w:pPr>
      <w:r w:rsidRPr="00CA0D48">
        <w:rPr>
          <w:lang w:val="uk-UA"/>
        </w:rPr>
        <w:t>спостерігають у вигляді ве</w:t>
      </w:r>
      <w:r w:rsidR="00A572CC" w:rsidRPr="00CA0D48">
        <w:rPr>
          <w:lang w:val="uk-UA"/>
        </w:rPr>
        <w:t>с</w:t>
      </w:r>
      <w:r w:rsidR="00821115" w:rsidRPr="00CA0D48">
        <w:rPr>
          <w:lang w:val="uk-UA"/>
        </w:rPr>
        <w:t>тибулярних розладів та в</w:t>
      </w:r>
      <w:r w:rsidRPr="00CA0D48">
        <w:rPr>
          <w:lang w:val="uk-UA"/>
        </w:rPr>
        <w:t xml:space="preserve"> деяких випадках зниженням гостроти слуху). </w:t>
      </w:r>
      <w:r w:rsidR="00A572CC" w:rsidRPr="00CA0D48">
        <w:rPr>
          <w:rFonts w:eastAsia="Arial"/>
          <w:lang w:val="uk-UA"/>
        </w:rPr>
        <w:t>Нефротоксична дія є  зворотною, але ураження вестибулярного апарату незворотне.</w:t>
      </w:r>
      <w:r w:rsidR="00A572CC" w:rsidRPr="00CA0D48">
        <w:rPr>
          <w:lang w:val="uk-UA"/>
        </w:rPr>
        <w:t xml:space="preserve"> </w:t>
      </w:r>
    </w:p>
    <w:p w14:paraId="1D163DBD" w14:textId="77777777" w:rsidR="004C258B" w:rsidRPr="00CA0D48" w:rsidRDefault="000E02F8">
      <w:pPr>
        <w:ind w:firstLine="567"/>
        <w:jc w:val="both"/>
        <w:rPr>
          <w:lang w:val="uk-UA"/>
        </w:rPr>
      </w:pPr>
      <w:r w:rsidRPr="00CA0D48">
        <w:rPr>
          <w:lang w:val="uk-UA"/>
        </w:rPr>
        <w:t xml:space="preserve">У досить рідкісних випадках при застосуванні гентаміцину може виникнути блокада нервово-м’язової провідності та пригнічення дихання. У цих випадках застосовують антихолінестеразні препарати (прозерин), а також внутрішньовенно препарати кальцію. </w:t>
      </w:r>
    </w:p>
    <w:p w14:paraId="794B495C" w14:textId="77777777" w:rsidR="004C258B" w:rsidRPr="00CA0D48" w:rsidRDefault="000E02F8">
      <w:pPr>
        <w:ind w:firstLine="567"/>
        <w:jc w:val="both"/>
        <w:rPr>
          <w:lang w:val="uk-UA"/>
        </w:rPr>
      </w:pPr>
      <w:r w:rsidRPr="00CA0D48">
        <w:rPr>
          <w:lang w:val="uk-UA"/>
        </w:rPr>
        <w:t>В окремих випадках спостерігають алергічні явища (висипання на шкірі, свербіж та набряки). При їх виникненні застосування препарату припиняють та призначають десенсибілізуючу терапію.</w:t>
      </w:r>
    </w:p>
    <w:p w14:paraId="584A361F" w14:textId="77777777" w:rsidR="004C258B" w:rsidRPr="00CA0D48" w:rsidRDefault="000E02F8">
      <w:pPr>
        <w:ind w:firstLine="567"/>
        <w:rPr>
          <w:b/>
          <w:lang w:val="uk-UA"/>
        </w:rPr>
      </w:pPr>
      <w:r w:rsidRPr="00CA0D48">
        <w:rPr>
          <w:b/>
          <w:lang w:val="uk-UA"/>
        </w:rPr>
        <w:t>5.5 Особливі  застереження  при  використанні</w:t>
      </w:r>
      <w:r w:rsidRPr="00CA0D48">
        <w:rPr>
          <w:b/>
          <w:lang w:val="uk-UA"/>
        </w:rPr>
        <w:tab/>
      </w:r>
    </w:p>
    <w:p w14:paraId="320B2C16" w14:textId="0ACDBDB9" w:rsidR="004C258B" w:rsidRPr="00CA0D48" w:rsidRDefault="000E02F8">
      <w:pPr>
        <w:ind w:firstLine="567"/>
        <w:jc w:val="both"/>
        <w:rPr>
          <w:lang w:val="uk-UA"/>
        </w:rPr>
      </w:pPr>
      <w:r w:rsidRPr="00CA0D48">
        <w:rPr>
          <w:lang w:val="uk-UA"/>
        </w:rPr>
        <w:t xml:space="preserve">Перед застосуванням препарату необхідно провести тест на чутливість мікроорганізмів-збудників до гентаміцину. Якщо це неможливо, терапія повинна базуватись на регіональній, фермерській епізоотичній інформації про чутливість цільових бактерій. Слід врахувати офіційну політику щодо застосування ветеринарних протимікробних лікарських засобів. Застосування препарату </w:t>
      </w:r>
      <w:r w:rsidR="00821115" w:rsidRPr="00CA0D48">
        <w:rPr>
          <w:lang w:val="uk-UA"/>
        </w:rPr>
        <w:t>всупереч</w:t>
      </w:r>
      <w:r w:rsidRPr="00CA0D48">
        <w:rPr>
          <w:lang w:val="uk-UA"/>
        </w:rPr>
        <w:t xml:space="preserve"> листів</w:t>
      </w:r>
      <w:r w:rsidR="00821115" w:rsidRPr="00CA0D48">
        <w:rPr>
          <w:lang w:val="uk-UA"/>
        </w:rPr>
        <w:t>ці-</w:t>
      </w:r>
      <w:r w:rsidRPr="00CA0D48">
        <w:rPr>
          <w:lang w:val="uk-UA"/>
        </w:rPr>
        <w:t>вклад</w:t>
      </w:r>
      <w:r w:rsidR="00821115" w:rsidRPr="00CA0D48">
        <w:rPr>
          <w:lang w:val="uk-UA"/>
        </w:rPr>
        <w:t>ці</w:t>
      </w:r>
      <w:r w:rsidRPr="00CA0D48">
        <w:rPr>
          <w:lang w:val="uk-UA"/>
        </w:rPr>
        <w:t xml:space="preserve"> чи коротк</w:t>
      </w:r>
      <w:r w:rsidR="00821115" w:rsidRPr="00CA0D48">
        <w:rPr>
          <w:lang w:val="uk-UA"/>
        </w:rPr>
        <w:t>ій</w:t>
      </w:r>
      <w:r w:rsidRPr="00CA0D48">
        <w:rPr>
          <w:lang w:val="uk-UA"/>
        </w:rPr>
        <w:t xml:space="preserve"> характеристи</w:t>
      </w:r>
      <w:r w:rsidR="00821115" w:rsidRPr="00CA0D48">
        <w:rPr>
          <w:lang w:val="uk-UA"/>
        </w:rPr>
        <w:t>ці</w:t>
      </w:r>
      <w:r w:rsidRPr="00CA0D48">
        <w:rPr>
          <w:lang w:val="uk-UA"/>
        </w:rPr>
        <w:t xml:space="preserve"> препарату може збільшити поширеність бактерій, стійких до гентаміцину.</w:t>
      </w:r>
    </w:p>
    <w:p w14:paraId="71A72640" w14:textId="77777777" w:rsidR="004C258B" w:rsidRPr="00CA0D48" w:rsidRDefault="000E02F8">
      <w:pPr>
        <w:spacing w:line="276" w:lineRule="auto"/>
        <w:ind w:firstLine="567"/>
        <w:jc w:val="both"/>
        <w:rPr>
          <w:b/>
          <w:lang w:val="uk-UA"/>
        </w:rPr>
      </w:pPr>
      <w:r w:rsidRPr="00CA0D48">
        <w:rPr>
          <w:b/>
        </w:rPr>
        <w:t>5.</w:t>
      </w:r>
      <w:r w:rsidRPr="00CA0D48">
        <w:rPr>
          <w:b/>
          <w:lang w:val="uk-UA"/>
        </w:rPr>
        <w:t>6</w:t>
      </w:r>
      <w:r w:rsidRPr="00CA0D48">
        <w:rPr>
          <w:b/>
        </w:rPr>
        <w:t xml:space="preserve"> </w:t>
      </w:r>
      <w:r w:rsidRPr="00CA0D48">
        <w:rPr>
          <w:b/>
          <w:lang w:val="uk-UA"/>
        </w:rPr>
        <w:t>Використ</w:t>
      </w:r>
      <w:r w:rsidRPr="00CA0D48">
        <w:rPr>
          <w:b/>
        </w:rPr>
        <w:t>ання під час вагітності</w:t>
      </w:r>
      <w:r w:rsidRPr="00CA0D48">
        <w:rPr>
          <w:b/>
          <w:lang w:val="uk-UA"/>
        </w:rPr>
        <w:t>,</w:t>
      </w:r>
      <w:r w:rsidRPr="00CA0D48">
        <w:rPr>
          <w:b/>
        </w:rPr>
        <w:t xml:space="preserve"> лактації</w:t>
      </w:r>
      <w:r w:rsidRPr="00CA0D48">
        <w:rPr>
          <w:b/>
          <w:lang w:val="uk-UA"/>
        </w:rPr>
        <w:t>.</w:t>
      </w:r>
    </w:p>
    <w:p w14:paraId="3473526C" w14:textId="175A7CD0" w:rsidR="004C258B" w:rsidRPr="00CA0D48" w:rsidRDefault="000E02F8">
      <w:pPr>
        <w:ind w:firstLine="567"/>
        <w:jc w:val="both"/>
        <w:rPr>
          <w:lang w:val="uk-UA"/>
        </w:rPr>
      </w:pPr>
      <w:r w:rsidRPr="00CA0D48">
        <w:rPr>
          <w:lang w:val="uk-UA"/>
        </w:rPr>
        <w:t xml:space="preserve">Не </w:t>
      </w:r>
      <w:r w:rsidR="001953D7" w:rsidRPr="00CA0D48">
        <w:rPr>
          <w:lang w:val="uk-UA"/>
        </w:rPr>
        <w:t xml:space="preserve">рекомендовано </w:t>
      </w:r>
      <w:r w:rsidRPr="00CA0D48">
        <w:rPr>
          <w:lang w:val="uk-UA"/>
        </w:rPr>
        <w:t>застосовувати свиноматкам під час вагітності через можливий нефро- та ототоксичний вплив на плід.</w:t>
      </w:r>
    </w:p>
    <w:p w14:paraId="472DC5BC" w14:textId="254A1839" w:rsidR="004C258B" w:rsidRPr="00CA0D48" w:rsidRDefault="000E02F8">
      <w:pPr>
        <w:ind w:firstLine="567"/>
        <w:jc w:val="both"/>
        <w:rPr>
          <w:lang w:val="uk-UA"/>
        </w:rPr>
      </w:pPr>
      <w:r w:rsidRPr="00CA0D48">
        <w:rPr>
          <w:lang w:val="uk-UA"/>
        </w:rPr>
        <w:t xml:space="preserve">Застосовувати тільки після оцінки співвідношення користь/ризик відповідальним лікарем ветеринарної </w:t>
      </w:r>
      <w:r w:rsidR="00A572CC" w:rsidRPr="00CA0D48">
        <w:rPr>
          <w:lang w:val="uk-UA"/>
        </w:rPr>
        <w:t>медицини</w:t>
      </w:r>
      <w:r w:rsidRPr="00CA0D48">
        <w:rPr>
          <w:lang w:val="uk-UA"/>
        </w:rPr>
        <w:t>.</w:t>
      </w:r>
    </w:p>
    <w:p w14:paraId="4207A898" w14:textId="77777777" w:rsidR="004C258B" w:rsidRPr="00CA0D48" w:rsidRDefault="000E02F8">
      <w:pPr>
        <w:ind w:firstLine="567"/>
        <w:jc w:val="both"/>
        <w:rPr>
          <w:lang w:val="uk-UA"/>
        </w:rPr>
      </w:pPr>
      <w:r w:rsidRPr="00CA0D48">
        <w:rPr>
          <w:lang w:val="uk-UA"/>
        </w:rPr>
        <w:t>Допускається використання в період лактації.</w:t>
      </w:r>
    </w:p>
    <w:p w14:paraId="3ADBAD41" w14:textId="77777777" w:rsidR="004C258B" w:rsidRPr="00CA0D48" w:rsidRDefault="000E02F8">
      <w:pPr>
        <w:ind w:firstLine="567"/>
        <w:rPr>
          <w:b/>
          <w:lang w:val="uk-UA"/>
        </w:rPr>
      </w:pPr>
      <w:r w:rsidRPr="00CA0D48">
        <w:rPr>
          <w:b/>
          <w:lang w:val="uk-UA"/>
        </w:rPr>
        <w:t>5.7  Взаємодія  з  іншими  засобами  та  інші  форми  взаємодії</w:t>
      </w:r>
    </w:p>
    <w:p w14:paraId="18926EE2" w14:textId="77777777" w:rsidR="004C258B" w:rsidRPr="00CA0D48" w:rsidRDefault="000E02F8">
      <w:pPr>
        <w:ind w:firstLine="567"/>
        <w:jc w:val="both"/>
        <w:rPr>
          <w:lang w:val="uk-UA"/>
        </w:rPr>
      </w:pPr>
      <w:r w:rsidRPr="00CA0D48">
        <w:rPr>
          <w:lang w:val="uk-UA"/>
        </w:rPr>
        <w:t>Не застосовувати одночасно з іншими аміноглікозидними антибіотиками та антибіотиками, що мають нефротоксичну дію (поліміксином В, колістином, амфотерцином, хлорамфеніколом, цефалоспорином, еритроміцином).</w:t>
      </w:r>
    </w:p>
    <w:p w14:paraId="44B48687" w14:textId="77777777" w:rsidR="004C258B" w:rsidRPr="00CA0D48" w:rsidRDefault="000E02F8">
      <w:pPr>
        <w:ind w:firstLine="567"/>
        <w:jc w:val="both"/>
        <w:rPr>
          <w:lang w:val="uk-UA"/>
        </w:rPr>
      </w:pPr>
      <w:r w:rsidRPr="00CA0D48">
        <w:rPr>
          <w:lang w:val="uk-UA"/>
        </w:rPr>
        <w:t>Не застосовувати одночасно з міорелаксантами та анестезуючими засобами, сульфаніламідами, гепарином, вітамінами групи В, сечогінними засобами (фуросемід).</w:t>
      </w:r>
    </w:p>
    <w:p w14:paraId="11D246F3" w14:textId="77777777" w:rsidR="0081413D" w:rsidRPr="00CA0D48" w:rsidRDefault="000E02F8">
      <w:pPr>
        <w:ind w:firstLine="567"/>
        <w:jc w:val="both"/>
        <w:rPr>
          <w:lang w:val="uk-UA"/>
        </w:rPr>
      </w:pPr>
      <w:r w:rsidRPr="00CA0D48">
        <w:rPr>
          <w:lang w:val="uk-UA"/>
        </w:rPr>
        <w:t>Гентаміцин несумісний також з глюкозою, гідрокортизоном, барбітуратами, солями ртуті, лужними сполуками.</w:t>
      </w:r>
      <w:r w:rsidR="0081413D" w:rsidRPr="00CA0D48">
        <w:rPr>
          <w:lang w:val="uk-UA"/>
        </w:rPr>
        <w:t xml:space="preserve"> </w:t>
      </w:r>
    </w:p>
    <w:p w14:paraId="5C99CC3F" w14:textId="7D827BBF" w:rsidR="004C258B" w:rsidRPr="00CA0D48" w:rsidRDefault="0081413D">
      <w:pPr>
        <w:ind w:firstLine="567"/>
        <w:jc w:val="both"/>
        <w:rPr>
          <w:lang w:val="uk-UA"/>
        </w:rPr>
      </w:pPr>
      <w:r w:rsidRPr="00CA0D48">
        <w:rPr>
          <w:rFonts w:eastAsia="Arial"/>
          <w:lang w:val="uk-UA"/>
        </w:rPr>
        <w:t>Антибактеріальну дію гентаміцину можуть значно послабити різні солі феруму, натрію, кальцію та калію, тому цей препарат не змішують з препаратами, що їх містять.</w:t>
      </w:r>
    </w:p>
    <w:p w14:paraId="386F1EA7" w14:textId="77777777" w:rsidR="004C258B" w:rsidRPr="00CA0D48" w:rsidRDefault="000E02F8">
      <w:pPr>
        <w:ind w:firstLine="567"/>
        <w:rPr>
          <w:b/>
          <w:lang w:val="uk-UA"/>
        </w:rPr>
      </w:pPr>
      <w:r w:rsidRPr="00CA0D48">
        <w:rPr>
          <w:b/>
          <w:lang w:val="uk-UA"/>
        </w:rPr>
        <w:t>5.8 Дози і способи введення тваринам  різного віку.</w:t>
      </w:r>
    </w:p>
    <w:p w14:paraId="19F7C35D" w14:textId="1EEDE3BB" w:rsidR="004C258B" w:rsidRPr="00CA0D48" w:rsidRDefault="000E02F8">
      <w:pPr>
        <w:spacing w:line="100" w:lineRule="atLeast"/>
        <w:ind w:firstLine="567"/>
        <w:jc w:val="both"/>
        <w:rPr>
          <w:lang w:val="uk-UA" w:eastAsia="ar-SA"/>
        </w:rPr>
      </w:pPr>
      <w:r w:rsidRPr="00CA0D48">
        <w:rPr>
          <w:lang w:val="uk-UA" w:eastAsia="ar-SA"/>
        </w:rPr>
        <w:t>Перорально</w:t>
      </w:r>
      <w:r w:rsidRPr="00CA0D48">
        <w:rPr>
          <w:lang w:eastAsia="ar-SA"/>
        </w:rPr>
        <w:t xml:space="preserve"> </w:t>
      </w:r>
      <w:r w:rsidR="00821115" w:rsidRPr="00CA0D48">
        <w:rPr>
          <w:lang w:val="uk-UA" w:eastAsia="ar-SA"/>
        </w:rPr>
        <w:t>в</w:t>
      </w:r>
      <w:r w:rsidRPr="00CA0D48">
        <w:rPr>
          <w:lang w:eastAsia="ar-SA"/>
        </w:rPr>
        <w:t xml:space="preserve"> доз</w:t>
      </w:r>
      <w:r w:rsidRPr="00CA0D48">
        <w:rPr>
          <w:lang w:val="uk-UA" w:eastAsia="ar-SA"/>
        </w:rPr>
        <w:t>ах:</w:t>
      </w:r>
    </w:p>
    <w:p w14:paraId="510E8054" w14:textId="4E46E503" w:rsidR="004C258B" w:rsidRPr="00CA0D48" w:rsidRDefault="000E02F8">
      <w:pPr>
        <w:ind w:firstLine="567"/>
        <w:jc w:val="both"/>
      </w:pPr>
      <w:r w:rsidRPr="00CA0D48">
        <w:t xml:space="preserve">телята, віком до 3 місяців: індивідуально </w:t>
      </w:r>
      <w:r w:rsidR="00821115" w:rsidRPr="00CA0D48">
        <w:rPr>
          <w:lang w:val="uk-UA"/>
        </w:rPr>
        <w:t>в</w:t>
      </w:r>
      <w:r w:rsidRPr="00CA0D48">
        <w:t xml:space="preserve"> першу добу – 5 мл препарату на 100 кг маси тіла тварини (що відповідає </w:t>
      </w:r>
      <w:r w:rsidR="001953D7" w:rsidRPr="00CA0D48">
        <w:rPr>
          <w:lang w:val="uk-UA" w:eastAsia="ar-SA"/>
        </w:rPr>
        <w:t>5</w:t>
      </w:r>
      <w:r w:rsidRPr="00CA0D48">
        <w:rPr>
          <w:lang w:eastAsia="ar-SA"/>
        </w:rPr>
        <w:t xml:space="preserve"> мг гентаміцину на 1 кг маси тіла). Дозу ро</w:t>
      </w:r>
      <w:r w:rsidRPr="00CA0D48">
        <w:t xml:space="preserve">зділяють на два рази. В подальшому доза становить 4 мл препарату на 100 кг маси тіла тварини (що відповідає </w:t>
      </w:r>
      <w:r w:rsidRPr="00CA0D48">
        <w:rPr>
          <w:lang w:eastAsia="ar-SA"/>
        </w:rPr>
        <w:t xml:space="preserve">4 мг гентаміцину на 1 кг маси тіла) </w:t>
      </w:r>
      <w:r w:rsidRPr="00CA0D48">
        <w:t>один раз на добу. Курс лікування – 3-5 діб;</w:t>
      </w:r>
    </w:p>
    <w:p w14:paraId="345E038A" w14:textId="20B57B53" w:rsidR="004C258B" w:rsidRPr="00CA0D48" w:rsidRDefault="000E02F8">
      <w:pPr>
        <w:ind w:firstLine="567"/>
        <w:jc w:val="both"/>
      </w:pPr>
      <w:r w:rsidRPr="00CA0D48">
        <w:t xml:space="preserve">свині – індивідуально 5 мл препарату на 100 кг маси тіла тварини на добу (що відповідає </w:t>
      </w:r>
      <w:r w:rsidR="001953D7" w:rsidRPr="00CA0D48">
        <w:rPr>
          <w:lang w:val="uk-UA" w:eastAsia="ar-SA"/>
        </w:rPr>
        <w:t>5</w:t>
      </w:r>
      <w:r w:rsidRPr="00CA0D48">
        <w:rPr>
          <w:lang w:eastAsia="ar-SA"/>
        </w:rPr>
        <w:t xml:space="preserve"> мг гетаміцину на 1 кг маси тіла)</w:t>
      </w:r>
      <w:r w:rsidRPr="00CA0D48">
        <w:t xml:space="preserve"> або груповим методом 5 мл препарату на 10 л питної води. Дозу розділяють на два прийоми.  При лікуванні дизентерії доза становить 30-40 мл препарату на 100 л питної води. Курс лікування – 3-5 діб. Препарат задається груповим методом або індивідуально, на розсуд лікаря ветеринарної медицини, з урахуванням середньої маси тіла тварин та добової норми питної води.</w:t>
      </w:r>
    </w:p>
    <w:p w14:paraId="15BA83A0" w14:textId="77777777" w:rsidR="004C258B" w:rsidRPr="00CA0D48" w:rsidRDefault="000E02F8">
      <w:pPr>
        <w:spacing w:line="276" w:lineRule="auto"/>
        <w:ind w:firstLine="567"/>
        <w:jc w:val="both"/>
        <w:rPr>
          <w:b/>
        </w:rPr>
      </w:pPr>
      <w:r w:rsidRPr="00CA0D48">
        <w:rPr>
          <w:b/>
        </w:rPr>
        <w:t>5.</w:t>
      </w:r>
      <w:r w:rsidRPr="00CA0D48">
        <w:rPr>
          <w:b/>
          <w:lang w:val="uk-UA"/>
        </w:rPr>
        <w:t>9</w:t>
      </w:r>
      <w:r w:rsidRPr="00CA0D48">
        <w:rPr>
          <w:b/>
        </w:rPr>
        <w:t xml:space="preserve"> Передозування (симптоми, невідкладні заходи, антидоти)</w:t>
      </w:r>
    </w:p>
    <w:p w14:paraId="6674CA0E" w14:textId="13760DAA" w:rsidR="003862BA" w:rsidRPr="00CA0D48" w:rsidRDefault="000E02F8">
      <w:pPr>
        <w:ind w:firstLine="567"/>
        <w:jc w:val="both"/>
        <w:rPr>
          <w:lang w:val="uk-UA"/>
        </w:rPr>
      </w:pPr>
      <w:r w:rsidRPr="00CA0D48">
        <w:rPr>
          <w:lang w:val="uk-UA"/>
        </w:rPr>
        <w:lastRenderedPageBreak/>
        <w:t xml:space="preserve">У разі систематичного перевищення терапевтичної дози виникає нефротоксична дія (яку спостерігають у вигляді протеїнурії, азотемії та </w:t>
      </w:r>
      <w:r w:rsidR="00821115" w:rsidRPr="00CA0D48">
        <w:rPr>
          <w:lang w:val="uk-UA"/>
        </w:rPr>
        <w:t>в</w:t>
      </w:r>
      <w:r w:rsidRPr="00CA0D48">
        <w:rPr>
          <w:lang w:val="uk-UA"/>
        </w:rPr>
        <w:t xml:space="preserve"> деяких випадках – олігурії), </w:t>
      </w:r>
    </w:p>
    <w:p w14:paraId="08F1732D" w14:textId="1F308EDC" w:rsidR="003862BA" w:rsidRPr="00CA0D48" w:rsidRDefault="003862BA" w:rsidP="003862BA">
      <w:pPr>
        <w:ind w:left="6480"/>
        <w:jc w:val="right"/>
      </w:pPr>
      <w:r w:rsidRPr="00CA0D48">
        <w:t>Продовження додатку</w:t>
      </w:r>
      <w:r w:rsidRPr="00CA0D48">
        <w:rPr>
          <w:lang w:val="uk-UA"/>
        </w:rPr>
        <w:t>1</w:t>
      </w:r>
      <w:r w:rsidRPr="00CA0D48">
        <w:t xml:space="preserve">2                                                                                   </w:t>
      </w:r>
    </w:p>
    <w:p w14:paraId="31DC4C62" w14:textId="77777777" w:rsidR="003862BA" w:rsidRPr="00CA0D48" w:rsidRDefault="003862BA" w:rsidP="003862BA">
      <w:pPr>
        <w:ind w:firstLine="567"/>
        <w:jc w:val="right"/>
        <w:rPr>
          <w:lang w:val="uk-UA"/>
        </w:rPr>
      </w:pPr>
      <w:r w:rsidRPr="00CA0D48">
        <w:t>до реєстраційного посвідчення АВ-01015-01-10</w:t>
      </w:r>
    </w:p>
    <w:p w14:paraId="6B6B0691" w14:textId="77777777" w:rsidR="003862BA" w:rsidRPr="00CA0D48" w:rsidRDefault="003862BA" w:rsidP="003862BA">
      <w:pPr>
        <w:ind w:firstLine="567"/>
        <w:jc w:val="right"/>
        <w:rPr>
          <w:lang w:val="uk-UA"/>
        </w:rPr>
      </w:pPr>
    </w:p>
    <w:p w14:paraId="03E7E702" w14:textId="77777777" w:rsidR="003862BA" w:rsidRPr="00CA0D48" w:rsidRDefault="003862BA" w:rsidP="003862BA">
      <w:pPr>
        <w:ind w:firstLine="567"/>
        <w:jc w:val="right"/>
        <w:rPr>
          <w:lang w:val="uk-UA"/>
        </w:rPr>
      </w:pPr>
    </w:p>
    <w:p w14:paraId="2F585756" w14:textId="466C8C24" w:rsidR="004C258B" w:rsidRPr="00CA0D48" w:rsidRDefault="000E02F8">
      <w:pPr>
        <w:ind w:firstLine="567"/>
        <w:jc w:val="both"/>
        <w:rPr>
          <w:lang w:val="uk-UA"/>
        </w:rPr>
      </w:pPr>
      <w:r w:rsidRPr="00CA0D48">
        <w:rPr>
          <w:lang w:val="uk-UA"/>
        </w:rPr>
        <w:t xml:space="preserve">ототоксичний ефект (який спостерігають у вигляді вестибулярних розладів та у деяких випадках зниження гостроти слуху). Вищевказана дія </w:t>
      </w:r>
      <w:r w:rsidR="00821115" w:rsidRPr="00CA0D48">
        <w:rPr>
          <w:lang w:val="uk-UA"/>
        </w:rPr>
        <w:t>в</w:t>
      </w:r>
      <w:r w:rsidRPr="00CA0D48">
        <w:rPr>
          <w:lang w:val="uk-UA"/>
        </w:rPr>
        <w:t xml:space="preserve"> більшості випадків є зворотною.</w:t>
      </w:r>
    </w:p>
    <w:p w14:paraId="6B1B3949" w14:textId="064495F2" w:rsidR="004C258B" w:rsidRPr="00CA0D48" w:rsidRDefault="000E02F8">
      <w:pPr>
        <w:ind w:firstLine="567"/>
        <w:jc w:val="both"/>
        <w:rPr>
          <w:lang w:val="uk-UA"/>
        </w:rPr>
      </w:pPr>
      <w:r w:rsidRPr="00CA0D48">
        <w:rPr>
          <w:lang w:val="uk-UA"/>
        </w:rPr>
        <w:t xml:space="preserve">При застосуванні гентаміцину </w:t>
      </w:r>
      <w:r w:rsidR="00821115" w:rsidRPr="00CA0D48">
        <w:rPr>
          <w:lang w:val="uk-UA"/>
        </w:rPr>
        <w:t>в</w:t>
      </w:r>
      <w:r w:rsidRPr="00CA0D48">
        <w:rPr>
          <w:lang w:val="uk-UA"/>
        </w:rPr>
        <w:t xml:space="preserve"> досить рідкісних випадках може виникнути блокада нервово-м’язової провідності та пригнічення дихання. У цих випадках застосовують антихолінестеразні препарати (прозерин), а також препарати кальцію внутрішньовенно.</w:t>
      </w:r>
    </w:p>
    <w:p w14:paraId="0E718475" w14:textId="77777777" w:rsidR="004C258B" w:rsidRPr="00CA0D48" w:rsidRDefault="000E02F8">
      <w:pPr>
        <w:spacing w:line="276" w:lineRule="auto"/>
        <w:ind w:firstLine="567"/>
        <w:jc w:val="both"/>
        <w:rPr>
          <w:lang w:val="uk-UA"/>
        </w:rPr>
      </w:pPr>
      <w:r w:rsidRPr="00CA0D48">
        <w:rPr>
          <w:lang w:val="uk-UA"/>
        </w:rPr>
        <w:t>В окремих випадках можливі алергічні явища (висипання на шкірі, свербіж та набряки). При їх виникненні застосування препарату припиняють та призначають десенсибілізуючу терапію.</w:t>
      </w:r>
    </w:p>
    <w:p w14:paraId="33F33560" w14:textId="77777777" w:rsidR="004C258B" w:rsidRPr="00CA0D48" w:rsidRDefault="000E02F8">
      <w:pPr>
        <w:spacing w:line="276" w:lineRule="auto"/>
        <w:ind w:firstLine="567"/>
        <w:jc w:val="both"/>
        <w:rPr>
          <w:b/>
        </w:rPr>
      </w:pPr>
      <w:r w:rsidRPr="00CA0D48">
        <w:rPr>
          <w:b/>
        </w:rPr>
        <w:t>5.</w:t>
      </w:r>
      <w:r w:rsidRPr="00CA0D48">
        <w:rPr>
          <w:b/>
          <w:lang w:val="uk-UA"/>
        </w:rPr>
        <w:t>10</w:t>
      </w:r>
      <w:r w:rsidRPr="00CA0D48">
        <w:rPr>
          <w:b/>
        </w:rPr>
        <w:t xml:space="preserve"> Спеціальні застереження</w:t>
      </w:r>
    </w:p>
    <w:p w14:paraId="1453788C" w14:textId="77777777" w:rsidR="004C258B" w:rsidRPr="00CA0D48" w:rsidRDefault="000E02F8">
      <w:pPr>
        <w:spacing w:line="276" w:lineRule="auto"/>
        <w:ind w:firstLine="567"/>
        <w:jc w:val="both"/>
        <w:rPr>
          <w:lang w:val="uk-UA"/>
        </w:rPr>
      </w:pPr>
      <w:r w:rsidRPr="00CA0D48">
        <w:rPr>
          <w:lang w:val="uk-UA"/>
        </w:rPr>
        <w:t>Не застосовувати мисливським та службовим собакам у зв’язку з можливим ураженням вестибулярного апарату та слуху.</w:t>
      </w:r>
    </w:p>
    <w:p w14:paraId="61445013" w14:textId="77777777" w:rsidR="004C258B" w:rsidRPr="00CA0D48" w:rsidRDefault="000E02F8">
      <w:pPr>
        <w:ind w:firstLine="567"/>
        <w:jc w:val="both"/>
        <w:rPr>
          <w:lang w:val="uk-UA"/>
        </w:rPr>
      </w:pPr>
      <w:r w:rsidRPr="00CA0D48">
        <w:rPr>
          <w:lang w:val="uk-UA"/>
        </w:rPr>
        <w:t>З обережністю препарат застосовують новонародженим тваринам (у перший тиждень життя), у цей період їм призначають тільки половину терапевтичної дози.</w:t>
      </w:r>
    </w:p>
    <w:p w14:paraId="14C0D21B" w14:textId="77777777" w:rsidR="004C258B" w:rsidRPr="00CA0D48" w:rsidRDefault="000E02F8">
      <w:pPr>
        <w:ind w:firstLine="567"/>
        <w:jc w:val="both"/>
        <w:rPr>
          <w:b/>
          <w:lang w:val="uk-UA"/>
        </w:rPr>
      </w:pPr>
      <w:r w:rsidRPr="00CA0D48">
        <w:rPr>
          <w:b/>
          <w:lang w:val="uk-UA"/>
        </w:rPr>
        <w:t>5.11  Період  виведення (каренції)</w:t>
      </w:r>
    </w:p>
    <w:p w14:paraId="44490A2F" w14:textId="77777777" w:rsidR="004C258B" w:rsidRPr="00CA0D48" w:rsidRDefault="000E02F8">
      <w:pPr>
        <w:ind w:firstLine="567"/>
        <w:jc w:val="both"/>
        <w:rPr>
          <w:lang w:val="uk-UA"/>
        </w:rPr>
      </w:pPr>
      <w:r w:rsidRPr="00CA0D48">
        <w:rPr>
          <w:lang w:val="uk-UA"/>
        </w:rPr>
        <w:t>Забій тварин (свині, телята) на м’ясо дозволяють через 10 діб після останнього застосування препарату. Отримане, до зазначеного терміну, м'ясо та субпродукти утилізують або згодовують непродуктивним тваринам, залежно від висновку лікаря ветеринарної медицини.</w:t>
      </w:r>
    </w:p>
    <w:p w14:paraId="64CBB2E0" w14:textId="77777777" w:rsidR="004C258B" w:rsidRPr="00CA0D48" w:rsidRDefault="000E02F8">
      <w:pPr>
        <w:ind w:firstLine="567"/>
        <w:jc w:val="both"/>
        <w:rPr>
          <w:b/>
          <w:lang w:val="uk-UA"/>
        </w:rPr>
      </w:pPr>
      <w:r w:rsidRPr="00CA0D48">
        <w:rPr>
          <w:b/>
          <w:lang w:val="uk-UA"/>
        </w:rPr>
        <w:t>5.12  Спеціальні  застереження для осіб обслуговуючого персоналу</w:t>
      </w:r>
    </w:p>
    <w:p w14:paraId="759A3475" w14:textId="77777777" w:rsidR="004C258B" w:rsidRPr="00CA0D48" w:rsidRDefault="000E02F8">
      <w:pPr>
        <w:tabs>
          <w:tab w:val="left" w:pos="5520"/>
        </w:tabs>
        <w:ind w:firstLine="567"/>
        <w:jc w:val="both"/>
        <w:rPr>
          <w:lang w:val="uk-UA"/>
        </w:rPr>
      </w:pPr>
      <w:r w:rsidRPr="00CA0D48">
        <w:rPr>
          <w:lang w:val="uk-UA"/>
        </w:rPr>
        <w:t xml:space="preserve">Дотримуватись правил роботи з ветеринарними препаратами. </w:t>
      </w:r>
    </w:p>
    <w:p w14:paraId="37DB5AB9" w14:textId="77777777" w:rsidR="004C258B" w:rsidRPr="00CA0D48" w:rsidRDefault="000E02F8">
      <w:pPr>
        <w:tabs>
          <w:tab w:val="left" w:pos="0"/>
          <w:tab w:val="left" w:pos="405"/>
        </w:tabs>
        <w:ind w:firstLine="567"/>
        <w:jc w:val="both"/>
        <w:rPr>
          <w:b/>
          <w:lang w:val="uk-UA"/>
        </w:rPr>
      </w:pPr>
      <w:r w:rsidRPr="00CA0D48">
        <w:rPr>
          <w:b/>
          <w:lang w:val="uk-UA"/>
        </w:rPr>
        <w:t>6.  Фармацевтичні  особливості</w:t>
      </w:r>
    </w:p>
    <w:p w14:paraId="75344C89" w14:textId="77777777" w:rsidR="004C258B" w:rsidRPr="00CA0D48" w:rsidRDefault="000E02F8">
      <w:pPr>
        <w:tabs>
          <w:tab w:val="left" w:pos="0"/>
          <w:tab w:val="left" w:pos="405"/>
        </w:tabs>
        <w:ind w:firstLine="567"/>
        <w:jc w:val="both"/>
        <w:rPr>
          <w:b/>
          <w:lang w:val="uk-UA"/>
        </w:rPr>
      </w:pPr>
      <w:r w:rsidRPr="00CA0D48">
        <w:rPr>
          <w:b/>
          <w:lang w:val="uk-UA"/>
        </w:rPr>
        <w:t>6.1 Форми несумісності</w:t>
      </w:r>
    </w:p>
    <w:p w14:paraId="72692219" w14:textId="77777777" w:rsidR="004C258B" w:rsidRPr="00CA0D48" w:rsidRDefault="000E02F8">
      <w:pPr>
        <w:ind w:firstLine="567"/>
        <w:jc w:val="both"/>
        <w:rPr>
          <w:lang w:val="uk-UA"/>
        </w:rPr>
      </w:pPr>
      <w:r w:rsidRPr="00CA0D48">
        <w:rPr>
          <w:lang w:val="uk-UA"/>
        </w:rPr>
        <w:t>Препарат хімічно несумісний з глюкозою, гідрокортизоном, барбітуратами, солями заліза та ртуті, лужними сполуками.</w:t>
      </w:r>
    </w:p>
    <w:p w14:paraId="464DFC83" w14:textId="77777777" w:rsidR="004C258B" w:rsidRPr="00CA0D48" w:rsidRDefault="000E02F8">
      <w:pPr>
        <w:ind w:firstLine="567"/>
        <w:jc w:val="both"/>
        <w:rPr>
          <w:b/>
          <w:lang w:val="uk-UA"/>
        </w:rPr>
      </w:pPr>
      <w:r w:rsidRPr="00CA0D48">
        <w:rPr>
          <w:b/>
          <w:lang w:val="uk-UA"/>
        </w:rPr>
        <w:t>6.2  Термін  придатності</w:t>
      </w:r>
    </w:p>
    <w:p w14:paraId="38DD08EE" w14:textId="77777777" w:rsidR="004C258B" w:rsidRPr="00CA0D48" w:rsidRDefault="000E02F8">
      <w:pPr>
        <w:widowControl w:val="0"/>
        <w:spacing w:line="100" w:lineRule="atLeast"/>
        <w:ind w:firstLine="567"/>
        <w:jc w:val="both"/>
        <w:rPr>
          <w:rFonts w:eastAsia="Lucida Sans Unicode"/>
          <w:lang w:val="uk-UA" w:eastAsia="ar-SA"/>
        </w:rPr>
      </w:pPr>
      <w:r w:rsidRPr="00CA0D48">
        <w:rPr>
          <w:rFonts w:eastAsia="Lucida Sans Unicode"/>
          <w:lang w:val="uk-UA" w:eastAsia="ar-SA"/>
        </w:rPr>
        <w:t>2 роки.</w:t>
      </w:r>
    </w:p>
    <w:p w14:paraId="12AC560D" w14:textId="77777777" w:rsidR="004C258B" w:rsidRPr="00CA0D48" w:rsidRDefault="000E02F8">
      <w:pPr>
        <w:widowControl w:val="0"/>
        <w:spacing w:line="100" w:lineRule="atLeast"/>
        <w:ind w:firstLine="567"/>
        <w:jc w:val="both"/>
        <w:rPr>
          <w:rFonts w:eastAsia="Lucida Sans Unicode"/>
          <w:lang w:val="uk-UA" w:eastAsia="ar-SA"/>
        </w:rPr>
      </w:pPr>
      <w:r w:rsidRPr="00CA0D48">
        <w:rPr>
          <w:rFonts w:eastAsia="Lucida Sans Unicode"/>
          <w:lang w:val="uk-UA" w:eastAsia="ar-SA"/>
        </w:rPr>
        <w:t>Після першого відбору з флакону, препарат необхідно використати протягом 14 діб за умов зберігання в темному місці за температури  від 0 до 5 °С.</w:t>
      </w:r>
    </w:p>
    <w:p w14:paraId="786DDE0D" w14:textId="7B523003" w:rsidR="004C258B" w:rsidRPr="00CA0D48" w:rsidRDefault="000E02F8">
      <w:pPr>
        <w:widowControl w:val="0"/>
        <w:spacing w:line="100" w:lineRule="atLeast"/>
        <w:ind w:firstLine="567"/>
        <w:jc w:val="both"/>
        <w:rPr>
          <w:rFonts w:eastAsia="Lucida Sans Unicode"/>
          <w:lang w:val="uk-UA" w:eastAsia="ar-SA"/>
        </w:rPr>
      </w:pPr>
      <w:r w:rsidRPr="00CA0D48">
        <w:rPr>
          <w:rFonts w:eastAsia="Lucida Sans Unicode"/>
          <w:lang w:val="uk-UA" w:eastAsia="ar-SA"/>
        </w:rPr>
        <w:t xml:space="preserve">Термін придатності після розведення препарату </w:t>
      </w:r>
      <w:r w:rsidR="00821115" w:rsidRPr="00CA0D48">
        <w:rPr>
          <w:rFonts w:eastAsia="Lucida Sans Unicode"/>
          <w:lang w:val="uk-UA" w:eastAsia="ar-SA"/>
        </w:rPr>
        <w:t>в</w:t>
      </w:r>
      <w:r w:rsidRPr="00CA0D48">
        <w:rPr>
          <w:rFonts w:eastAsia="Lucida Sans Unicode"/>
          <w:lang w:val="uk-UA" w:eastAsia="ar-SA"/>
        </w:rPr>
        <w:t xml:space="preserve"> питній воді становить 24 години.</w:t>
      </w:r>
    </w:p>
    <w:p w14:paraId="29EC94CE" w14:textId="77777777" w:rsidR="004C258B" w:rsidRPr="00CA0D48" w:rsidRDefault="000E02F8">
      <w:pPr>
        <w:widowControl w:val="0"/>
        <w:spacing w:line="100" w:lineRule="atLeast"/>
        <w:ind w:firstLine="567"/>
        <w:jc w:val="both"/>
        <w:rPr>
          <w:rFonts w:eastAsia="Lucida Sans Unicode"/>
          <w:b/>
          <w:lang w:val="uk-UA" w:eastAsia="ar-SA"/>
        </w:rPr>
      </w:pPr>
      <w:r w:rsidRPr="00CA0D48">
        <w:rPr>
          <w:rFonts w:eastAsia="Lucida Sans Unicode"/>
          <w:b/>
          <w:lang w:val="uk-UA" w:eastAsia="ar-SA"/>
        </w:rPr>
        <w:t>6.3 Особливі  заходи  зберігання</w:t>
      </w:r>
    </w:p>
    <w:p w14:paraId="741574E1" w14:textId="77777777" w:rsidR="004C258B" w:rsidRPr="00CA0D48" w:rsidRDefault="000E02F8">
      <w:pPr>
        <w:widowControl w:val="0"/>
        <w:ind w:firstLine="567"/>
        <w:jc w:val="both"/>
        <w:rPr>
          <w:lang w:val="uk-UA"/>
        </w:rPr>
      </w:pPr>
      <w:r w:rsidRPr="00CA0D48">
        <w:rPr>
          <w:lang w:val="uk-UA"/>
        </w:rPr>
        <w:t xml:space="preserve">Сухе темне, недоступне для дітей місце за температури від 5 до 25 °С. </w:t>
      </w:r>
    </w:p>
    <w:p w14:paraId="7631D7F7" w14:textId="77777777" w:rsidR="004C258B" w:rsidRPr="00CA0D48" w:rsidRDefault="000E02F8">
      <w:pPr>
        <w:ind w:firstLine="567"/>
        <w:jc w:val="both"/>
        <w:rPr>
          <w:b/>
          <w:lang w:val="uk-UA"/>
        </w:rPr>
      </w:pPr>
      <w:r w:rsidRPr="00CA0D48">
        <w:rPr>
          <w:b/>
          <w:lang w:val="uk-UA"/>
        </w:rPr>
        <w:t>6.4   Природа  і склад  контейнера первинного пакування</w:t>
      </w:r>
    </w:p>
    <w:p w14:paraId="71372539" w14:textId="77777777" w:rsidR="004C258B" w:rsidRPr="00CA0D48" w:rsidRDefault="000E02F8">
      <w:pPr>
        <w:ind w:firstLine="567"/>
        <w:jc w:val="both"/>
      </w:pPr>
      <w:r w:rsidRPr="00CA0D48">
        <w:t>Флакони з нейтрального скла марки НС-1 НС-2, УСП-1 по 10, 50 та 100 мл.  Вторинна упаковка – картонна коробка.</w:t>
      </w:r>
    </w:p>
    <w:p w14:paraId="6B9BFDB5" w14:textId="77777777" w:rsidR="004C258B" w:rsidRPr="00CA0D48" w:rsidRDefault="000E02F8">
      <w:pPr>
        <w:ind w:firstLine="567"/>
        <w:jc w:val="both"/>
      </w:pPr>
      <w:r w:rsidRPr="00CA0D48">
        <w:t>Контейнери</w:t>
      </w:r>
      <w:r w:rsidRPr="00CA0D48">
        <w:rPr>
          <w:lang w:val="uk-UA"/>
        </w:rPr>
        <w:t xml:space="preserve"> (флакони)</w:t>
      </w:r>
      <w:r w:rsidRPr="00CA0D48">
        <w:t xml:space="preserve"> по 500 мл </w:t>
      </w:r>
      <w:r w:rsidRPr="00CA0D48">
        <w:rPr>
          <w:lang w:val="uk-UA"/>
        </w:rPr>
        <w:t>та</w:t>
      </w:r>
      <w:r w:rsidRPr="00CA0D48">
        <w:t xml:space="preserve"> </w:t>
      </w:r>
      <w:r w:rsidRPr="00CA0D48">
        <w:rPr>
          <w:lang w:val="uk-UA"/>
        </w:rPr>
        <w:t>1</w:t>
      </w:r>
      <w:r w:rsidRPr="00CA0D48">
        <w:t xml:space="preserve"> л.</w:t>
      </w:r>
    </w:p>
    <w:p w14:paraId="5A60E849" w14:textId="77777777" w:rsidR="004C258B" w:rsidRPr="00CA0D48" w:rsidRDefault="000E02F8">
      <w:pPr>
        <w:ind w:firstLine="567"/>
        <w:jc w:val="both"/>
        <w:rPr>
          <w:lang w:val="uk-UA"/>
        </w:rPr>
      </w:pPr>
      <w:r w:rsidRPr="00CA0D48">
        <w:rPr>
          <w:b/>
          <w:lang w:val="uk-UA"/>
        </w:rPr>
        <w:t>6.5 Особливі заходи безпеки при поводженні з  невикористаним  препаратом  або із  його  залишками</w:t>
      </w:r>
    </w:p>
    <w:p w14:paraId="52BC2923" w14:textId="77777777" w:rsidR="004C258B" w:rsidRPr="00CA0D48" w:rsidRDefault="000E02F8">
      <w:pPr>
        <w:ind w:firstLine="567"/>
        <w:jc w:val="both"/>
        <w:rPr>
          <w:lang w:val="uk-UA"/>
        </w:rPr>
      </w:pPr>
      <w:r w:rsidRPr="00CA0D48">
        <w:t xml:space="preserve">Порожню упаковку та залишки невикористаного препарату потрібно </w:t>
      </w:r>
      <w:r w:rsidRPr="00CA0D48">
        <w:rPr>
          <w:lang w:val="uk-UA"/>
        </w:rPr>
        <w:t>утилізувати</w:t>
      </w:r>
      <w:r w:rsidRPr="00CA0D48">
        <w:t xml:space="preserve"> згідно </w:t>
      </w:r>
      <w:r w:rsidRPr="00CA0D48">
        <w:rPr>
          <w:lang w:val="uk-UA"/>
        </w:rPr>
        <w:t xml:space="preserve">з </w:t>
      </w:r>
      <w:r w:rsidRPr="00CA0D48">
        <w:t>чинним законодавств</w:t>
      </w:r>
      <w:r w:rsidRPr="00CA0D48">
        <w:rPr>
          <w:lang w:val="uk-UA"/>
        </w:rPr>
        <w:t>ом</w:t>
      </w:r>
      <w:r w:rsidRPr="00CA0D48">
        <w:t>.</w:t>
      </w:r>
    </w:p>
    <w:p w14:paraId="1782FDC8" w14:textId="77777777" w:rsidR="004C258B" w:rsidRPr="00CA0D48" w:rsidRDefault="000E02F8">
      <w:pPr>
        <w:ind w:firstLine="567"/>
        <w:jc w:val="both"/>
        <w:rPr>
          <w:b/>
          <w:lang w:val="uk-UA"/>
        </w:rPr>
      </w:pPr>
      <w:r w:rsidRPr="00CA0D48">
        <w:rPr>
          <w:b/>
          <w:lang w:val="uk-UA"/>
        </w:rPr>
        <w:t>7. Назва та місцезнаходження власника реєстраційного посвідчення</w:t>
      </w:r>
    </w:p>
    <w:p w14:paraId="174EA1DF" w14:textId="5D1358F0" w:rsidR="004C258B" w:rsidRPr="00CA0D48" w:rsidRDefault="000E02F8">
      <w:pPr>
        <w:pStyle w:val="afc"/>
        <w:spacing w:after="0"/>
        <w:ind w:left="0" w:firstLine="567"/>
        <w:rPr>
          <w:lang w:val="uk-UA"/>
        </w:rPr>
      </w:pPr>
      <w:r w:rsidRPr="00CA0D48">
        <w:rPr>
          <w:lang w:val="uk-UA"/>
        </w:rPr>
        <w:t>Товариство з обмежен</w:t>
      </w:r>
      <w:r w:rsidR="00821115" w:rsidRPr="00CA0D48">
        <w:rPr>
          <w:lang w:val="uk-UA"/>
        </w:rPr>
        <w:t>ою відповідальністю “Ветсинтез”,</w:t>
      </w:r>
    </w:p>
    <w:p w14:paraId="3EA4B50A" w14:textId="77777777" w:rsidR="004C258B" w:rsidRPr="00CA0D48" w:rsidRDefault="000E02F8">
      <w:pPr>
        <w:pStyle w:val="afc"/>
        <w:spacing w:after="0"/>
        <w:ind w:left="0" w:firstLine="567"/>
        <w:rPr>
          <w:lang w:val="uk-UA"/>
        </w:rPr>
      </w:pPr>
      <w:r w:rsidRPr="00CA0D48">
        <w:rPr>
          <w:lang w:val="uk-UA"/>
        </w:rPr>
        <w:t>61001, м. Харків, вул. Бобанича Тараса, 30, Україна</w:t>
      </w:r>
    </w:p>
    <w:p w14:paraId="4FC20FFB" w14:textId="77777777" w:rsidR="004C258B" w:rsidRPr="00CA0D48" w:rsidRDefault="000E02F8">
      <w:pPr>
        <w:ind w:firstLine="567"/>
        <w:jc w:val="both"/>
        <w:rPr>
          <w:b/>
          <w:lang w:val="uk-UA"/>
        </w:rPr>
      </w:pPr>
      <w:r w:rsidRPr="00CA0D48">
        <w:rPr>
          <w:b/>
          <w:lang w:val="uk-UA"/>
        </w:rPr>
        <w:t>8. Назва та місцезнаходження виробника (виробників)</w:t>
      </w:r>
    </w:p>
    <w:p w14:paraId="62EBF7BC" w14:textId="622FB5E7" w:rsidR="004C258B" w:rsidRPr="00CA0D48" w:rsidRDefault="000E02F8">
      <w:pPr>
        <w:pStyle w:val="afc"/>
        <w:spacing w:after="0"/>
        <w:ind w:left="0" w:firstLine="567"/>
        <w:rPr>
          <w:lang w:val="uk-UA"/>
        </w:rPr>
      </w:pPr>
      <w:r w:rsidRPr="00CA0D48">
        <w:rPr>
          <w:lang w:val="uk-UA"/>
        </w:rPr>
        <w:t>Товариство з обмежен</w:t>
      </w:r>
      <w:r w:rsidR="00821115" w:rsidRPr="00CA0D48">
        <w:rPr>
          <w:lang w:val="uk-UA"/>
        </w:rPr>
        <w:t>ою відповідальністю “Ветсинтез”,</w:t>
      </w:r>
    </w:p>
    <w:p w14:paraId="118BC230" w14:textId="77777777" w:rsidR="004C258B" w:rsidRPr="00CA0D48" w:rsidRDefault="000E02F8">
      <w:pPr>
        <w:pStyle w:val="afc"/>
        <w:spacing w:after="0"/>
        <w:ind w:left="0" w:firstLine="567"/>
        <w:rPr>
          <w:lang w:val="uk-UA"/>
        </w:rPr>
      </w:pPr>
      <w:r w:rsidRPr="00CA0D48">
        <w:rPr>
          <w:lang w:val="uk-UA"/>
        </w:rPr>
        <w:t>61001, м. Харків, вул. Бобанича Тараса, 30, Україна</w:t>
      </w:r>
    </w:p>
    <w:p w14:paraId="1A1CD2D4" w14:textId="24E54D63" w:rsidR="004C258B" w:rsidRDefault="000E02F8" w:rsidP="003862BA">
      <w:pPr>
        <w:ind w:firstLine="567"/>
        <w:jc w:val="both"/>
      </w:pPr>
      <w:r w:rsidRPr="00CA0D48">
        <w:rPr>
          <w:b/>
          <w:lang w:val="uk-UA"/>
        </w:rPr>
        <w:t>9. Додаткова інформація</w:t>
      </w:r>
    </w:p>
    <w:sectPr w:rsidR="004C258B">
      <w:footerReference w:type="default" r:id="rId6"/>
      <w:pgSz w:w="11906" w:h="16838"/>
      <w:pgMar w:top="1134" w:right="850" w:bottom="1134"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52AAE68F"/>
  <w16cid:commentId w16cid:paraId="00000002" w16cid:durableId="7A6E2949"/>
  <w16cid:commentId w16cid:paraId="00000003" w16cid:durableId="770310A6"/>
  <w16cid:commentId w16cid:paraId="00000004" w16cid:durableId="0DD2B9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B544" w14:textId="77777777" w:rsidR="002534C4" w:rsidRDefault="002534C4">
      <w:r>
        <w:separator/>
      </w:r>
    </w:p>
  </w:endnote>
  <w:endnote w:type="continuationSeparator" w:id="0">
    <w:p w14:paraId="696B37B8" w14:textId="77777777" w:rsidR="002534C4" w:rsidRDefault="0025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791529"/>
      <w:docPartObj>
        <w:docPartGallery w:val="Page Numbers (Bottom of Page)"/>
        <w:docPartUnique/>
      </w:docPartObj>
    </w:sdtPr>
    <w:sdtEndPr/>
    <w:sdtContent>
      <w:p w14:paraId="3AC96BBF" w14:textId="76EDEFBD" w:rsidR="002534C4" w:rsidRDefault="002534C4">
        <w:pPr>
          <w:pStyle w:val="ad"/>
          <w:jc w:val="center"/>
        </w:pPr>
        <w:r>
          <w:fldChar w:fldCharType="begin"/>
        </w:r>
        <w:r>
          <w:instrText>PAGE   \* MERGEFORMAT</w:instrText>
        </w:r>
        <w:r>
          <w:fldChar w:fldCharType="separate"/>
        </w:r>
        <w:r w:rsidR="00CA0D48">
          <w:rPr>
            <w:noProof/>
          </w:rPr>
          <w:t>1</w:t>
        </w:r>
        <w:r>
          <w:fldChar w:fldCharType="end"/>
        </w:r>
      </w:p>
    </w:sdtContent>
  </w:sdt>
  <w:p w14:paraId="58515924" w14:textId="77777777" w:rsidR="002534C4" w:rsidRDefault="002534C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1FBC0" w14:textId="77777777" w:rsidR="002534C4" w:rsidRDefault="002534C4">
      <w:r>
        <w:separator/>
      </w:r>
    </w:p>
  </w:footnote>
  <w:footnote w:type="continuationSeparator" w:id="0">
    <w:p w14:paraId="5F94E2F7" w14:textId="77777777" w:rsidR="002534C4" w:rsidRDefault="0025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8B"/>
    <w:rsid w:val="000E02F8"/>
    <w:rsid w:val="001953D7"/>
    <w:rsid w:val="00236684"/>
    <w:rsid w:val="002534C4"/>
    <w:rsid w:val="003862BA"/>
    <w:rsid w:val="003B2364"/>
    <w:rsid w:val="004127E5"/>
    <w:rsid w:val="00440401"/>
    <w:rsid w:val="00460FC1"/>
    <w:rsid w:val="00476E4A"/>
    <w:rsid w:val="004C258B"/>
    <w:rsid w:val="00501191"/>
    <w:rsid w:val="00562794"/>
    <w:rsid w:val="005C592C"/>
    <w:rsid w:val="00610E7A"/>
    <w:rsid w:val="0065229E"/>
    <w:rsid w:val="006D14E7"/>
    <w:rsid w:val="0081413D"/>
    <w:rsid w:val="00821115"/>
    <w:rsid w:val="0089195E"/>
    <w:rsid w:val="008E2BD9"/>
    <w:rsid w:val="009D2EB8"/>
    <w:rsid w:val="009E3C67"/>
    <w:rsid w:val="009E776A"/>
    <w:rsid w:val="00A04A4C"/>
    <w:rsid w:val="00A4426F"/>
    <w:rsid w:val="00A572CC"/>
    <w:rsid w:val="00CA0D48"/>
    <w:rsid w:val="00E2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8725"/>
  <w15:docId w15:val="{4CA9DA4E-C9FA-4D25-AE3A-08E3B6C2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imes New Roman"/>
      <w:sz w:val="24"/>
      <w:szCs w:val="24"/>
      <w:lang w:eastAsia="ru-RU"/>
    </w:rPr>
  </w:style>
  <w:style w:type="paragraph" w:styleId="1">
    <w:name w:val="heading 1"/>
    <w:basedOn w:val="a"/>
    <w:next w:val="a"/>
    <w:link w:val="10"/>
    <w:uiPriority w:val="9"/>
    <w:qFormat/>
    <w:pPr>
      <w:keepNext/>
      <w:keepLines/>
      <w:spacing w:before="480" w:after="480" w:line="360" w:lineRule="auto"/>
      <w:jc w:val="center"/>
      <w:outlineLvl w:val="0"/>
    </w:pPr>
    <w:rPr>
      <w:rFonts w:eastAsiaTheme="majorEastAsia" w:cstheme="majorBidi"/>
      <w:b/>
      <w:color w:val="000000" w:themeColor="text1"/>
      <w:sz w:val="28"/>
      <w:szCs w:val="32"/>
      <w:lang w:eastAsia="en-US"/>
    </w:rPr>
  </w:style>
  <w:style w:type="paragraph" w:styleId="2">
    <w:name w:val="heading 2"/>
    <w:basedOn w:val="a"/>
    <w:next w:val="a"/>
    <w:link w:val="20"/>
    <w:uiPriority w:val="9"/>
    <w:unhideWhenUsed/>
    <w:qFormat/>
    <w:pPr>
      <w:keepNext/>
      <w:keepLines/>
      <w:spacing w:before="480" w:after="480" w:line="360" w:lineRule="auto"/>
      <w:ind w:firstLine="709"/>
      <w:jc w:val="both"/>
      <w:outlineLvl w:val="1"/>
    </w:pPr>
    <w:rPr>
      <w:rFonts w:eastAsiaTheme="majorEastAsia" w:cstheme="majorBidi"/>
      <w:b/>
      <w:color w:val="000000" w:themeColor="text1"/>
      <w:sz w:val="28"/>
      <w:szCs w:val="26"/>
      <w:lang w:eastAsia="en-US"/>
    </w:rPr>
  </w:style>
  <w:style w:type="paragraph" w:styleId="3">
    <w:name w:val="heading 3"/>
    <w:basedOn w:val="a"/>
    <w:next w:val="a"/>
    <w:link w:val="30"/>
    <w:pPr>
      <w:keepNext/>
      <w:keepLines/>
      <w:spacing w:before="480" w:after="480" w:line="360" w:lineRule="auto"/>
      <w:ind w:firstLine="709"/>
      <w:jc w:val="both"/>
      <w:outlineLvl w:val="2"/>
    </w:pPr>
    <w:rPr>
      <w:b/>
      <w:sz w:val="28"/>
      <w:szCs w:val="28"/>
      <w:lang w:val="uk-UA"/>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ідзаголовок Знак"/>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Цитата Знак"/>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Pr>
      <w:i/>
    </w:rPr>
  </w:style>
  <w:style w:type="character" w:customStyle="1" w:styleId="HeaderChar">
    <w:name w:val="Header Char"/>
    <w:basedOn w:val="a0"/>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і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ви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інцевої ви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basedOn w:val="a0"/>
    <w:link w:val="1"/>
    <w:uiPriority w:val="9"/>
    <w:rPr>
      <w:rFonts w:eastAsiaTheme="majorEastAsia" w:cstheme="majorBidi"/>
      <w:b/>
      <w:color w:val="000000" w:themeColor="text1"/>
      <w:sz w:val="28"/>
      <w:szCs w:val="32"/>
    </w:rPr>
  </w:style>
  <w:style w:type="paragraph" w:customStyle="1" w:styleId="afa">
    <w:name w:val="Курсачи"/>
    <w:basedOn w:val="a"/>
    <w:link w:val="afb"/>
    <w:qFormat/>
    <w:pPr>
      <w:spacing w:line="360" w:lineRule="auto"/>
      <w:ind w:firstLine="709"/>
      <w:jc w:val="both"/>
    </w:pPr>
    <w:rPr>
      <w:rFonts w:eastAsiaTheme="minorHAnsi"/>
      <w:sz w:val="28"/>
      <w:szCs w:val="22"/>
      <w:lang w:eastAsia="en-US"/>
    </w:rPr>
  </w:style>
  <w:style w:type="character" w:customStyle="1" w:styleId="afb">
    <w:name w:val="Курсачи Знак"/>
    <w:basedOn w:val="a0"/>
    <w:link w:val="afa"/>
    <w:rPr>
      <w:sz w:val="28"/>
    </w:rPr>
  </w:style>
  <w:style w:type="character" w:customStyle="1" w:styleId="20">
    <w:name w:val="Заголовок 2 Знак"/>
    <w:basedOn w:val="a0"/>
    <w:link w:val="2"/>
    <w:uiPriority w:val="9"/>
    <w:rPr>
      <w:rFonts w:eastAsiaTheme="majorEastAsia" w:cstheme="majorBidi"/>
      <w:b/>
      <w:color w:val="000000" w:themeColor="text1"/>
      <w:sz w:val="28"/>
      <w:szCs w:val="26"/>
    </w:rPr>
  </w:style>
  <w:style w:type="character" w:customStyle="1" w:styleId="30">
    <w:name w:val="Заголовок 3 Знак"/>
    <w:basedOn w:val="a0"/>
    <w:link w:val="3"/>
    <w:rPr>
      <w:rFonts w:eastAsia="Times New Roman"/>
      <w:b/>
      <w:sz w:val="28"/>
      <w:szCs w:val="28"/>
      <w:lang w:val="uk-UA" w:eastAsia="ru-RU"/>
    </w:rPr>
  </w:style>
  <w:style w:type="paragraph" w:styleId="afc">
    <w:name w:val="Body Text Indent"/>
    <w:basedOn w:val="a"/>
    <w:link w:val="afd"/>
    <w:pPr>
      <w:spacing w:after="120"/>
      <w:ind w:left="283"/>
    </w:pPr>
  </w:style>
  <w:style w:type="character" w:customStyle="1" w:styleId="afd">
    <w:name w:val="Основний текст з відступом Знак"/>
    <w:basedOn w:val="a0"/>
    <w:link w:val="afc"/>
    <w:rPr>
      <w:rFonts w:eastAsia="Times New Roman"/>
      <w:sz w:val="24"/>
      <w:szCs w:val="24"/>
      <w:lang w:eastAsia="ru-RU"/>
    </w:rPr>
  </w:style>
  <w:style w:type="paragraph" w:customStyle="1" w:styleId="13">
    <w:name w:val="Обычный1"/>
    <w:pPr>
      <w:widowControl w:val="0"/>
      <w:spacing w:after="0" w:line="240" w:lineRule="auto"/>
    </w:pPr>
    <w:rPr>
      <w:rFonts w:eastAsia="Times New Roman"/>
      <w:sz w:val="20"/>
      <w:szCs w:val="20"/>
      <w:lang w:eastAsia="ru-RU"/>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rPr>
      <w:sz w:val="20"/>
      <w:szCs w:val="20"/>
    </w:rPr>
  </w:style>
  <w:style w:type="character" w:customStyle="1" w:styleId="aff0">
    <w:name w:val="Текст примітки Знак"/>
    <w:basedOn w:val="a0"/>
    <w:link w:val="aff"/>
    <w:uiPriority w:val="99"/>
    <w:semiHidden/>
    <w:rPr>
      <w:rFonts w:eastAsia="Times New Roman"/>
      <w:sz w:val="20"/>
      <w:szCs w:val="20"/>
      <w:lang w:eastAsia="ru-RU"/>
    </w:rPr>
  </w:style>
  <w:style w:type="paragraph" w:styleId="aff1">
    <w:name w:val="annotation subject"/>
    <w:basedOn w:val="aff"/>
    <w:next w:val="aff"/>
    <w:link w:val="aff2"/>
    <w:uiPriority w:val="99"/>
    <w:semiHidden/>
    <w:unhideWhenUsed/>
    <w:rPr>
      <w:b/>
      <w:bCs/>
    </w:rPr>
  </w:style>
  <w:style w:type="character" w:customStyle="1" w:styleId="aff2">
    <w:name w:val="Тема примітки Знак"/>
    <w:basedOn w:val="aff0"/>
    <w:link w:val="aff1"/>
    <w:uiPriority w:val="99"/>
    <w:semiHidden/>
    <w:rPr>
      <w:rFonts w:eastAsia="Times New Roman"/>
      <w:b/>
      <w:bCs/>
      <w:sz w:val="20"/>
      <w:szCs w:val="20"/>
      <w:lang w:eastAsia="ru-RU"/>
    </w:rPr>
  </w:style>
  <w:style w:type="paragraph" w:styleId="aff3">
    <w:name w:val="Balloon Text"/>
    <w:basedOn w:val="a"/>
    <w:link w:val="aff4"/>
    <w:uiPriority w:val="99"/>
    <w:semiHidden/>
    <w:unhideWhenUsed/>
    <w:rPr>
      <w:rFonts w:ascii="Tahoma" w:hAnsi="Tahoma" w:cs="Tahoma"/>
      <w:sz w:val="16"/>
      <w:szCs w:val="16"/>
    </w:rPr>
  </w:style>
  <w:style w:type="character" w:customStyle="1" w:styleId="aff4">
    <w:name w:val="Текст у виносці Знак"/>
    <w:basedOn w:val="a0"/>
    <w:link w:val="aff3"/>
    <w:uiPriority w:val="99"/>
    <w:semiHidden/>
    <w:rPr>
      <w:rFonts w:ascii="Tahoma" w:eastAsia="Times New Roman" w:hAnsi="Tahoma" w:cs="Tahoma"/>
      <w:sz w:val="16"/>
      <w:szCs w:val="16"/>
      <w:lang w:eastAsia="ru-RU"/>
    </w:rPr>
  </w:style>
  <w:style w:type="paragraph" w:styleId="aff5">
    <w:name w:val="header"/>
    <w:basedOn w:val="a"/>
    <w:link w:val="aff6"/>
    <w:uiPriority w:val="99"/>
    <w:pPr>
      <w:tabs>
        <w:tab w:val="center" w:pos="4320"/>
        <w:tab w:val="right" w:pos="8640"/>
      </w:tabs>
    </w:pPr>
    <w:rPr>
      <w:rFonts w:ascii="CG Times" w:hAnsi="CG Times"/>
      <w:szCs w:val="20"/>
      <w:lang w:val="uk-UA" w:eastAsia="nl-NL"/>
    </w:rPr>
  </w:style>
  <w:style w:type="character" w:customStyle="1" w:styleId="aff6">
    <w:name w:val="Верхній колонтитул Знак"/>
    <w:basedOn w:val="a0"/>
    <w:link w:val="aff5"/>
    <w:uiPriority w:val="99"/>
    <w:rPr>
      <w:rFonts w:ascii="CG Times" w:eastAsia="Times New Roman" w:hAnsi="CG Times"/>
      <w:sz w:val="24"/>
      <w:szCs w:val="20"/>
      <w:lang w:val="uk-UA"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5641</Words>
  <Characters>3216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10</cp:revision>
  <dcterms:created xsi:type="dcterms:W3CDTF">2025-04-08T15:23:00Z</dcterms:created>
  <dcterms:modified xsi:type="dcterms:W3CDTF">2025-06-18T16:16:00Z</dcterms:modified>
</cp:coreProperties>
</file>