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379D8" w14:textId="77777777" w:rsidR="008B393D" w:rsidRPr="00861C27" w:rsidRDefault="001762C8" w:rsidP="00C24390">
      <w:pPr>
        <w:jc w:val="center"/>
        <w:rPr>
          <w:b/>
          <w:lang w:val="uk-UA"/>
        </w:rPr>
      </w:pPr>
      <w:r w:rsidRPr="00861C27">
        <w:rPr>
          <w:b/>
          <w:lang w:val="uk-UA"/>
        </w:rPr>
        <w:t>К</w:t>
      </w:r>
      <w:r w:rsidR="008B393D" w:rsidRPr="00861C27">
        <w:rPr>
          <w:b/>
          <w:lang w:val="uk-UA"/>
        </w:rPr>
        <w:t>ОРОТКА ХАРАКТЕРИСТИКА ПРЕПАРАТУ</w:t>
      </w:r>
    </w:p>
    <w:p w14:paraId="79463A31" w14:textId="77777777" w:rsidR="00C24390" w:rsidRPr="00861C27" w:rsidRDefault="00C24390" w:rsidP="008B393D">
      <w:pPr>
        <w:tabs>
          <w:tab w:val="left" w:pos="567"/>
          <w:tab w:val="left" w:pos="2148"/>
        </w:tabs>
        <w:jc w:val="both"/>
        <w:rPr>
          <w:b/>
          <w:lang w:val="uk-UA"/>
        </w:rPr>
      </w:pPr>
    </w:p>
    <w:p w14:paraId="16336B34" w14:textId="77777777" w:rsidR="001762C8" w:rsidRPr="00861C27" w:rsidRDefault="000D5477" w:rsidP="002016DA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 xml:space="preserve">1. </w:t>
      </w:r>
      <w:r w:rsidR="00A24AF9" w:rsidRPr="00861C27">
        <w:rPr>
          <w:b/>
          <w:snapToGrid w:val="0"/>
          <w:lang w:val="uk-UA"/>
        </w:rPr>
        <w:t>Назва</w:t>
      </w:r>
    </w:p>
    <w:p w14:paraId="4DA4780A" w14:textId="77777777" w:rsidR="002E7A2A" w:rsidRPr="00861C27" w:rsidRDefault="006133AA" w:rsidP="002016DA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>ТІОПРОТЕКТИН</w:t>
      </w:r>
      <w:r w:rsidR="00460CC4" w:rsidRPr="00861C27">
        <w:rPr>
          <w:lang w:val="uk-UA"/>
        </w:rPr>
        <w:t xml:space="preserve"> 2,5 % </w:t>
      </w:r>
      <w:r w:rsidR="00990924" w:rsidRPr="00861C27">
        <w:rPr>
          <w:lang w:val="uk-UA"/>
        </w:rPr>
        <w:t>розчин для ін’єкцій</w:t>
      </w:r>
    </w:p>
    <w:p w14:paraId="399E02C8" w14:textId="77777777" w:rsidR="00A24AF9" w:rsidRPr="00861C27" w:rsidRDefault="000D5477" w:rsidP="002016DA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 xml:space="preserve">2. </w:t>
      </w:r>
      <w:r w:rsidR="001762C8" w:rsidRPr="00861C27">
        <w:rPr>
          <w:b/>
          <w:snapToGrid w:val="0"/>
          <w:lang w:val="uk-UA"/>
        </w:rPr>
        <w:t>С</w:t>
      </w:r>
      <w:r w:rsidR="00A24AF9" w:rsidRPr="00861C27">
        <w:rPr>
          <w:b/>
          <w:snapToGrid w:val="0"/>
          <w:lang w:val="uk-UA"/>
        </w:rPr>
        <w:t>клад</w:t>
      </w:r>
    </w:p>
    <w:p w14:paraId="7DDD82C0" w14:textId="77777777" w:rsidR="00990924" w:rsidRPr="00861C27" w:rsidRDefault="00990924" w:rsidP="00990924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 xml:space="preserve">1 мл препарату містить: </w:t>
      </w:r>
    </w:p>
    <w:p w14:paraId="35EE069F" w14:textId="77777777" w:rsidR="00990924" w:rsidRPr="00861C27" w:rsidRDefault="00990924" w:rsidP="00990924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i/>
          <w:snapToGrid w:val="0"/>
          <w:lang w:val="uk-UA"/>
        </w:rPr>
        <w:t>діюча речовина:</w:t>
      </w:r>
      <w:r w:rsidRPr="00861C27">
        <w:rPr>
          <w:snapToGrid w:val="0"/>
          <w:lang w:val="uk-UA"/>
        </w:rPr>
        <w:t xml:space="preserve"> </w:t>
      </w:r>
      <w:proofErr w:type="spellStart"/>
      <w:r w:rsidRPr="00861C27">
        <w:rPr>
          <w:snapToGrid w:val="0"/>
          <w:lang w:val="uk-UA"/>
        </w:rPr>
        <w:t>морфолінієва</w:t>
      </w:r>
      <w:proofErr w:type="spellEnd"/>
      <w:r w:rsidRPr="00861C27">
        <w:rPr>
          <w:snapToGrid w:val="0"/>
          <w:lang w:val="uk-UA"/>
        </w:rPr>
        <w:t xml:space="preserve"> сіль </w:t>
      </w:r>
      <w:proofErr w:type="spellStart"/>
      <w:r w:rsidRPr="00861C27">
        <w:rPr>
          <w:snapToGrid w:val="0"/>
          <w:lang w:val="uk-UA"/>
        </w:rPr>
        <w:t>тіазотної</w:t>
      </w:r>
      <w:proofErr w:type="spellEnd"/>
      <w:r w:rsidRPr="00861C27">
        <w:rPr>
          <w:snapToGrid w:val="0"/>
          <w:lang w:val="uk-UA"/>
        </w:rPr>
        <w:t xml:space="preserve"> кислоти в перерахуванні на 100 % речовину, що еквівалентно 16,6 мг </w:t>
      </w:r>
      <w:proofErr w:type="spellStart"/>
      <w:r w:rsidRPr="00861C27">
        <w:rPr>
          <w:snapToGrid w:val="0"/>
          <w:lang w:val="uk-UA"/>
        </w:rPr>
        <w:t>тіазотної</w:t>
      </w:r>
      <w:proofErr w:type="spellEnd"/>
      <w:r w:rsidRPr="00861C27">
        <w:rPr>
          <w:snapToGrid w:val="0"/>
          <w:lang w:val="uk-UA"/>
        </w:rPr>
        <w:t xml:space="preserve"> кислоти – 25,0 мг;</w:t>
      </w:r>
    </w:p>
    <w:p w14:paraId="0780D9CE" w14:textId="77777777" w:rsidR="00990924" w:rsidRPr="00861C27" w:rsidRDefault="00990924" w:rsidP="00990924">
      <w:pPr>
        <w:tabs>
          <w:tab w:val="left" w:pos="567"/>
        </w:tabs>
        <w:jc w:val="both"/>
        <w:rPr>
          <w:bCs/>
          <w:snapToGrid w:val="0"/>
          <w:lang w:val="uk-UA"/>
        </w:rPr>
      </w:pPr>
      <w:r w:rsidRPr="00861C27">
        <w:rPr>
          <w:i/>
          <w:snapToGrid w:val="0"/>
          <w:lang w:val="uk-UA"/>
        </w:rPr>
        <w:t>допоміжна речовина:</w:t>
      </w:r>
      <w:r w:rsidRPr="00861C27">
        <w:rPr>
          <w:snapToGrid w:val="0"/>
          <w:lang w:val="uk-UA"/>
        </w:rPr>
        <w:t xml:space="preserve"> вода для ін’єкцій.</w:t>
      </w:r>
    </w:p>
    <w:p w14:paraId="753077B8" w14:textId="77777777" w:rsidR="00D2393A" w:rsidRPr="00861C27" w:rsidRDefault="00A24AF9" w:rsidP="002016DA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3. Фармацевтична (лікарська) форма</w:t>
      </w:r>
    </w:p>
    <w:p w14:paraId="5F6DBD69" w14:textId="77777777" w:rsidR="002E7A2A" w:rsidRPr="00861C27" w:rsidRDefault="00990924" w:rsidP="00806BB8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>Розчин для ін’єкцій.</w:t>
      </w:r>
    </w:p>
    <w:p w14:paraId="100850D2" w14:textId="77777777" w:rsidR="00A24AF9" w:rsidRPr="00861C27" w:rsidRDefault="00A24AF9" w:rsidP="002016DA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4. Фармакологічн</w:t>
      </w:r>
      <w:r w:rsidR="00E35078" w:rsidRPr="00861C27">
        <w:rPr>
          <w:b/>
          <w:snapToGrid w:val="0"/>
          <w:lang w:val="uk-UA"/>
        </w:rPr>
        <w:t>і властивості</w:t>
      </w:r>
    </w:p>
    <w:p w14:paraId="511778A8" w14:textId="77777777" w:rsidR="00440435" w:rsidRPr="00861C27" w:rsidRDefault="00440435" w:rsidP="00440435">
      <w:pPr>
        <w:tabs>
          <w:tab w:val="left" w:pos="567"/>
        </w:tabs>
        <w:jc w:val="both"/>
        <w:rPr>
          <w:b/>
          <w:i/>
          <w:snapToGrid w:val="0"/>
          <w:lang w:val="uk-UA"/>
        </w:rPr>
      </w:pPr>
      <w:r w:rsidRPr="00861C27">
        <w:rPr>
          <w:b/>
          <w:i/>
          <w:snapToGrid w:val="0"/>
          <w:lang w:val="en-US"/>
        </w:rPr>
        <w:t>ATC</w:t>
      </w:r>
      <w:r w:rsidRPr="00861C27">
        <w:rPr>
          <w:b/>
          <w:i/>
          <w:snapToGrid w:val="0"/>
          <w:lang w:val="uk-UA"/>
        </w:rPr>
        <w:t>-</w:t>
      </w:r>
      <w:r w:rsidRPr="00861C27">
        <w:rPr>
          <w:b/>
          <w:i/>
          <w:snapToGrid w:val="0"/>
          <w:lang w:val="en-US"/>
        </w:rPr>
        <w:t>vet</w:t>
      </w:r>
      <w:r w:rsidRPr="00861C27">
        <w:rPr>
          <w:b/>
          <w:i/>
          <w:snapToGrid w:val="0"/>
          <w:lang w:val="uk-UA"/>
        </w:rPr>
        <w:t xml:space="preserve"> класифікаційний код: QA05 Ветеринарні препарати, що застосовуються при патології печінки та жовчовивідних шляхів. QC01 Ветеринарні препарати, які застосовуються у кардіології.</w:t>
      </w:r>
    </w:p>
    <w:p w14:paraId="0C7C9F2C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 xml:space="preserve">Фармакологічний ефект </w:t>
      </w:r>
      <w:proofErr w:type="spellStart"/>
      <w:r w:rsidRPr="00861C27">
        <w:rPr>
          <w:lang w:val="uk-UA"/>
        </w:rPr>
        <w:t>тіазотної</w:t>
      </w:r>
      <w:proofErr w:type="spellEnd"/>
      <w:r w:rsidRPr="00861C27">
        <w:rPr>
          <w:lang w:val="uk-UA"/>
        </w:rPr>
        <w:t xml:space="preserve"> кислоти зумовлений антиоксидантними, </w:t>
      </w:r>
      <w:proofErr w:type="spellStart"/>
      <w:r w:rsidRPr="00861C27">
        <w:rPr>
          <w:lang w:val="uk-UA"/>
        </w:rPr>
        <w:t>мембраностабілізуючими</w:t>
      </w:r>
      <w:proofErr w:type="spellEnd"/>
      <w:r w:rsidRPr="00861C27">
        <w:rPr>
          <w:lang w:val="uk-UA"/>
        </w:rPr>
        <w:t xml:space="preserve">, </w:t>
      </w:r>
      <w:proofErr w:type="spellStart"/>
      <w:r w:rsidRPr="00861C27">
        <w:rPr>
          <w:lang w:val="uk-UA"/>
        </w:rPr>
        <w:t>протиішемічними</w:t>
      </w:r>
      <w:proofErr w:type="spellEnd"/>
      <w:r w:rsidRPr="00861C27">
        <w:rPr>
          <w:lang w:val="uk-UA"/>
        </w:rPr>
        <w:t xml:space="preserve"> та </w:t>
      </w:r>
      <w:proofErr w:type="spellStart"/>
      <w:r w:rsidRPr="00861C27">
        <w:rPr>
          <w:lang w:val="uk-UA"/>
        </w:rPr>
        <w:t>імуномодулюючими</w:t>
      </w:r>
      <w:proofErr w:type="spellEnd"/>
      <w:r w:rsidRPr="00861C27">
        <w:rPr>
          <w:lang w:val="uk-UA"/>
        </w:rPr>
        <w:t xml:space="preserve"> властивостями. Запобігає загибелі </w:t>
      </w:r>
      <w:proofErr w:type="spellStart"/>
      <w:r w:rsidRPr="00861C27">
        <w:rPr>
          <w:lang w:val="uk-UA"/>
        </w:rPr>
        <w:t>гепатоцитів</w:t>
      </w:r>
      <w:proofErr w:type="spellEnd"/>
      <w:r w:rsidRPr="00861C27">
        <w:rPr>
          <w:lang w:val="uk-UA"/>
        </w:rPr>
        <w:t xml:space="preserve">, знижує ступінь жирової інфільтрації і розповсюдження </w:t>
      </w:r>
      <w:proofErr w:type="spellStart"/>
      <w:r w:rsidRPr="00861C27">
        <w:rPr>
          <w:lang w:val="uk-UA"/>
        </w:rPr>
        <w:t>центролобулярних</w:t>
      </w:r>
      <w:proofErr w:type="spellEnd"/>
      <w:r w:rsidRPr="00861C27">
        <w:rPr>
          <w:lang w:val="uk-UA"/>
        </w:rPr>
        <w:t xml:space="preserve"> </w:t>
      </w:r>
      <w:proofErr w:type="spellStart"/>
      <w:r w:rsidRPr="00861C27">
        <w:rPr>
          <w:lang w:val="uk-UA"/>
        </w:rPr>
        <w:t>некрозів</w:t>
      </w:r>
      <w:proofErr w:type="spellEnd"/>
      <w:r w:rsidRPr="00861C27">
        <w:rPr>
          <w:lang w:val="uk-UA"/>
        </w:rPr>
        <w:t xml:space="preserve"> печінки, сприяє процесам репаративної регенерації </w:t>
      </w:r>
      <w:proofErr w:type="spellStart"/>
      <w:r w:rsidRPr="00861C27">
        <w:rPr>
          <w:lang w:val="uk-UA"/>
        </w:rPr>
        <w:t>гепатоцитів</w:t>
      </w:r>
      <w:proofErr w:type="spellEnd"/>
      <w:r w:rsidRPr="00861C27">
        <w:rPr>
          <w:lang w:val="uk-UA"/>
        </w:rPr>
        <w:t>, нормалізує в них білковий, вуглеводний, ліпідний та пігментний обміни. Збільшує швидкість синтезу і виділення жовчі, нормалізує її хімічний склад.</w:t>
      </w:r>
    </w:p>
    <w:p w14:paraId="23F3222B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proofErr w:type="spellStart"/>
      <w:r w:rsidRPr="00861C27">
        <w:rPr>
          <w:lang w:val="uk-UA"/>
        </w:rPr>
        <w:t>Тіазотна</w:t>
      </w:r>
      <w:proofErr w:type="spellEnd"/>
      <w:r w:rsidRPr="00861C27">
        <w:rPr>
          <w:lang w:val="uk-UA"/>
        </w:rPr>
        <w:t xml:space="preserve"> кислота посилює компенсаторну активацію анаеробного гліколізу та активує процеси окиснення у циклі Кребса зі збереженням внутрішньоклітинного фонду АТФ. </w:t>
      </w:r>
      <w:proofErr w:type="spellStart"/>
      <w:r w:rsidRPr="00861C27">
        <w:rPr>
          <w:lang w:val="uk-UA"/>
        </w:rPr>
        <w:t>Тіазотна</w:t>
      </w:r>
      <w:proofErr w:type="spellEnd"/>
      <w:r w:rsidRPr="00861C27">
        <w:rPr>
          <w:lang w:val="uk-UA"/>
        </w:rPr>
        <w:t xml:space="preserve"> кислота активує антиоксидантну систему і гальмує процеси окиснення ліпідів в </w:t>
      </w:r>
      <w:proofErr w:type="spellStart"/>
      <w:r w:rsidRPr="00861C27">
        <w:rPr>
          <w:lang w:val="uk-UA"/>
        </w:rPr>
        <w:t>ішемізованих</w:t>
      </w:r>
      <w:proofErr w:type="spellEnd"/>
      <w:r w:rsidRPr="00861C27">
        <w:rPr>
          <w:lang w:val="uk-UA"/>
        </w:rPr>
        <w:t xml:space="preserve"> ділянках міокарда, зменшує чутливість міокарда до </w:t>
      </w:r>
      <w:proofErr w:type="spellStart"/>
      <w:r w:rsidRPr="00861C27">
        <w:rPr>
          <w:lang w:val="uk-UA"/>
        </w:rPr>
        <w:t>катехоламінів</w:t>
      </w:r>
      <w:proofErr w:type="spellEnd"/>
      <w:r w:rsidRPr="00861C27">
        <w:rPr>
          <w:lang w:val="uk-UA"/>
        </w:rPr>
        <w:t xml:space="preserve">, запобігає прогресивному пригніченню скорочувальної функції серця, стабілізує і зменшує відповідно зони некрозу та ішемії міокарда. Покращує реологічні властивості крові за рахунок активації </w:t>
      </w:r>
      <w:proofErr w:type="spellStart"/>
      <w:r w:rsidRPr="00861C27">
        <w:rPr>
          <w:lang w:val="uk-UA"/>
        </w:rPr>
        <w:t>фібринолітичної</w:t>
      </w:r>
      <w:proofErr w:type="spellEnd"/>
      <w:r w:rsidRPr="00861C27">
        <w:rPr>
          <w:lang w:val="uk-UA"/>
        </w:rPr>
        <w:t xml:space="preserve"> системи крові.</w:t>
      </w:r>
    </w:p>
    <w:p w14:paraId="41729487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 xml:space="preserve">Результати </w:t>
      </w:r>
      <w:proofErr w:type="spellStart"/>
      <w:r w:rsidRPr="00861C27">
        <w:rPr>
          <w:lang w:val="uk-UA"/>
        </w:rPr>
        <w:t>фармакокінетичних</w:t>
      </w:r>
      <w:proofErr w:type="spellEnd"/>
      <w:r w:rsidRPr="00861C27">
        <w:rPr>
          <w:lang w:val="uk-UA"/>
        </w:rPr>
        <w:t xml:space="preserve"> досліджень на собаках свідчать про те, що за одноразового внутрішньовенного введення препарату після швидкого зниження концентрації спостерігається другий пік кривої «концентрація-час», який припадає приблизно на 4 годину після введення, за рахунок чого площа під даною кривою збільшується в порівнянні з такою у кішок. Таким чином, </w:t>
      </w:r>
      <w:proofErr w:type="spellStart"/>
      <w:r w:rsidRPr="00861C27">
        <w:rPr>
          <w:lang w:val="uk-UA"/>
        </w:rPr>
        <w:t>тіазотна</w:t>
      </w:r>
      <w:proofErr w:type="spellEnd"/>
      <w:r w:rsidRPr="00861C27">
        <w:rPr>
          <w:lang w:val="uk-UA"/>
        </w:rPr>
        <w:t xml:space="preserve"> кислота при внутрішньовенному введенні у собак виводиться повільніше, ніж у котів, константа елімінації та кліренс менші майже в 2,1 рази (</w:t>
      </w:r>
      <w:proofErr w:type="spellStart"/>
      <w:r w:rsidRPr="00861C27">
        <w:rPr>
          <w:lang w:val="uk-UA"/>
        </w:rPr>
        <w:t>К</w:t>
      </w:r>
      <w:r w:rsidRPr="00861C27">
        <w:rPr>
          <w:vertAlign w:val="subscript"/>
          <w:lang w:val="uk-UA"/>
        </w:rPr>
        <w:t>el</w:t>
      </w:r>
      <w:proofErr w:type="spellEnd"/>
      <w:r w:rsidRPr="00861C27">
        <w:rPr>
          <w:lang w:val="uk-UA"/>
        </w:rPr>
        <w:t xml:space="preserve">=0,592 l/год, </w:t>
      </w:r>
      <w:proofErr w:type="spellStart"/>
      <w:r w:rsidRPr="00861C27">
        <w:rPr>
          <w:lang w:val="uk-UA"/>
        </w:rPr>
        <w:t>Cl</w:t>
      </w:r>
      <w:proofErr w:type="spellEnd"/>
      <w:r w:rsidRPr="00861C27">
        <w:rPr>
          <w:lang w:val="uk-UA"/>
        </w:rPr>
        <w:t xml:space="preserve">=3,15 л/год у собак; </w:t>
      </w:r>
      <w:proofErr w:type="spellStart"/>
      <w:r w:rsidRPr="00861C27">
        <w:rPr>
          <w:lang w:val="uk-UA"/>
        </w:rPr>
        <w:t>К</w:t>
      </w:r>
      <w:r w:rsidRPr="00861C27">
        <w:rPr>
          <w:vertAlign w:val="subscript"/>
          <w:lang w:val="uk-UA"/>
        </w:rPr>
        <w:t>el</w:t>
      </w:r>
      <w:proofErr w:type="spellEnd"/>
      <w:r w:rsidRPr="00861C27">
        <w:rPr>
          <w:lang w:val="uk-UA"/>
        </w:rPr>
        <w:t xml:space="preserve">=1,255 l/год, </w:t>
      </w:r>
      <w:proofErr w:type="spellStart"/>
      <w:r w:rsidRPr="00861C27">
        <w:rPr>
          <w:lang w:val="uk-UA"/>
        </w:rPr>
        <w:t>Cl</w:t>
      </w:r>
      <w:proofErr w:type="spellEnd"/>
      <w:r w:rsidRPr="00861C27">
        <w:rPr>
          <w:lang w:val="uk-UA"/>
        </w:rPr>
        <w:t>=7,23 л/год у котів).</w:t>
      </w:r>
    </w:p>
    <w:p w14:paraId="63B8CEC4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 xml:space="preserve">При </w:t>
      </w:r>
      <w:proofErr w:type="spellStart"/>
      <w:r w:rsidRPr="00861C27">
        <w:rPr>
          <w:lang w:val="uk-UA"/>
        </w:rPr>
        <w:t>внутрішньом'язовому</w:t>
      </w:r>
      <w:proofErr w:type="spellEnd"/>
      <w:r w:rsidRPr="00861C27">
        <w:rPr>
          <w:lang w:val="uk-UA"/>
        </w:rPr>
        <w:t xml:space="preserve"> введенні другий пік кривої «концентрація-час» спостерігається у котів в інтервалі 1,25-1,75 години після введення, що збільшує площу під кривою. За </w:t>
      </w:r>
      <w:proofErr w:type="spellStart"/>
      <w:r w:rsidRPr="00861C27">
        <w:rPr>
          <w:lang w:val="uk-UA"/>
        </w:rPr>
        <w:t>внутрішньом'язового</w:t>
      </w:r>
      <w:proofErr w:type="spellEnd"/>
      <w:r w:rsidRPr="00861C27">
        <w:rPr>
          <w:lang w:val="uk-UA"/>
        </w:rPr>
        <w:t xml:space="preserve"> введення </w:t>
      </w:r>
      <w:proofErr w:type="spellStart"/>
      <w:r w:rsidRPr="00861C27">
        <w:rPr>
          <w:lang w:val="uk-UA"/>
        </w:rPr>
        <w:t>тіазотна</w:t>
      </w:r>
      <w:proofErr w:type="spellEnd"/>
      <w:r w:rsidRPr="00861C27">
        <w:rPr>
          <w:lang w:val="uk-UA"/>
        </w:rPr>
        <w:t xml:space="preserve"> кислота у котів виводиться повільніше, ніж у собак (</w:t>
      </w:r>
      <w:proofErr w:type="spellStart"/>
      <w:r w:rsidRPr="00861C27">
        <w:rPr>
          <w:lang w:val="uk-UA"/>
        </w:rPr>
        <w:t>К</w:t>
      </w:r>
      <w:r w:rsidRPr="00861C27">
        <w:rPr>
          <w:vertAlign w:val="subscript"/>
          <w:lang w:val="uk-UA"/>
        </w:rPr>
        <w:t>el</w:t>
      </w:r>
      <w:proofErr w:type="spellEnd"/>
      <w:r w:rsidRPr="00861C27">
        <w:rPr>
          <w:lang w:val="uk-UA"/>
        </w:rPr>
        <w:t xml:space="preserve">=1,113 l/год, </w:t>
      </w:r>
      <w:proofErr w:type="spellStart"/>
      <w:r w:rsidRPr="00861C27">
        <w:rPr>
          <w:lang w:val="uk-UA"/>
        </w:rPr>
        <w:t>Cl</w:t>
      </w:r>
      <w:proofErr w:type="spellEnd"/>
      <w:r w:rsidRPr="00861C27">
        <w:rPr>
          <w:lang w:val="uk-UA"/>
        </w:rPr>
        <w:t xml:space="preserve">=134,44 л/год у собак; </w:t>
      </w:r>
      <w:proofErr w:type="spellStart"/>
      <w:r w:rsidRPr="00861C27">
        <w:rPr>
          <w:lang w:val="uk-UA"/>
        </w:rPr>
        <w:t>К</w:t>
      </w:r>
      <w:r w:rsidRPr="00861C27">
        <w:rPr>
          <w:vertAlign w:val="subscript"/>
          <w:lang w:val="uk-UA"/>
        </w:rPr>
        <w:t>el</w:t>
      </w:r>
      <w:proofErr w:type="spellEnd"/>
      <w:r w:rsidRPr="00861C27">
        <w:rPr>
          <w:lang w:val="uk-UA"/>
        </w:rPr>
        <w:t xml:space="preserve">=0,139 l/год, </w:t>
      </w:r>
      <w:proofErr w:type="spellStart"/>
      <w:r w:rsidRPr="00861C27">
        <w:rPr>
          <w:lang w:val="uk-UA"/>
        </w:rPr>
        <w:t>Cl</w:t>
      </w:r>
      <w:proofErr w:type="spellEnd"/>
      <w:r w:rsidRPr="00861C27">
        <w:rPr>
          <w:lang w:val="uk-UA"/>
        </w:rPr>
        <w:t>=2,53 л/год у котів).</w:t>
      </w:r>
    </w:p>
    <w:p w14:paraId="43E1193C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 xml:space="preserve">У собак за внутрішньовенного введення максимальна концентрація </w:t>
      </w:r>
      <w:r w:rsidRPr="00861C27">
        <w:t>(</w:t>
      </w:r>
      <w:proofErr w:type="spellStart"/>
      <w:r w:rsidRPr="00861C27">
        <w:rPr>
          <w:lang w:val="en-US"/>
        </w:rPr>
        <w:t>C</w:t>
      </w:r>
      <w:r w:rsidRPr="00861C27">
        <w:rPr>
          <w:vertAlign w:val="subscript"/>
          <w:lang w:val="en-US"/>
        </w:rPr>
        <w:t>ma</w:t>
      </w:r>
      <w:proofErr w:type="spellEnd"/>
      <w:r w:rsidRPr="00861C27">
        <w:rPr>
          <w:vertAlign w:val="subscript"/>
        </w:rPr>
        <w:t>x</w:t>
      </w:r>
      <w:r w:rsidRPr="00861C27">
        <w:t>)</w:t>
      </w:r>
      <w:r w:rsidRPr="00861C27">
        <w:rPr>
          <w:lang w:val="uk-UA"/>
        </w:rPr>
        <w:t xml:space="preserve"> </w:t>
      </w:r>
      <w:proofErr w:type="spellStart"/>
      <w:r w:rsidRPr="00861C27">
        <w:rPr>
          <w:lang w:val="uk-UA"/>
        </w:rPr>
        <w:t>тіазотної</w:t>
      </w:r>
      <w:proofErr w:type="spellEnd"/>
      <w:r w:rsidRPr="00861C27">
        <w:rPr>
          <w:lang w:val="uk-UA"/>
        </w:rPr>
        <w:t xml:space="preserve"> кислоти становила 137,09±7,56 </w:t>
      </w:r>
      <w:proofErr w:type="spellStart"/>
      <w:r w:rsidRPr="00861C27">
        <w:rPr>
          <w:lang w:val="uk-UA"/>
        </w:rPr>
        <w:t>мкг</w:t>
      </w:r>
      <w:proofErr w:type="spellEnd"/>
      <w:r w:rsidRPr="00861C27">
        <w:rPr>
          <w:lang w:val="uk-UA"/>
        </w:rPr>
        <w:t xml:space="preserve">/мл, за </w:t>
      </w:r>
      <w:proofErr w:type="spellStart"/>
      <w:r w:rsidRPr="00861C27">
        <w:rPr>
          <w:lang w:val="uk-UA"/>
        </w:rPr>
        <w:t>внутрішньом'язового</w:t>
      </w:r>
      <w:proofErr w:type="spellEnd"/>
      <w:r w:rsidRPr="00861C27">
        <w:rPr>
          <w:lang w:val="uk-UA"/>
        </w:rPr>
        <w:t xml:space="preserve"> – 6,55±2,10 </w:t>
      </w:r>
      <w:proofErr w:type="spellStart"/>
      <w:r w:rsidRPr="00861C27">
        <w:rPr>
          <w:lang w:val="uk-UA"/>
        </w:rPr>
        <w:t>мкг</w:t>
      </w:r>
      <w:proofErr w:type="spellEnd"/>
      <w:r w:rsidRPr="00861C27">
        <w:rPr>
          <w:lang w:val="uk-UA"/>
        </w:rPr>
        <w:t xml:space="preserve">/мл. Період </w:t>
      </w:r>
      <w:proofErr w:type="spellStart"/>
      <w:r w:rsidRPr="00861C27">
        <w:rPr>
          <w:lang w:val="uk-UA"/>
        </w:rPr>
        <w:t>напіввиведення</w:t>
      </w:r>
      <w:proofErr w:type="spellEnd"/>
      <w:r w:rsidRPr="00861C27">
        <w:rPr>
          <w:lang w:val="uk-UA"/>
        </w:rPr>
        <w:t xml:space="preserve"> </w:t>
      </w:r>
      <w:r w:rsidRPr="00861C27">
        <w:t>(</w:t>
      </w:r>
      <w:r w:rsidRPr="00861C27">
        <w:rPr>
          <w:lang w:val="en-US"/>
        </w:rPr>
        <w:t>T</w:t>
      </w:r>
      <w:r w:rsidRPr="00861C27">
        <w:rPr>
          <w:vertAlign w:val="subscript"/>
        </w:rPr>
        <w:t>½</w:t>
      </w:r>
      <w:r w:rsidRPr="00861C27">
        <w:t>)</w:t>
      </w:r>
      <w:r w:rsidRPr="00861C27">
        <w:rPr>
          <w:lang w:val="uk-UA"/>
        </w:rPr>
        <w:t xml:space="preserve"> </w:t>
      </w:r>
      <w:proofErr w:type="spellStart"/>
      <w:r w:rsidRPr="00861C27">
        <w:rPr>
          <w:lang w:val="uk-UA"/>
        </w:rPr>
        <w:t>тіазотної</w:t>
      </w:r>
      <w:proofErr w:type="spellEnd"/>
      <w:r w:rsidRPr="00861C27">
        <w:rPr>
          <w:lang w:val="uk-UA"/>
        </w:rPr>
        <w:t xml:space="preserve"> кислоти за внутрішньовенного введення становить 2,72±2,29 години, за </w:t>
      </w:r>
      <w:proofErr w:type="spellStart"/>
      <w:r w:rsidRPr="00861C27">
        <w:rPr>
          <w:lang w:val="uk-UA"/>
        </w:rPr>
        <w:t>внутрішньом'язового</w:t>
      </w:r>
      <w:proofErr w:type="spellEnd"/>
      <w:r w:rsidRPr="00861C27">
        <w:rPr>
          <w:lang w:val="uk-UA"/>
        </w:rPr>
        <w:t xml:space="preserve"> введення – 1,22±0,22 години.</w:t>
      </w:r>
    </w:p>
    <w:p w14:paraId="2D91D915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 xml:space="preserve">У котів за внутрішньовенного </w:t>
      </w:r>
      <w:proofErr w:type="spellStart"/>
      <w:r w:rsidRPr="00861C27">
        <w:rPr>
          <w:lang w:val="uk-UA"/>
        </w:rPr>
        <w:t>введеннія</w:t>
      </w:r>
      <w:proofErr w:type="spellEnd"/>
      <w:r w:rsidRPr="00861C27">
        <w:rPr>
          <w:lang w:val="uk-UA"/>
        </w:rPr>
        <w:t xml:space="preserve"> максимальна концентрація </w:t>
      </w:r>
      <w:r w:rsidRPr="00861C27">
        <w:t>(</w:t>
      </w:r>
      <w:proofErr w:type="spellStart"/>
      <w:r w:rsidRPr="00861C27">
        <w:rPr>
          <w:lang w:val="en-US"/>
        </w:rPr>
        <w:t>C</w:t>
      </w:r>
      <w:r w:rsidRPr="00861C27">
        <w:rPr>
          <w:vertAlign w:val="subscript"/>
          <w:lang w:val="en-US"/>
        </w:rPr>
        <w:t>ma</w:t>
      </w:r>
      <w:proofErr w:type="spellEnd"/>
      <w:r w:rsidRPr="00861C27">
        <w:rPr>
          <w:vertAlign w:val="subscript"/>
        </w:rPr>
        <w:t>x</w:t>
      </w:r>
      <w:r w:rsidRPr="00861C27">
        <w:t>)</w:t>
      </w:r>
      <w:r w:rsidRPr="00861C27">
        <w:rPr>
          <w:lang w:val="uk-UA"/>
        </w:rPr>
        <w:t xml:space="preserve"> </w:t>
      </w:r>
      <w:proofErr w:type="spellStart"/>
      <w:r w:rsidRPr="00861C27">
        <w:rPr>
          <w:lang w:val="uk-UA"/>
        </w:rPr>
        <w:t>тіазотної</w:t>
      </w:r>
      <w:proofErr w:type="spellEnd"/>
      <w:r w:rsidRPr="00861C27">
        <w:rPr>
          <w:lang w:val="uk-UA"/>
        </w:rPr>
        <w:t xml:space="preserve"> кислоти становила 96,87±31,38 </w:t>
      </w:r>
      <w:proofErr w:type="spellStart"/>
      <w:r w:rsidRPr="00861C27">
        <w:rPr>
          <w:lang w:val="uk-UA"/>
        </w:rPr>
        <w:t>мкг</w:t>
      </w:r>
      <w:proofErr w:type="spellEnd"/>
      <w:r w:rsidRPr="00861C27">
        <w:rPr>
          <w:lang w:val="uk-UA"/>
        </w:rPr>
        <w:t xml:space="preserve">/мл, за </w:t>
      </w:r>
      <w:proofErr w:type="spellStart"/>
      <w:r w:rsidRPr="00861C27">
        <w:rPr>
          <w:lang w:val="uk-UA"/>
        </w:rPr>
        <w:t>внутрішньом'язового</w:t>
      </w:r>
      <w:proofErr w:type="spellEnd"/>
      <w:r w:rsidRPr="00861C27">
        <w:rPr>
          <w:lang w:val="uk-UA"/>
        </w:rPr>
        <w:t xml:space="preserve"> – 26,80±7,66 </w:t>
      </w:r>
      <w:proofErr w:type="spellStart"/>
      <w:r w:rsidRPr="00861C27">
        <w:rPr>
          <w:lang w:val="uk-UA"/>
        </w:rPr>
        <w:t>мкг</w:t>
      </w:r>
      <w:proofErr w:type="spellEnd"/>
      <w:r w:rsidRPr="00861C27">
        <w:rPr>
          <w:lang w:val="uk-UA"/>
        </w:rPr>
        <w:t xml:space="preserve">/мл. Період </w:t>
      </w:r>
      <w:proofErr w:type="spellStart"/>
      <w:r w:rsidRPr="00861C27">
        <w:rPr>
          <w:lang w:val="uk-UA"/>
        </w:rPr>
        <w:t>напіввиведення</w:t>
      </w:r>
      <w:proofErr w:type="spellEnd"/>
      <w:r w:rsidRPr="00861C27">
        <w:rPr>
          <w:lang w:val="uk-UA"/>
        </w:rPr>
        <w:t xml:space="preserve"> </w:t>
      </w:r>
      <w:r w:rsidRPr="00861C27">
        <w:t>(</w:t>
      </w:r>
      <w:r w:rsidRPr="00861C27">
        <w:rPr>
          <w:lang w:val="en-US"/>
        </w:rPr>
        <w:t>T</w:t>
      </w:r>
      <w:r w:rsidRPr="00861C27">
        <w:rPr>
          <w:vertAlign w:val="subscript"/>
        </w:rPr>
        <w:t>½</w:t>
      </w:r>
      <w:r w:rsidRPr="00861C27">
        <w:t>)</w:t>
      </w:r>
      <w:r w:rsidRPr="00861C27">
        <w:rPr>
          <w:lang w:val="uk-UA"/>
        </w:rPr>
        <w:t xml:space="preserve"> </w:t>
      </w:r>
      <w:proofErr w:type="spellStart"/>
      <w:r w:rsidRPr="00861C27">
        <w:rPr>
          <w:lang w:val="uk-UA"/>
        </w:rPr>
        <w:t>тіазотної</w:t>
      </w:r>
      <w:proofErr w:type="spellEnd"/>
      <w:r w:rsidRPr="00861C27">
        <w:rPr>
          <w:lang w:val="uk-UA"/>
        </w:rPr>
        <w:t xml:space="preserve"> кислоти  за внутрішньовенного введення становить 0,56±0,06 години, за </w:t>
      </w:r>
      <w:proofErr w:type="spellStart"/>
      <w:r w:rsidRPr="00861C27">
        <w:rPr>
          <w:lang w:val="uk-UA"/>
        </w:rPr>
        <w:t>внутрішньом'язового</w:t>
      </w:r>
      <w:proofErr w:type="spellEnd"/>
      <w:r w:rsidRPr="00861C27">
        <w:rPr>
          <w:lang w:val="uk-UA"/>
        </w:rPr>
        <w:t xml:space="preserve"> введення – 2,24±1,32 години.</w:t>
      </w:r>
    </w:p>
    <w:p w14:paraId="4F41BCA4" w14:textId="77777777" w:rsidR="00440435" w:rsidRPr="00861C27" w:rsidRDefault="00440435" w:rsidP="00440435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lastRenderedPageBreak/>
        <w:t>5. Клінічні особливості</w:t>
      </w:r>
    </w:p>
    <w:p w14:paraId="27EEBA65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5.1 Вид тварин</w:t>
      </w:r>
    </w:p>
    <w:p w14:paraId="0C716DDD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>Собаки, коти.</w:t>
      </w:r>
    </w:p>
    <w:p w14:paraId="76908176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5.2 Показання до застосування</w:t>
      </w:r>
    </w:p>
    <w:p w14:paraId="20C38554" w14:textId="77777777" w:rsidR="00440435" w:rsidRPr="00861C27" w:rsidRDefault="00440435" w:rsidP="00440435">
      <w:pPr>
        <w:tabs>
          <w:tab w:val="left" w:pos="567"/>
        </w:tabs>
        <w:jc w:val="both"/>
        <w:rPr>
          <w:bCs/>
          <w:snapToGrid w:val="0"/>
          <w:lang w:val="uk-UA" w:eastAsia="en-US"/>
        </w:rPr>
      </w:pPr>
      <w:r w:rsidRPr="00861C27">
        <w:rPr>
          <w:bCs/>
          <w:snapToGrid w:val="0"/>
          <w:lang w:val="uk-UA" w:eastAsia="en-US"/>
        </w:rPr>
        <w:t xml:space="preserve">Як додатковий засіб для лікування собак та котів при гепатитах різної етіології, холециститі, міокардиті, </w:t>
      </w:r>
      <w:proofErr w:type="spellStart"/>
      <w:r w:rsidRPr="00861C27">
        <w:rPr>
          <w:bCs/>
          <w:snapToGrid w:val="0"/>
          <w:lang w:val="uk-UA" w:eastAsia="en-US"/>
        </w:rPr>
        <w:t>кардіоміопатії</w:t>
      </w:r>
      <w:proofErr w:type="spellEnd"/>
      <w:r w:rsidRPr="00861C27">
        <w:rPr>
          <w:bCs/>
          <w:snapToGrid w:val="0"/>
          <w:lang w:val="uk-UA" w:eastAsia="en-US"/>
        </w:rPr>
        <w:t xml:space="preserve"> при метаболічних порушеннях, при ішемічній хворобі серця та аритмії, при післяопераційних ускладненнях.</w:t>
      </w:r>
    </w:p>
    <w:p w14:paraId="07DEABEE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5.3 Протипоказання</w:t>
      </w:r>
    </w:p>
    <w:p w14:paraId="047676B9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>Не застосовувати тваринам з гострою нирковою недостатністю.</w:t>
      </w:r>
    </w:p>
    <w:p w14:paraId="4FB53F98" w14:textId="77777777" w:rsidR="00440435" w:rsidRPr="00861C27" w:rsidRDefault="00440435" w:rsidP="00440435">
      <w:pPr>
        <w:tabs>
          <w:tab w:val="left" w:pos="567"/>
        </w:tabs>
        <w:jc w:val="both"/>
        <w:rPr>
          <w:lang w:val="uk-UA"/>
        </w:rPr>
      </w:pPr>
      <w:r w:rsidRPr="00861C27">
        <w:rPr>
          <w:lang w:val="uk-UA"/>
        </w:rPr>
        <w:t xml:space="preserve">Не застосовувати за підвищеної чутливості тварини до </w:t>
      </w:r>
      <w:proofErr w:type="spellStart"/>
      <w:r w:rsidRPr="00861C27">
        <w:rPr>
          <w:lang w:val="uk-UA"/>
        </w:rPr>
        <w:t>тіазотної</w:t>
      </w:r>
      <w:proofErr w:type="spellEnd"/>
      <w:r w:rsidRPr="00861C27">
        <w:rPr>
          <w:lang w:val="uk-UA"/>
        </w:rPr>
        <w:t xml:space="preserve"> кислоти.</w:t>
      </w:r>
    </w:p>
    <w:p w14:paraId="77558062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5.4 Побічна дія</w:t>
      </w:r>
    </w:p>
    <w:p w14:paraId="262B2B76" w14:textId="77777777" w:rsidR="00440435" w:rsidRPr="00861C27" w:rsidRDefault="00440435" w:rsidP="00440435">
      <w:pPr>
        <w:tabs>
          <w:tab w:val="left" w:pos="567"/>
        </w:tabs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 xml:space="preserve">Дослідження </w:t>
      </w:r>
      <w:proofErr w:type="spellStart"/>
      <w:r w:rsidRPr="00861C27">
        <w:rPr>
          <w:bCs/>
          <w:spacing w:val="-2"/>
          <w:lang w:val="uk-UA"/>
        </w:rPr>
        <w:t>переносимості</w:t>
      </w:r>
      <w:proofErr w:type="spellEnd"/>
      <w:r w:rsidRPr="00861C27">
        <w:rPr>
          <w:bCs/>
          <w:spacing w:val="-2"/>
          <w:lang w:val="uk-UA"/>
        </w:rPr>
        <w:t xml:space="preserve"> препарату показало відсутність негативного впливу.</w:t>
      </w:r>
    </w:p>
    <w:p w14:paraId="612F0B15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5.5 Особливі застереження при використанні</w:t>
      </w:r>
    </w:p>
    <w:p w14:paraId="64C90DD4" w14:textId="77777777" w:rsidR="00440435" w:rsidRPr="00861C27" w:rsidRDefault="00440435" w:rsidP="00440435">
      <w:pPr>
        <w:tabs>
          <w:tab w:val="left" w:pos="567"/>
        </w:tabs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Особливих застережень немає.</w:t>
      </w:r>
    </w:p>
    <w:p w14:paraId="102458C2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5.6 Використання під час вагітності, лактації, несучості</w:t>
      </w:r>
    </w:p>
    <w:p w14:paraId="5D6DBCAD" w14:textId="77777777" w:rsidR="00440435" w:rsidRPr="00861C27" w:rsidRDefault="00440435" w:rsidP="00440435">
      <w:pPr>
        <w:tabs>
          <w:tab w:val="left" w:pos="567"/>
        </w:tabs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Застосовувати препарат тваринам у період вагітності або лактації тільки після ретельної оцінки співвідношення користь/ризик лікарем ветеринарної медицини.</w:t>
      </w:r>
    </w:p>
    <w:p w14:paraId="55EC2D83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5.7 Взаємодія з іншими засобами та інші форми взаємодії</w:t>
      </w:r>
    </w:p>
    <w:p w14:paraId="609ACD4F" w14:textId="77777777" w:rsidR="00440435" w:rsidRPr="00861C27" w:rsidRDefault="00440435" w:rsidP="00440435">
      <w:pPr>
        <w:tabs>
          <w:tab w:val="left" w:pos="567"/>
        </w:tabs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Препарат може застосовуватись у поєднанні з призначеними засобами при традиційних методах лікування гепатиту; можливе застосування у комбінації з базисними засобами терапії ішемічної хвороби серця.</w:t>
      </w:r>
    </w:p>
    <w:p w14:paraId="2DC33DEC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5.8 Дози і способи введення тваринам різного віку</w:t>
      </w:r>
    </w:p>
    <w:p w14:paraId="362B41A1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 xml:space="preserve">Препарат вводиться внутрішньовенно, </w:t>
      </w:r>
      <w:proofErr w:type="spellStart"/>
      <w:r w:rsidRPr="00861C27">
        <w:rPr>
          <w:snapToGrid w:val="0"/>
          <w:lang w:val="uk-UA"/>
        </w:rPr>
        <w:t>внутрішньом’язово</w:t>
      </w:r>
      <w:proofErr w:type="spellEnd"/>
      <w:r w:rsidRPr="00861C27">
        <w:rPr>
          <w:snapToGrid w:val="0"/>
          <w:lang w:val="uk-UA"/>
        </w:rPr>
        <w:t xml:space="preserve"> в дозах:</w:t>
      </w:r>
    </w:p>
    <w:p w14:paraId="34818E7D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sz w:val="12"/>
          <w:szCs w:val="12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2"/>
        <w:gridCol w:w="1043"/>
        <w:gridCol w:w="2784"/>
        <w:gridCol w:w="2268"/>
        <w:gridCol w:w="2319"/>
      </w:tblGrid>
      <w:tr w:rsidR="00861C27" w:rsidRPr="00861C27" w14:paraId="31A36EDA" w14:textId="77777777" w:rsidTr="00B161E3">
        <w:tc>
          <w:tcPr>
            <w:tcW w:w="942" w:type="dxa"/>
          </w:tcPr>
          <w:p w14:paraId="69441272" w14:textId="77777777" w:rsidR="00440435" w:rsidRPr="00861C27" w:rsidRDefault="00440435" w:rsidP="00B161E3">
            <w:pPr>
              <w:tabs>
                <w:tab w:val="left" w:pos="567"/>
              </w:tabs>
              <w:rPr>
                <w:b/>
                <w:snapToGrid w:val="0"/>
                <w:lang w:val="uk-UA"/>
              </w:rPr>
            </w:pPr>
            <w:r w:rsidRPr="00861C27">
              <w:rPr>
                <w:b/>
                <w:snapToGrid w:val="0"/>
                <w:lang w:val="uk-UA"/>
              </w:rPr>
              <w:t>вид тварин</w:t>
            </w:r>
          </w:p>
        </w:tc>
        <w:tc>
          <w:tcPr>
            <w:tcW w:w="1043" w:type="dxa"/>
          </w:tcPr>
          <w:p w14:paraId="738492BA" w14:textId="77777777" w:rsidR="00440435" w:rsidRPr="00861C27" w:rsidRDefault="00440435" w:rsidP="00B161E3">
            <w:pPr>
              <w:tabs>
                <w:tab w:val="left" w:pos="567"/>
              </w:tabs>
              <w:rPr>
                <w:b/>
                <w:snapToGrid w:val="0"/>
                <w:lang w:val="uk-UA"/>
              </w:rPr>
            </w:pPr>
            <w:r w:rsidRPr="00861C27">
              <w:rPr>
                <w:b/>
                <w:snapToGrid w:val="0"/>
                <w:lang w:val="uk-UA"/>
              </w:rPr>
              <w:t>маса тіла</w:t>
            </w:r>
          </w:p>
        </w:tc>
        <w:tc>
          <w:tcPr>
            <w:tcW w:w="2784" w:type="dxa"/>
          </w:tcPr>
          <w:p w14:paraId="3FFDD851" w14:textId="77777777" w:rsidR="00440435" w:rsidRPr="00861C27" w:rsidRDefault="00440435" w:rsidP="00B161E3">
            <w:pPr>
              <w:tabs>
                <w:tab w:val="left" w:pos="567"/>
              </w:tabs>
              <w:rPr>
                <w:b/>
                <w:snapToGrid w:val="0"/>
                <w:lang w:val="uk-UA"/>
              </w:rPr>
            </w:pPr>
            <w:r w:rsidRPr="00861C27">
              <w:rPr>
                <w:b/>
                <w:snapToGrid w:val="0"/>
                <w:lang w:val="uk-UA"/>
              </w:rPr>
              <w:t>дозування на 1 тварину, спосіб введення</w:t>
            </w:r>
          </w:p>
        </w:tc>
        <w:tc>
          <w:tcPr>
            <w:tcW w:w="2268" w:type="dxa"/>
          </w:tcPr>
          <w:p w14:paraId="086060E3" w14:textId="77777777" w:rsidR="00440435" w:rsidRPr="00861C27" w:rsidRDefault="00440435" w:rsidP="00B161E3">
            <w:pPr>
              <w:tabs>
                <w:tab w:val="left" w:pos="567"/>
              </w:tabs>
              <w:rPr>
                <w:b/>
                <w:snapToGrid w:val="0"/>
                <w:lang w:val="uk-UA"/>
              </w:rPr>
            </w:pPr>
            <w:r w:rsidRPr="00861C27">
              <w:rPr>
                <w:b/>
                <w:snapToGrid w:val="0"/>
                <w:lang w:val="uk-UA"/>
              </w:rPr>
              <w:t>дозування препарату</w:t>
            </w:r>
          </w:p>
          <w:p w14:paraId="7471A68C" w14:textId="77777777" w:rsidR="00440435" w:rsidRPr="00861C27" w:rsidRDefault="00440435" w:rsidP="00B161E3">
            <w:pPr>
              <w:tabs>
                <w:tab w:val="left" w:pos="567"/>
              </w:tabs>
              <w:rPr>
                <w:b/>
                <w:snapToGrid w:val="0"/>
                <w:lang w:val="uk-UA"/>
              </w:rPr>
            </w:pPr>
            <w:r w:rsidRPr="00861C27">
              <w:rPr>
                <w:b/>
                <w:snapToGrid w:val="0"/>
              </w:rPr>
              <w:t>мл</w:t>
            </w:r>
            <w:r w:rsidRPr="00861C27">
              <w:rPr>
                <w:b/>
                <w:snapToGrid w:val="0"/>
                <w:lang w:val="uk-UA"/>
              </w:rPr>
              <w:t>/кг маси тіла тварини</w:t>
            </w:r>
          </w:p>
        </w:tc>
        <w:tc>
          <w:tcPr>
            <w:tcW w:w="2319" w:type="dxa"/>
          </w:tcPr>
          <w:p w14:paraId="470F5101" w14:textId="77777777" w:rsidR="00440435" w:rsidRPr="00861C27" w:rsidRDefault="00440435" w:rsidP="00B161E3">
            <w:pPr>
              <w:tabs>
                <w:tab w:val="left" w:pos="567"/>
              </w:tabs>
              <w:rPr>
                <w:b/>
                <w:snapToGrid w:val="0"/>
                <w:lang w:val="uk-UA"/>
              </w:rPr>
            </w:pPr>
            <w:r w:rsidRPr="00861C27">
              <w:rPr>
                <w:b/>
                <w:snapToGrid w:val="0"/>
                <w:lang w:val="uk-UA"/>
              </w:rPr>
              <w:t>дозування по діючій речовині мг/кг маси тіла тварини</w:t>
            </w:r>
          </w:p>
        </w:tc>
      </w:tr>
      <w:tr w:rsidR="00861C27" w:rsidRPr="00861C27" w14:paraId="5DA24146" w14:textId="77777777" w:rsidTr="00B161E3">
        <w:tc>
          <w:tcPr>
            <w:tcW w:w="942" w:type="dxa"/>
          </w:tcPr>
          <w:p w14:paraId="65E072B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собаки</w:t>
            </w:r>
          </w:p>
        </w:tc>
        <w:tc>
          <w:tcPr>
            <w:tcW w:w="1043" w:type="dxa"/>
          </w:tcPr>
          <w:p w14:paraId="6E9DC84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861C27">
                <w:rPr>
                  <w:snapToGrid w:val="0"/>
                  <w:lang w:val="uk-UA"/>
                </w:rPr>
                <w:t>5 кг</w:t>
              </w:r>
            </w:smartTag>
          </w:p>
        </w:tc>
        <w:tc>
          <w:tcPr>
            <w:tcW w:w="2784" w:type="dxa"/>
          </w:tcPr>
          <w:p w14:paraId="3619E21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по 0,5 мл препарату </w:t>
            </w: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1A02E46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або </w:t>
            </w:r>
          </w:p>
          <w:p w14:paraId="7C01BDD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1 раз на добу по 1 мл препарату повільно внутрішньовенно</w:t>
            </w:r>
          </w:p>
        </w:tc>
        <w:tc>
          <w:tcPr>
            <w:tcW w:w="2268" w:type="dxa"/>
          </w:tcPr>
          <w:p w14:paraId="69DC498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42FCAB7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724AA04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0,1 мл/кг</w:t>
            </w:r>
          </w:p>
          <w:p w14:paraId="33F4093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3412E7E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5456C5EE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1FF42CD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0,2 мл/кг</w:t>
            </w:r>
          </w:p>
        </w:tc>
        <w:tc>
          <w:tcPr>
            <w:tcW w:w="2319" w:type="dxa"/>
          </w:tcPr>
          <w:p w14:paraId="7568940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4804010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5CA72DD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2,5 мг/кг</w:t>
            </w:r>
          </w:p>
          <w:p w14:paraId="1496B74D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7502B3CD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03B8AD7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5EE3A0F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5 мг/кг</w:t>
            </w:r>
          </w:p>
        </w:tc>
      </w:tr>
      <w:tr w:rsidR="00861C27" w:rsidRPr="00861C27" w14:paraId="06CC7010" w14:textId="77777777" w:rsidTr="00B161E3">
        <w:tc>
          <w:tcPr>
            <w:tcW w:w="942" w:type="dxa"/>
          </w:tcPr>
          <w:p w14:paraId="34AF00B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собаки</w:t>
            </w:r>
          </w:p>
        </w:tc>
        <w:tc>
          <w:tcPr>
            <w:tcW w:w="1043" w:type="dxa"/>
          </w:tcPr>
          <w:p w14:paraId="38BAF74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61C27">
                <w:rPr>
                  <w:snapToGrid w:val="0"/>
                  <w:lang w:val="uk-UA"/>
                </w:rPr>
                <w:t>10 кг</w:t>
              </w:r>
            </w:smartTag>
          </w:p>
        </w:tc>
        <w:tc>
          <w:tcPr>
            <w:tcW w:w="2784" w:type="dxa"/>
          </w:tcPr>
          <w:p w14:paraId="77ACF1E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по 1 мл препарату </w:t>
            </w: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40C8EA9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або </w:t>
            </w:r>
          </w:p>
          <w:p w14:paraId="76DD256E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1 раз на добу по 2 мл препарату повільно внутрішньовенно</w:t>
            </w:r>
          </w:p>
        </w:tc>
        <w:tc>
          <w:tcPr>
            <w:tcW w:w="2268" w:type="dxa"/>
          </w:tcPr>
          <w:p w14:paraId="1CF1E71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  <w:r w:rsidRPr="00861C27">
              <w:rPr>
                <w:snapToGrid w:val="0"/>
                <w:lang w:val="uk-UA"/>
              </w:rPr>
              <w:t xml:space="preserve"> </w:t>
            </w:r>
          </w:p>
          <w:p w14:paraId="073B608F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0BF4037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0,1-0,2 мл/кг</w:t>
            </w:r>
          </w:p>
          <w:p w14:paraId="2B3520C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30374F81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54F1E03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5E330AA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0,2-0,4 мл/кг</w:t>
            </w:r>
          </w:p>
        </w:tc>
        <w:tc>
          <w:tcPr>
            <w:tcW w:w="2319" w:type="dxa"/>
          </w:tcPr>
          <w:p w14:paraId="672C616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2CA1001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378C2B4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2,5-5 мг/кг</w:t>
            </w:r>
          </w:p>
          <w:p w14:paraId="1764DE8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13B94FBD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4734BAB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4CEBA2A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5-10 мг/кг</w:t>
            </w:r>
          </w:p>
        </w:tc>
      </w:tr>
      <w:tr w:rsidR="00861C27" w:rsidRPr="00861C27" w14:paraId="0B55DDEE" w14:textId="77777777" w:rsidTr="00B161E3">
        <w:tc>
          <w:tcPr>
            <w:tcW w:w="942" w:type="dxa"/>
          </w:tcPr>
          <w:p w14:paraId="6BF3C58A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собаки</w:t>
            </w:r>
          </w:p>
        </w:tc>
        <w:tc>
          <w:tcPr>
            <w:tcW w:w="1043" w:type="dxa"/>
          </w:tcPr>
          <w:p w14:paraId="01EE340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10-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861C27">
                <w:rPr>
                  <w:snapToGrid w:val="0"/>
                  <w:lang w:val="uk-UA"/>
                </w:rPr>
                <w:t>20 кг</w:t>
              </w:r>
            </w:smartTag>
          </w:p>
        </w:tc>
        <w:tc>
          <w:tcPr>
            <w:tcW w:w="2784" w:type="dxa"/>
          </w:tcPr>
          <w:p w14:paraId="2A4E8B7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по 1,5 мл препарату </w:t>
            </w: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22484FE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або </w:t>
            </w:r>
          </w:p>
          <w:p w14:paraId="4B2E70AA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по 3 мл препарату повільно </w:t>
            </w:r>
            <w:r w:rsidRPr="00861C27">
              <w:rPr>
                <w:snapToGrid w:val="0"/>
                <w:lang w:val="uk-UA"/>
              </w:rPr>
              <w:lastRenderedPageBreak/>
              <w:t>внутрішньовенно</w:t>
            </w:r>
          </w:p>
        </w:tc>
        <w:tc>
          <w:tcPr>
            <w:tcW w:w="2268" w:type="dxa"/>
          </w:tcPr>
          <w:p w14:paraId="4FA50D7D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lastRenderedPageBreak/>
              <w:t>внутрішньом’язово</w:t>
            </w:r>
            <w:proofErr w:type="spellEnd"/>
          </w:p>
          <w:p w14:paraId="0A03453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3A81EE9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0,075-0,15 мл/кг</w:t>
            </w:r>
          </w:p>
          <w:p w14:paraId="25AA305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0D0DDA5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677D254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lastRenderedPageBreak/>
              <w:t xml:space="preserve">1 раз на добу </w:t>
            </w:r>
          </w:p>
          <w:p w14:paraId="470CC69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0,15-0,3 мл/кг</w:t>
            </w:r>
          </w:p>
        </w:tc>
        <w:tc>
          <w:tcPr>
            <w:tcW w:w="2319" w:type="dxa"/>
          </w:tcPr>
          <w:p w14:paraId="502AD9CE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lastRenderedPageBreak/>
              <w:t>внутрішньом’язово</w:t>
            </w:r>
            <w:proofErr w:type="spellEnd"/>
          </w:p>
          <w:p w14:paraId="16F29CF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747C5D2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1,875-3,75 мг/кг</w:t>
            </w:r>
          </w:p>
          <w:p w14:paraId="620DE46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4A00116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7FA9131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lastRenderedPageBreak/>
              <w:t xml:space="preserve">1 раз на добу </w:t>
            </w:r>
          </w:p>
          <w:p w14:paraId="144DE4F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3,75-7,5 мг/кг</w:t>
            </w:r>
          </w:p>
        </w:tc>
      </w:tr>
      <w:tr w:rsidR="00861C27" w:rsidRPr="00861C27" w14:paraId="611FA6C1" w14:textId="77777777" w:rsidTr="00B161E3">
        <w:tc>
          <w:tcPr>
            <w:tcW w:w="942" w:type="dxa"/>
          </w:tcPr>
          <w:p w14:paraId="782FB32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собаки</w:t>
            </w:r>
          </w:p>
        </w:tc>
        <w:tc>
          <w:tcPr>
            <w:tcW w:w="1043" w:type="dxa"/>
          </w:tcPr>
          <w:p w14:paraId="58F8A1C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861C27">
                <w:rPr>
                  <w:snapToGrid w:val="0"/>
                  <w:lang w:val="uk-UA"/>
                </w:rPr>
                <w:t>20 кг</w:t>
              </w:r>
            </w:smartTag>
            <w:r w:rsidRPr="00861C27">
              <w:rPr>
                <w:snapToGrid w:val="0"/>
                <w:lang w:val="uk-UA"/>
              </w:rPr>
              <w:t xml:space="preserve"> та більше</w:t>
            </w:r>
          </w:p>
        </w:tc>
        <w:tc>
          <w:tcPr>
            <w:tcW w:w="2784" w:type="dxa"/>
          </w:tcPr>
          <w:p w14:paraId="55633B9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по 2 мл препарату </w:t>
            </w: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5AF0EF3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або </w:t>
            </w:r>
          </w:p>
          <w:p w14:paraId="6815B3A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1 раз на добу по 4 мл препарату повільно внутрішньовенно</w:t>
            </w:r>
          </w:p>
        </w:tc>
        <w:tc>
          <w:tcPr>
            <w:tcW w:w="2268" w:type="dxa"/>
          </w:tcPr>
          <w:p w14:paraId="239AAB2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7FA4863A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65BE4C7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0,066-0,1 мл/кг</w:t>
            </w:r>
          </w:p>
          <w:p w14:paraId="5088529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18D43648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2033251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6522173A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0,13-0,2 мл/кг</w:t>
            </w:r>
          </w:p>
        </w:tc>
        <w:tc>
          <w:tcPr>
            <w:tcW w:w="2319" w:type="dxa"/>
          </w:tcPr>
          <w:p w14:paraId="67E1F74A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  <w:r w:rsidRPr="00861C27">
              <w:rPr>
                <w:snapToGrid w:val="0"/>
                <w:lang w:val="uk-UA"/>
              </w:rPr>
              <w:t xml:space="preserve"> </w:t>
            </w:r>
          </w:p>
          <w:p w14:paraId="62D8CF5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32960C7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1,65-2,5 мг/кг</w:t>
            </w:r>
          </w:p>
          <w:p w14:paraId="41687031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5EA4EE8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785F8C01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048AEFD6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3,25-5 мг/кг</w:t>
            </w:r>
          </w:p>
        </w:tc>
      </w:tr>
      <w:tr w:rsidR="00861C27" w:rsidRPr="00861C27" w14:paraId="1B8F9F66" w14:textId="77777777" w:rsidTr="00B161E3">
        <w:tc>
          <w:tcPr>
            <w:tcW w:w="942" w:type="dxa"/>
            <w:tcBorders>
              <w:bottom w:val="single" w:sz="4" w:space="0" w:color="auto"/>
            </w:tcBorders>
          </w:tcPr>
          <w:p w14:paraId="164D14EE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коти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2628A7A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861C27">
                <w:rPr>
                  <w:snapToGrid w:val="0"/>
                  <w:lang w:val="uk-UA"/>
                </w:rPr>
                <w:t>3 кг</w:t>
              </w:r>
            </w:smartTag>
          </w:p>
        </w:tc>
        <w:tc>
          <w:tcPr>
            <w:tcW w:w="2784" w:type="dxa"/>
          </w:tcPr>
          <w:p w14:paraId="00B3BC0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по 0,5 мл препарату </w:t>
            </w: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0A415201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або </w:t>
            </w:r>
          </w:p>
          <w:p w14:paraId="06F3B4B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1 раз на добу по 1 мл препарату повільно внутрішньовенно</w:t>
            </w:r>
          </w:p>
        </w:tc>
        <w:tc>
          <w:tcPr>
            <w:tcW w:w="2268" w:type="dxa"/>
          </w:tcPr>
          <w:p w14:paraId="4E680F2E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091B393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2 рази на добу по 0,17-0,33 мл/кг</w:t>
            </w:r>
          </w:p>
          <w:p w14:paraId="746F629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70268370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108D434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1 раз на добу</w:t>
            </w:r>
            <w:r w:rsidRPr="00861C27">
              <w:rPr>
                <w:snapToGrid w:val="0"/>
              </w:rPr>
              <w:t xml:space="preserve"> </w:t>
            </w:r>
          </w:p>
          <w:p w14:paraId="165A70F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0,33-0,66 мл/кг</w:t>
            </w:r>
          </w:p>
        </w:tc>
        <w:tc>
          <w:tcPr>
            <w:tcW w:w="2319" w:type="dxa"/>
          </w:tcPr>
          <w:p w14:paraId="26AD088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  <w:r w:rsidRPr="00861C27">
              <w:rPr>
                <w:snapToGrid w:val="0"/>
                <w:lang w:val="uk-UA"/>
              </w:rPr>
              <w:t xml:space="preserve"> </w:t>
            </w:r>
          </w:p>
          <w:p w14:paraId="572CF77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731F451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4.25-8,25 мг/кг</w:t>
            </w:r>
          </w:p>
          <w:p w14:paraId="11AA2C3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486E2D7D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45D3FE8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1 раз на добу</w:t>
            </w:r>
            <w:r w:rsidRPr="00861C27">
              <w:rPr>
                <w:snapToGrid w:val="0"/>
              </w:rPr>
              <w:t xml:space="preserve"> </w:t>
            </w:r>
          </w:p>
          <w:p w14:paraId="70D7A2D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8,25-16,5 мг/кг</w:t>
            </w:r>
          </w:p>
        </w:tc>
      </w:tr>
      <w:tr w:rsidR="00440435" w:rsidRPr="00861C27" w14:paraId="618AC6BD" w14:textId="77777777" w:rsidTr="00B161E3">
        <w:tc>
          <w:tcPr>
            <w:tcW w:w="942" w:type="dxa"/>
            <w:tcBorders>
              <w:bottom w:val="single" w:sz="4" w:space="0" w:color="auto"/>
            </w:tcBorders>
          </w:tcPr>
          <w:p w14:paraId="6FE2DEFF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коти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6D91DFC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861C27">
                <w:rPr>
                  <w:snapToGrid w:val="0"/>
                  <w:lang w:val="uk-UA"/>
                </w:rPr>
                <w:t>3 кг</w:t>
              </w:r>
            </w:smartTag>
            <w:r w:rsidRPr="00861C27">
              <w:rPr>
                <w:snapToGrid w:val="0"/>
                <w:lang w:val="uk-UA"/>
              </w:rPr>
              <w:t xml:space="preserve"> та більше</w:t>
            </w:r>
          </w:p>
        </w:tc>
        <w:tc>
          <w:tcPr>
            <w:tcW w:w="2784" w:type="dxa"/>
          </w:tcPr>
          <w:p w14:paraId="104210E3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по 1 мл препарату </w:t>
            </w: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518E8E3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або </w:t>
            </w:r>
          </w:p>
          <w:p w14:paraId="64F36F5B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1 раз на добу по 2 мл препарату повільно внутрішньовенно</w:t>
            </w:r>
          </w:p>
        </w:tc>
        <w:tc>
          <w:tcPr>
            <w:tcW w:w="2268" w:type="dxa"/>
          </w:tcPr>
          <w:p w14:paraId="6A03F4E9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</w:p>
          <w:p w14:paraId="34D77C5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49C9EC7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0,2-0,33 мл/кг</w:t>
            </w:r>
          </w:p>
          <w:p w14:paraId="6280BF4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00362BC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393970B7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6BA6020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0,4-0,66 мл/кг</w:t>
            </w:r>
          </w:p>
        </w:tc>
        <w:tc>
          <w:tcPr>
            <w:tcW w:w="2319" w:type="dxa"/>
          </w:tcPr>
          <w:p w14:paraId="5AA7F3AC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proofErr w:type="spellStart"/>
            <w:r w:rsidRPr="00861C27">
              <w:rPr>
                <w:snapToGrid w:val="0"/>
                <w:lang w:val="uk-UA"/>
              </w:rPr>
              <w:t>внутрішньом’язово</w:t>
            </w:r>
            <w:proofErr w:type="spellEnd"/>
            <w:r w:rsidRPr="00861C27">
              <w:rPr>
                <w:snapToGrid w:val="0"/>
                <w:lang w:val="uk-UA"/>
              </w:rPr>
              <w:t xml:space="preserve"> </w:t>
            </w:r>
          </w:p>
          <w:p w14:paraId="783BEB84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2 рази на добу </w:t>
            </w:r>
          </w:p>
          <w:p w14:paraId="2DC72595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5-8,25 мг/кг</w:t>
            </w:r>
          </w:p>
          <w:p w14:paraId="4BF99E1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або</w:t>
            </w:r>
          </w:p>
          <w:p w14:paraId="4231E351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</w:rPr>
            </w:pPr>
            <w:r w:rsidRPr="00861C27">
              <w:rPr>
                <w:snapToGrid w:val="0"/>
                <w:lang w:val="uk-UA"/>
              </w:rPr>
              <w:t>внутрішньовенно повільно</w:t>
            </w:r>
            <w:r w:rsidRPr="00861C27">
              <w:rPr>
                <w:snapToGrid w:val="0"/>
              </w:rPr>
              <w:t xml:space="preserve"> </w:t>
            </w:r>
          </w:p>
          <w:p w14:paraId="0EEA7EE8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 xml:space="preserve">1 раз на добу </w:t>
            </w:r>
          </w:p>
          <w:p w14:paraId="55135402" w14:textId="77777777" w:rsidR="00440435" w:rsidRPr="00861C27" w:rsidRDefault="00440435" w:rsidP="00B161E3">
            <w:pPr>
              <w:tabs>
                <w:tab w:val="left" w:pos="567"/>
              </w:tabs>
              <w:jc w:val="both"/>
              <w:rPr>
                <w:snapToGrid w:val="0"/>
                <w:lang w:val="uk-UA"/>
              </w:rPr>
            </w:pPr>
            <w:r w:rsidRPr="00861C27">
              <w:rPr>
                <w:snapToGrid w:val="0"/>
                <w:lang w:val="uk-UA"/>
              </w:rPr>
              <w:t>по 10-16,5 мг/кг</w:t>
            </w:r>
          </w:p>
        </w:tc>
      </w:tr>
    </w:tbl>
    <w:p w14:paraId="23F71DB9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sz w:val="12"/>
          <w:szCs w:val="12"/>
          <w:lang w:val="uk-UA"/>
        </w:rPr>
      </w:pPr>
    </w:p>
    <w:p w14:paraId="5A3C0C9C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 xml:space="preserve">Внутрішньовенно препарат вводять повільно зі швидкістю 2 мл/хв або </w:t>
      </w:r>
      <w:proofErr w:type="spellStart"/>
      <w:r w:rsidRPr="00861C27">
        <w:rPr>
          <w:snapToGrid w:val="0"/>
          <w:lang w:val="uk-UA"/>
        </w:rPr>
        <w:t>краплинно</w:t>
      </w:r>
      <w:proofErr w:type="spellEnd"/>
      <w:r w:rsidRPr="00861C27">
        <w:rPr>
          <w:snapToGrid w:val="0"/>
          <w:lang w:val="uk-UA"/>
        </w:rPr>
        <w:t xml:space="preserve"> зі швидкістю 20-30 крапель за хвилину. Дозу </w:t>
      </w:r>
      <w:proofErr w:type="spellStart"/>
      <w:r w:rsidRPr="00861C27">
        <w:rPr>
          <w:snapToGrid w:val="0"/>
          <w:lang w:val="uk-UA"/>
        </w:rPr>
        <w:t>Тіопротектину</w:t>
      </w:r>
      <w:proofErr w:type="spellEnd"/>
      <w:r w:rsidRPr="00861C27">
        <w:rPr>
          <w:snapToGrid w:val="0"/>
          <w:lang w:val="uk-UA"/>
        </w:rPr>
        <w:t>, 2,5 % розчину для ін’єкцій треба розчинити у 15-150 мл фізіологічного розчину залежно від маси тіла тварини.</w:t>
      </w:r>
    </w:p>
    <w:p w14:paraId="4CBCA4AC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 xml:space="preserve">При хронічному гепатиті, холециститі, </w:t>
      </w:r>
      <w:proofErr w:type="spellStart"/>
      <w:r w:rsidRPr="00861C27">
        <w:rPr>
          <w:snapToGrid w:val="0"/>
          <w:lang w:val="uk-UA"/>
        </w:rPr>
        <w:t>кардіоміопатії</w:t>
      </w:r>
      <w:proofErr w:type="spellEnd"/>
      <w:r w:rsidRPr="00861C27">
        <w:rPr>
          <w:snapToGrid w:val="0"/>
          <w:lang w:val="uk-UA"/>
        </w:rPr>
        <w:t xml:space="preserve">, міокардиті та ішемічній хворобі серця після 5-добового курсу ін’єкцій призначають </w:t>
      </w:r>
      <w:proofErr w:type="spellStart"/>
      <w:r w:rsidRPr="00861C27">
        <w:rPr>
          <w:snapToGrid w:val="0"/>
          <w:lang w:val="uk-UA"/>
        </w:rPr>
        <w:t>Тіопротектин</w:t>
      </w:r>
      <w:proofErr w:type="spellEnd"/>
      <w:r w:rsidRPr="00861C27">
        <w:rPr>
          <w:snapToGrid w:val="0"/>
          <w:lang w:val="uk-UA"/>
        </w:rPr>
        <w:t>, таблетки впродовж 14 діб, а у післяопераційний період — впродовж 20 діб.</w:t>
      </w:r>
    </w:p>
    <w:p w14:paraId="7C0638D1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5.9 Передозування (симптоми, невідкладні заходи, антидоти)</w:t>
      </w:r>
    </w:p>
    <w:p w14:paraId="15BE9E11" w14:textId="77777777" w:rsidR="00440435" w:rsidRPr="00861C27" w:rsidRDefault="00440435" w:rsidP="00440435">
      <w:pPr>
        <w:tabs>
          <w:tab w:val="left" w:pos="567"/>
        </w:tabs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>Даних немає.</w:t>
      </w:r>
    </w:p>
    <w:p w14:paraId="4CC2BAA2" w14:textId="77777777" w:rsidR="00440435" w:rsidRPr="00861C27" w:rsidRDefault="00440435" w:rsidP="00440435">
      <w:pPr>
        <w:tabs>
          <w:tab w:val="left" w:pos="567"/>
        </w:tabs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5.10 Спеціальні застереження</w:t>
      </w:r>
    </w:p>
    <w:p w14:paraId="657EA520" w14:textId="77777777" w:rsidR="00440435" w:rsidRPr="00861C27" w:rsidRDefault="00440435" w:rsidP="00440435">
      <w:pPr>
        <w:tabs>
          <w:tab w:val="left" w:pos="567"/>
        </w:tabs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Відсутні.</w:t>
      </w:r>
    </w:p>
    <w:p w14:paraId="4B1F7D78" w14:textId="77777777" w:rsidR="009319AA" w:rsidRPr="00861C27" w:rsidRDefault="0012234C" w:rsidP="002016DA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5.11</w:t>
      </w:r>
      <w:r w:rsidR="004571E2" w:rsidRPr="00861C27">
        <w:rPr>
          <w:b/>
          <w:snapToGrid w:val="0"/>
          <w:lang w:val="uk-UA"/>
        </w:rPr>
        <w:t xml:space="preserve"> Період виведення (</w:t>
      </w:r>
      <w:proofErr w:type="spellStart"/>
      <w:r w:rsidR="004571E2" w:rsidRPr="00861C27">
        <w:rPr>
          <w:b/>
          <w:snapToGrid w:val="0"/>
          <w:lang w:val="uk-UA"/>
        </w:rPr>
        <w:t>каренція</w:t>
      </w:r>
      <w:proofErr w:type="spellEnd"/>
      <w:r w:rsidR="009319AA" w:rsidRPr="00861C27">
        <w:rPr>
          <w:b/>
          <w:snapToGrid w:val="0"/>
          <w:lang w:val="uk-UA"/>
        </w:rPr>
        <w:t>)</w:t>
      </w:r>
    </w:p>
    <w:p w14:paraId="121D3D63" w14:textId="77777777" w:rsidR="004F4D8B" w:rsidRPr="00861C27" w:rsidRDefault="004F4D8B" w:rsidP="004F4D8B">
      <w:pPr>
        <w:jc w:val="both"/>
        <w:rPr>
          <w:lang w:val="uk-UA"/>
        </w:rPr>
      </w:pPr>
      <w:r w:rsidRPr="00861C27">
        <w:rPr>
          <w:lang w:val="uk-UA"/>
        </w:rPr>
        <w:t>Для непродуктивних тварин період виведення не визначається.</w:t>
      </w:r>
    </w:p>
    <w:p w14:paraId="06C8BBCF" w14:textId="77777777" w:rsidR="00D7113A" w:rsidRPr="00861C27" w:rsidRDefault="009319AA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5.12</w:t>
      </w:r>
      <w:r w:rsidR="00D7113A" w:rsidRPr="00861C27">
        <w:rPr>
          <w:b/>
          <w:snapToGrid w:val="0"/>
          <w:lang w:val="uk-UA"/>
        </w:rPr>
        <w:t xml:space="preserve"> Спеціальні застереження для осіб і обслуговуючого персоналу</w:t>
      </w:r>
    </w:p>
    <w:p w14:paraId="5DD9BA8E" w14:textId="77777777" w:rsidR="00BD1CE7" w:rsidRPr="00861C27" w:rsidRDefault="00BD1CE7" w:rsidP="00BD1CE7">
      <w:pPr>
        <w:tabs>
          <w:tab w:val="left" w:pos="567"/>
        </w:tabs>
        <w:spacing w:before="60" w:after="60"/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Дотримуватись правил асептики та безпечної фіксації тварин.</w:t>
      </w:r>
    </w:p>
    <w:p w14:paraId="04D6C8EF" w14:textId="77777777" w:rsidR="00A24AF9" w:rsidRPr="00861C27" w:rsidRDefault="00A24AF9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6. Ф</w:t>
      </w:r>
      <w:r w:rsidR="00266902" w:rsidRPr="00861C27">
        <w:rPr>
          <w:b/>
          <w:snapToGrid w:val="0"/>
          <w:lang w:val="uk-UA"/>
        </w:rPr>
        <w:t>армацевтичні особливості</w:t>
      </w:r>
    </w:p>
    <w:p w14:paraId="3EE72927" w14:textId="77777777" w:rsidR="00A140F3" w:rsidRPr="00861C27" w:rsidRDefault="00A140F3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6.1 Форми несумісності (основні)</w:t>
      </w:r>
    </w:p>
    <w:p w14:paraId="45229D14" w14:textId="77777777" w:rsidR="00BD1CE7" w:rsidRPr="00861C27" w:rsidRDefault="00BD1CE7" w:rsidP="00BD1CE7">
      <w:pPr>
        <w:tabs>
          <w:tab w:val="left" w:pos="567"/>
        </w:tabs>
        <w:spacing w:before="60" w:after="60"/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Невідомі.</w:t>
      </w:r>
    </w:p>
    <w:p w14:paraId="5BF0CEEC" w14:textId="77777777" w:rsidR="00E4232A" w:rsidRPr="00861C27" w:rsidRDefault="00A140F3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6.2</w:t>
      </w:r>
      <w:r w:rsidR="00A24AF9" w:rsidRPr="00861C27">
        <w:rPr>
          <w:b/>
          <w:snapToGrid w:val="0"/>
          <w:lang w:val="uk-UA"/>
        </w:rPr>
        <w:t xml:space="preserve"> </w:t>
      </w:r>
      <w:r w:rsidR="00E4232A" w:rsidRPr="00861C27">
        <w:rPr>
          <w:b/>
          <w:snapToGrid w:val="0"/>
          <w:lang w:val="uk-UA"/>
        </w:rPr>
        <w:t>Термін придатності</w:t>
      </w:r>
    </w:p>
    <w:p w14:paraId="403F1897" w14:textId="77777777" w:rsidR="00223522" w:rsidRPr="00861C27" w:rsidRDefault="00602A2E" w:rsidP="002016DA">
      <w:pPr>
        <w:tabs>
          <w:tab w:val="left" w:pos="567"/>
        </w:tabs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5 років</w:t>
      </w:r>
      <w:r w:rsidR="00223522" w:rsidRPr="00861C27">
        <w:rPr>
          <w:bCs/>
          <w:spacing w:val="-2"/>
          <w:lang w:val="uk-UA"/>
        </w:rPr>
        <w:t>.</w:t>
      </w:r>
    </w:p>
    <w:p w14:paraId="4F9F1F10" w14:textId="77777777" w:rsidR="00A24AF9" w:rsidRPr="00861C27" w:rsidRDefault="00A140F3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6.3</w:t>
      </w:r>
      <w:r w:rsidR="00A24AF9" w:rsidRPr="00861C27">
        <w:rPr>
          <w:b/>
          <w:snapToGrid w:val="0"/>
          <w:lang w:val="uk-UA"/>
        </w:rPr>
        <w:t xml:space="preserve"> Особливі за</w:t>
      </w:r>
      <w:r w:rsidR="00266902" w:rsidRPr="00861C27">
        <w:rPr>
          <w:b/>
          <w:snapToGrid w:val="0"/>
          <w:lang w:val="uk-UA"/>
        </w:rPr>
        <w:t>ходи</w:t>
      </w:r>
      <w:r w:rsidR="00A24AF9" w:rsidRPr="00861C27">
        <w:rPr>
          <w:b/>
          <w:snapToGrid w:val="0"/>
          <w:lang w:val="uk-UA"/>
        </w:rPr>
        <w:t xml:space="preserve"> зберігання</w:t>
      </w:r>
      <w:bookmarkStart w:id="0" w:name="_GoBack"/>
      <w:bookmarkEnd w:id="0"/>
    </w:p>
    <w:p w14:paraId="26778A39" w14:textId="77777777" w:rsidR="0041080A" w:rsidRPr="00861C27" w:rsidRDefault="0041080A" w:rsidP="0041080A">
      <w:pPr>
        <w:widowControl w:val="0"/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 xml:space="preserve">Зберігати в оригінальній упаковці при температурі не вище </w:t>
      </w:r>
      <w:r w:rsidRPr="00861C27">
        <w:rPr>
          <w:spacing w:val="-2"/>
          <w:lang w:val="uk-UA"/>
        </w:rPr>
        <w:t>25°С</w:t>
      </w:r>
      <w:r w:rsidRPr="00861C27">
        <w:rPr>
          <w:snapToGrid w:val="0"/>
          <w:lang w:val="uk-UA"/>
        </w:rPr>
        <w:t>.</w:t>
      </w:r>
    </w:p>
    <w:p w14:paraId="52FE6547" w14:textId="77777777" w:rsidR="0041080A" w:rsidRPr="00861C27" w:rsidRDefault="0041080A" w:rsidP="0041080A">
      <w:pPr>
        <w:widowControl w:val="0"/>
        <w:jc w:val="both"/>
        <w:rPr>
          <w:snapToGrid w:val="0"/>
          <w:lang w:val="uk-UA"/>
        </w:rPr>
      </w:pPr>
      <w:r w:rsidRPr="00861C27">
        <w:rPr>
          <w:snapToGrid w:val="0"/>
          <w:lang w:val="uk-UA"/>
        </w:rPr>
        <w:t>Зберігати у недоступному для дітей місці.</w:t>
      </w:r>
    </w:p>
    <w:p w14:paraId="048033F5" w14:textId="77777777" w:rsidR="00A24AF9" w:rsidRPr="00861C27" w:rsidRDefault="00A24AF9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6.</w:t>
      </w:r>
      <w:r w:rsidR="00A140F3" w:rsidRPr="00861C27">
        <w:rPr>
          <w:b/>
          <w:snapToGrid w:val="0"/>
          <w:lang w:val="uk-UA"/>
        </w:rPr>
        <w:t>4</w:t>
      </w:r>
      <w:r w:rsidRPr="00861C27">
        <w:rPr>
          <w:b/>
          <w:snapToGrid w:val="0"/>
          <w:lang w:val="uk-UA"/>
        </w:rPr>
        <w:t xml:space="preserve"> Природа і склад контейнера первинного пакування</w:t>
      </w:r>
    </w:p>
    <w:p w14:paraId="4555E557" w14:textId="77777777" w:rsidR="00BD1CE7" w:rsidRPr="00861C27" w:rsidRDefault="0041080A" w:rsidP="00BD1CE7">
      <w:pPr>
        <w:tabs>
          <w:tab w:val="left" w:pos="567"/>
        </w:tabs>
        <w:spacing w:before="60" w:after="60"/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По 2 мл в ампулі, по 10 ампул у контурній чарунковій упаковці, по 1 контурній чарунковій упаковці в пачці.</w:t>
      </w:r>
    </w:p>
    <w:p w14:paraId="0B4C224F" w14:textId="77777777" w:rsidR="00266902" w:rsidRPr="00861C27" w:rsidRDefault="00A140F3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6.5</w:t>
      </w:r>
      <w:r w:rsidR="00266902" w:rsidRPr="00861C27">
        <w:rPr>
          <w:b/>
          <w:snapToGrid w:val="0"/>
          <w:lang w:val="uk-UA"/>
        </w:rPr>
        <w:t xml:space="preserve"> Особливі заходи безпеки при поводженні з невикористаним препаратом або із його залишками</w:t>
      </w:r>
    </w:p>
    <w:p w14:paraId="02CCF32A" w14:textId="77777777" w:rsidR="00744FC3" w:rsidRPr="00861C27" w:rsidRDefault="00744FC3" w:rsidP="00744FC3">
      <w:pPr>
        <w:tabs>
          <w:tab w:val="left" w:pos="567"/>
        </w:tabs>
        <w:spacing w:before="60" w:after="60"/>
        <w:jc w:val="both"/>
        <w:rPr>
          <w:bCs/>
          <w:spacing w:val="-2"/>
          <w:lang w:val="uk-UA"/>
        </w:rPr>
      </w:pPr>
      <w:r w:rsidRPr="00861C27">
        <w:rPr>
          <w:bCs/>
          <w:spacing w:val="-2"/>
          <w:lang w:val="uk-UA"/>
        </w:rPr>
        <w:t>Невикористаний препарат або його залишки мають бути утилізовані згідно чинних вимог.</w:t>
      </w:r>
    </w:p>
    <w:p w14:paraId="0B994A28" w14:textId="77777777" w:rsidR="00C24390" w:rsidRPr="00861C27" w:rsidRDefault="008360CF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7.</w:t>
      </w:r>
      <w:r w:rsidR="00A24AF9" w:rsidRPr="00861C27">
        <w:rPr>
          <w:b/>
          <w:snapToGrid w:val="0"/>
          <w:lang w:val="uk-UA"/>
        </w:rPr>
        <w:t xml:space="preserve"> Назва і </w:t>
      </w:r>
      <w:r w:rsidRPr="00861C27">
        <w:rPr>
          <w:b/>
          <w:snapToGrid w:val="0"/>
          <w:lang w:val="uk-UA"/>
        </w:rPr>
        <w:t>місцезнаходження власника реєстраційного посвідчення</w:t>
      </w:r>
    </w:p>
    <w:p w14:paraId="12BEA758" w14:textId="77777777" w:rsidR="0041080A" w:rsidRPr="00861C27" w:rsidRDefault="0041080A" w:rsidP="0041080A">
      <w:pPr>
        <w:jc w:val="both"/>
        <w:rPr>
          <w:lang w:val="uk-UA"/>
        </w:rPr>
      </w:pPr>
      <w:r w:rsidRPr="00861C27">
        <w:rPr>
          <w:lang w:val="uk-UA"/>
        </w:rPr>
        <w:t>ПАТ «</w:t>
      </w:r>
      <w:proofErr w:type="spellStart"/>
      <w:r w:rsidRPr="00861C27">
        <w:rPr>
          <w:lang w:val="uk-UA"/>
        </w:rPr>
        <w:t>Галичфарм</w:t>
      </w:r>
      <w:proofErr w:type="spellEnd"/>
      <w:r w:rsidRPr="00861C27">
        <w:rPr>
          <w:lang w:val="uk-UA"/>
        </w:rPr>
        <w:t>»</w:t>
      </w:r>
    </w:p>
    <w:p w14:paraId="37269807" w14:textId="77777777" w:rsidR="00C50AD2" w:rsidRPr="00861C27" w:rsidRDefault="00530664" w:rsidP="00C50AD2">
      <w:pPr>
        <w:pStyle w:val="3"/>
        <w:ind w:firstLine="0"/>
        <w:rPr>
          <w:b w:val="0"/>
        </w:rPr>
      </w:pPr>
      <w:r w:rsidRPr="00861C27">
        <w:rPr>
          <w:b w:val="0"/>
        </w:rPr>
        <w:t xml:space="preserve">79024, </w:t>
      </w:r>
      <w:r w:rsidR="00C50AD2" w:rsidRPr="00861C27">
        <w:rPr>
          <w:b w:val="0"/>
        </w:rPr>
        <w:t>м. Львів, вул. Опришківська, 6/8, Україна</w:t>
      </w:r>
    </w:p>
    <w:p w14:paraId="5EA3108E" w14:textId="77777777" w:rsidR="00A24AF9" w:rsidRPr="00861C27" w:rsidRDefault="0079243E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8. Назва і місцезнаходження виробника</w:t>
      </w:r>
    </w:p>
    <w:p w14:paraId="30BF0F2C" w14:textId="77777777" w:rsidR="00530664" w:rsidRPr="00861C27" w:rsidRDefault="00530664" w:rsidP="00530664">
      <w:pPr>
        <w:jc w:val="both"/>
        <w:rPr>
          <w:lang w:val="uk-UA"/>
        </w:rPr>
      </w:pPr>
      <w:r w:rsidRPr="00861C27">
        <w:rPr>
          <w:lang w:val="uk-UA"/>
        </w:rPr>
        <w:t>ПАТ «</w:t>
      </w:r>
      <w:proofErr w:type="spellStart"/>
      <w:r w:rsidRPr="00861C27">
        <w:rPr>
          <w:lang w:val="uk-UA"/>
        </w:rPr>
        <w:t>Галичфарм</w:t>
      </w:r>
      <w:proofErr w:type="spellEnd"/>
      <w:r w:rsidRPr="00861C27">
        <w:rPr>
          <w:lang w:val="uk-UA"/>
        </w:rPr>
        <w:t>»</w:t>
      </w:r>
    </w:p>
    <w:p w14:paraId="2CB5E0EE" w14:textId="77777777" w:rsidR="00530664" w:rsidRPr="00861C27" w:rsidRDefault="00530664" w:rsidP="00530664">
      <w:pPr>
        <w:pStyle w:val="3"/>
        <w:ind w:firstLine="0"/>
        <w:rPr>
          <w:b w:val="0"/>
        </w:rPr>
      </w:pPr>
      <w:r w:rsidRPr="00861C27">
        <w:rPr>
          <w:b w:val="0"/>
        </w:rPr>
        <w:t>79024, м. Львів, вул. Опришківська, 6/8, Україна</w:t>
      </w:r>
    </w:p>
    <w:p w14:paraId="5882CB0C" w14:textId="77777777" w:rsidR="009713E3" w:rsidRPr="00861C27" w:rsidRDefault="0079243E" w:rsidP="002D696B">
      <w:pPr>
        <w:tabs>
          <w:tab w:val="left" w:pos="567"/>
        </w:tabs>
        <w:spacing w:before="60" w:after="60"/>
        <w:jc w:val="both"/>
        <w:rPr>
          <w:b/>
          <w:snapToGrid w:val="0"/>
          <w:lang w:val="uk-UA"/>
        </w:rPr>
      </w:pPr>
      <w:r w:rsidRPr="00861C27">
        <w:rPr>
          <w:b/>
          <w:snapToGrid w:val="0"/>
          <w:lang w:val="uk-UA"/>
        </w:rPr>
        <w:t>9. Додаткова інформація</w:t>
      </w:r>
    </w:p>
    <w:sectPr w:rsidR="009713E3" w:rsidRPr="00861C27" w:rsidSect="00F56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9BF7" w14:textId="77777777" w:rsidR="00AD5EC4" w:rsidRDefault="00AD5EC4">
      <w:r>
        <w:separator/>
      </w:r>
    </w:p>
  </w:endnote>
  <w:endnote w:type="continuationSeparator" w:id="0">
    <w:p w14:paraId="4570A134" w14:textId="77777777" w:rsidR="00AD5EC4" w:rsidRDefault="00A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113F" w14:textId="77777777" w:rsidR="00AD5EC4" w:rsidRDefault="00AD5EC4" w:rsidP="00A24AF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417CD3" w14:textId="77777777" w:rsidR="00AD5EC4" w:rsidRDefault="00AD5E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007A" w14:textId="77777777" w:rsidR="00AD5EC4" w:rsidRDefault="00AD5E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C3C8" w14:textId="77777777" w:rsidR="00AD5EC4" w:rsidRDefault="00AD5E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93AC" w14:textId="77777777" w:rsidR="00AD5EC4" w:rsidRDefault="00AD5EC4">
      <w:r>
        <w:separator/>
      </w:r>
    </w:p>
  </w:footnote>
  <w:footnote w:type="continuationSeparator" w:id="0">
    <w:p w14:paraId="4FC1F769" w14:textId="77777777" w:rsidR="00AD5EC4" w:rsidRDefault="00A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5D75" w14:textId="77777777" w:rsidR="00AD5EC4" w:rsidRDefault="00AD5E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108B" w14:textId="77777777" w:rsidR="00AD5EC4" w:rsidRPr="009A418A" w:rsidRDefault="00AD5EC4" w:rsidP="00F563C5">
    <w:pPr>
      <w:ind w:left="4560"/>
      <w:jc w:val="right"/>
      <w:rPr>
        <w:lang w:val="uk-UA"/>
      </w:rPr>
    </w:pPr>
    <w:r w:rsidRPr="009A418A">
      <w:rPr>
        <w:lang w:val="uk-UA"/>
      </w:rPr>
      <w:t>Додаток 1</w:t>
    </w:r>
  </w:p>
  <w:p w14:paraId="174DAC6B" w14:textId="77777777" w:rsidR="00AD5EC4" w:rsidRPr="009A418A" w:rsidRDefault="00AD5EC4" w:rsidP="00E63718">
    <w:pPr>
      <w:jc w:val="right"/>
      <w:rPr>
        <w:lang w:val="uk-UA"/>
      </w:rPr>
    </w:pPr>
    <w:r w:rsidRPr="009A418A">
      <w:rPr>
        <w:lang w:val="uk-UA"/>
      </w:rPr>
      <w:t>до реєстраційного посвідчення</w:t>
    </w:r>
    <w:r>
      <w:rPr>
        <w:lang w:val="uk-UA"/>
      </w:rPr>
      <w:t xml:space="preserve"> </w:t>
    </w:r>
    <w:r w:rsidRPr="00AE134A">
      <w:rPr>
        <w:lang w:val="uk-UA"/>
      </w:rPr>
      <w:t>АВ-02126-01-11</w:t>
    </w:r>
  </w:p>
  <w:p w14:paraId="19DC4B88" w14:textId="77777777" w:rsidR="00AD5EC4" w:rsidRDefault="00AD5EC4" w:rsidP="00F563C5">
    <w:pPr>
      <w:ind w:left="4560"/>
      <w:jc w:val="right"/>
    </w:pPr>
  </w:p>
  <w:p w14:paraId="334A5EE6" w14:textId="77777777" w:rsidR="00AD5EC4" w:rsidRDefault="00AD5EC4" w:rsidP="00F563C5">
    <w:pPr>
      <w:ind w:left="4560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18A4" w14:textId="77777777" w:rsidR="00AD5EC4" w:rsidRDefault="00AD5E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8F3"/>
    <w:multiLevelType w:val="hybridMultilevel"/>
    <w:tmpl w:val="9F92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6E3"/>
    <w:multiLevelType w:val="hybridMultilevel"/>
    <w:tmpl w:val="B0CE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218"/>
    <w:multiLevelType w:val="hybridMultilevel"/>
    <w:tmpl w:val="72BC34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33A"/>
    <w:multiLevelType w:val="hybridMultilevel"/>
    <w:tmpl w:val="A886977A"/>
    <w:lvl w:ilvl="0" w:tplc="019E8DA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C19187A"/>
    <w:multiLevelType w:val="hybridMultilevel"/>
    <w:tmpl w:val="77C2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0656"/>
    <w:multiLevelType w:val="hybridMultilevel"/>
    <w:tmpl w:val="DDDAAA58"/>
    <w:lvl w:ilvl="0" w:tplc="019E8DA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E3C79F9"/>
    <w:multiLevelType w:val="hybridMultilevel"/>
    <w:tmpl w:val="8DB28D96"/>
    <w:lvl w:ilvl="0" w:tplc="36DAA9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D616FCD"/>
    <w:multiLevelType w:val="hybridMultilevel"/>
    <w:tmpl w:val="A0FA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2354C"/>
    <w:multiLevelType w:val="hybridMultilevel"/>
    <w:tmpl w:val="92CE6E8A"/>
    <w:lvl w:ilvl="0" w:tplc="E34EDF1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AF9"/>
    <w:rsid w:val="00007A13"/>
    <w:rsid w:val="00011E7A"/>
    <w:rsid w:val="00040C50"/>
    <w:rsid w:val="00056FF9"/>
    <w:rsid w:val="000747A0"/>
    <w:rsid w:val="000800C8"/>
    <w:rsid w:val="000A5228"/>
    <w:rsid w:val="000B3BD5"/>
    <w:rsid w:val="000B7EFD"/>
    <w:rsid w:val="000C749F"/>
    <w:rsid w:val="000D0A58"/>
    <w:rsid w:val="000D5477"/>
    <w:rsid w:val="000E1B67"/>
    <w:rsid w:val="000F44BC"/>
    <w:rsid w:val="000F6200"/>
    <w:rsid w:val="00103855"/>
    <w:rsid w:val="0012234C"/>
    <w:rsid w:val="00126AB5"/>
    <w:rsid w:val="001422F8"/>
    <w:rsid w:val="00144391"/>
    <w:rsid w:val="0015022E"/>
    <w:rsid w:val="00151C99"/>
    <w:rsid w:val="00156E34"/>
    <w:rsid w:val="00163359"/>
    <w:rsid w:val="001762C8"/>
    <w:rsid w:val="00183380"/>
    <w:rsid w:val="001853BB"/>
    <w:rsid w:val="00195CCE"/>
    <w:rsid w:val="00197748"/>
    <w:rsid w:val="001A32E3"/>
    <w:rsid w:val="001B58ED"/>
    <w:rsid w:val="001C08F0"/>
    <w:rsid w:val="001E64B4"/>
    <w:rsid w:val="002016DA"/>
    <w:rsid w:val="00223522"/>
    <w:rsid w:val="00230305"/>
    <w:rsid w:val="00230349"/>
    <w:rsid w:val="0024026E"/>
    <w:rsid w:val="00246495"/>
    <w:rsid w:val="00252639"/>
    <w:rsid w:val="00262678"/>
    <w:rsid w:val="00266902"/>
    <w:rsid w:val="00270097"/>
    <w:rsid w:val="00275599"/>
    <w:rsid w:val="00281BFA"/>
    <w:rsid w:val="00283791"/>
    <w:rsid w:val="002913F6"/>
    <w:rsid w:val="002946D9"/>
    <w:rsid w:val="002D696B"/>
    <w:rsid w:val="002E7A2A"/>
    <w:rsid w:val="002F0D91"/>
    <w:rsid w:val="00305526"/>
    <w:rsid w:val="00320173"/>
    <w:rsid w:val="00331794"/>
    <w:rsid w:val="00332CFC"/>
    <w:rsid w:val="00355127"/>
    <w:rsid w:val="00376E53"/>
    <w:rsid w:val="00385A56"/>
    <w:rsid w:val="00386309"/>
    <w:rsid w:val="0039475E"/>
    <w:rsid w:val="0039525E"/>
    <w:rsid w:val="003A1A92"/>
    <w:rsid w:val="003A1C50"/>
    <w:rsid w:val="003B75CF"/>
    <w:rsid w:val="003C09B5"/>
    <w:rsid w:val="003C452E"/>
    <w:rsid w:val="003D7075"/>
    <w:rsid w:val="003F4F4C"/>
    <w:rsid w:val="0040207C"/>
    <w:rsid w:val="00405059"/>
    <w:rsid w:val="0041080A"/>
    <w:rsid w:val="0041094F"/>
    <w:rsid w:val="00410E96"/>
    <w:rsid w:val="00420649"/>
    <w:rsid w:val="00440435"/>
    <w:rsid w:val="00451807"/>
    <w:rsid w:val="0045562B"/>
    <w:rsid w:val="00456DB5"/>
    <w:rsid w:val="004571E2"/>
    <w:rsid w:val="00460CC4"/>
    <w:rsid w:val="00463A69"/>
    <w:rsid w:val="00465C29"/>
    <w:rsid w:val="004C757B"/>
    <w:rsid w:val="004D3523"/>
    <w:rsid w:val="004D7384"/>
    <w:rsid w:val="004E711B"/>
    <w:rsid w:val="004E7F08"/>
    <w:rsid w:val="004F01AC"/>
    <w:rsid w:val="004F03ED"/>
    <w:rsid w:val="004F4D8B"/>
    <w:rsid w:val="0050212B"/>
    <w:rsid w:val="00507683"/>
    <w:rsid w:val="0051799E"/>
    <w:rsid w:val="00523BB1"/>
    <w:rsid w:val="00530664"/>
    <w:rsid w:val="00534991"/>
    <w:rsid w:val="00535473"/>
    <w:rsid w:val="00535536"/>
    <w:rsid w:val="00540A4A"/>
    <w:rsid w:val="005536F2"/>
    <w:rsid w:val="00554C37"/>
    <w:rsid w:val="005573DE"/>
    <w:rsid w:val="0056108F"/>
    <w:rsid w:val="00563B3A"/>
    <w:rsid w:val="005A3C43"/>
    <w:rsid w:val="005B3A71"/>
    <w:rsid w:val="005D1C39"/>
    <w:rsid w:val="005D6806"/>
    <w:rsid w:val="005F12A6"/>
    <w:rsid w:val="005F2F35"/>
    <w:rsid w:val="005F4308"/>
    <w:rsid w:val="00602A2E"/>
    <w:rsid w:val="00607C28"/>
    <w:rsid w:val="006133AA"/>
    <w:rsid w:val="0061755C"/>
    <w:rsid w:val="006358C3"/>
    <w:rsid w:val="00646674"/>
    <w:rsid w:val="0065505D"/>
    <w:rsid w:val="006712EA"/>
    <w:rsid w:val="00685E88"/>
    <w:rsid w:val="006B7EDA"/>
    <w:rsid w:val="006C142B"/>
    <w:rsid w:val="006E5292"/>
    <w:rsid w:val="00704F61"/>
    <w:rsid w:val="00706BE2"/>
    <w:rsid w:val="00710910"/>
    <w:rsid w:val="0071130E"/>
    <w:rsid w:val="00721216"/>
    <w:rsid w:val="00742BE9"/>
    <w:rsid w:val="00744FC3"/>
    <w:rsid w:val="0075264D"/>
    <w:rsid w:val="0075294D"/>
    <w:rsid w:val="0075774F"/>
    <w:rsid w:val="00771431"/>
    <w:rsid w:val="00781F57"/>
    <w:rsid w:val="0079243E"/>
    <w:rsid w:val="00797D7F"/>
    <w:rsid w:val="007A29C0"/>
    <w:rsid w:val="007C0D8E"/>
    <w:rsid w:val="007C4345"/>
    <w:rsid w:val="007C7681"/>
    <w:rsid w:val="007C7682"/>
    <w:rsid w:val="007D5C26"/>
    <w:rsid w:val="007E0E02"/>
    <w:rsid w:val="007E616E"/>
    <w:rsid w:val="007F3325"/>
    <w:rsid w:val="00806BB8"/>
    <w:rsid w:val="00812FFC"/>
    <w:rsid w:val="00813C57"/>
    <w:rsid w:val="0083479F"/>
    <w:rsid w:val="008360CF"/>
    <w:rsid w:val="00836349"/>
    <w:rsid w:val="00843EAC"/>
    <w:rsid w:val="00856DCE"/>
    <w:rsid w:val="00857BC0"/>
    <w:rsid w:val="00860074"/>
    <w:rsid w:val="00861C27"/>
    <w:rsid w:val="00866D4F"/>
    <w:rsid w:val="008859FD"/>
    <w:rsid w:val="008916C0"/>
    <w:rsid w:val="008B393D"/>
    <w:rsid w:val="008C0723"/>
    <w:rsid w:val="008D11EF"/>
    <w:rsid w:val="008E5B65"/>
    <w:rsid w:val="00917B62"/>
    <w:rsid w:val="009239C2"/>
    <w:rsid w:val="00930EE3"/>
    <w:rsid w:val="009319AA"/>
    <w:rsid w:val="00932BFE"/>
    <w:rsid w:val="009374E0"/>
    <w:rsid w:val="00941BC1"/>
    <w:rsid w:val="009525F0"/>
    <w:rsid w:val="009713E3"/>
    <w:rsid w:val="009715A7"/>
    <w:rsid w:val="00975D6A"/>
    <w:rsid w:val="00976556"/>
    <w:rsid w:val="00986E42"/>
    <w:rsid w:val="00990924"/>
    <w:rsid w:val="00997B27"/>
    <w:rsid w:val="009A11A1"/>
    <w:rsid w:val="009A2EE2"/>
    <w:rsid w:val="009A418A"/>
    <w:rsid w:val="009B6D01"/>
    <w:rsid w:val="009C4B79"/>
    <w:rsid w:val="009C61AD"/>
    <w:rsid w:val="009D3BD2"/>
    <w:rsid w:val="009E092E"/>
    <w:rsid w:val="009E1CCF"/>
    <w:rsid w:val="009F7257"/>
    <w:rsid w:val="00A030EF"/>
    <w:rsid w:val="00A047B9"/>
    <w:rsid w:val="00A140F3"/>
    <w:rsid w:val="00A2255A"/>
    <w:rsid w:val="00A24AF9"/>
    <w:rsid w:val="00A25B90"/>
    <w:rsid w:val="00A31893"/>
    <w:rsid w:val="00A3255F"/>
    <w:rsid w:val="00A33F74"/>
    <w:rsid w:val="00A352E4"/>
    <w:rsid w:val="00A371F5"/>
    <w:rsid w:val="00A4108C"/>
    <w:rsid w:val="00A64B3A"/>
    <w:rsid w:val="00A772A7"/>
    <w:rsid w:val="00A77548"/>
    <w:rsid w:val="00A83B8A"/>
    <w:rsid w:val="00A87430"/>
    <w:rsid w:val="00AA485F"/>
    <w:rsid w:val="00AC0425"/>
    <w:rsid w:val="00AC0D49"/>
    <w:rsid w:val="00AD5EC4"/>
    <w:rsid w:val="00AE134A"/>
    <w:rsid w:val="00AE6E9A"/>
    <w:rsid w:val="00AE6EBD"/>
    <w:rsid w:val="00AF19B1"/>
    <w:rsid w:val="00AF34CB"/>
    <w:rsid w:val="00AF654D"/>
    <w:rsid w:val="00B03A65"/>
    <w:rsid w:val="00B210E3"/>
    <w:rsid w:val="00B224B6"/>
    <w:rsid w:val="00B27BEB"/>
    <w:rsid w:val="00B32E33"/>
    <w:rsid w:val="00B36030"/>
    <w:rsid w:val="00B4277D"/>
    <w:rsid w:val="00B75A22"/>
    <w:rsid w:val="00B7605D"/>
    <w:rsid w:val="00B7758B"/>
    <w:rsid w:val="00BB516F"/>
    <w:rsid w:val="00BC1374"/>
    <w:rsid w:val="00BD0AAA"/>
    <w:rsid w:val="00BD1CE7"/>
    <w:rsid w:val="00BE5165"/>
    <w:rsid w:val="00C008F8"/>
    <w:rsid w:val="00C018F9"/>
    <w:rsid w:val="00C03C5E"/>
    <w:rsid w:val="00C06B45"/>
    <w:rsid w:val="00C159B7"/>
    <w:rsid w:val="00C22F52"/>
    <w:rsid w:val="00C24390"/>
    <w:rsid w:val="00C31AC6"/>
    <w:rsid w:val="00C400F8"/>
    <w:rsid w:val="00C4429F"/>
    <w:rsid w:val="00C50AD2"/>
    <w:rsid w:val="00C5321A"/>
    <w:rsid w:val="00C53F14"/>
    <w:rsid w:val="00C64150"/>
    <w:rsid w:val="00C66F90"/>
    <w:rsid w:val="00C9062C"/>
    <w:rsid w:val="00C966E2"/>
    <w:rsid w:val="00CA1788"/>
    <w:rsid w:val="00CA3706"/>
    <w:rsid w:val="00CA4442"/>
    <w:rsid w:val="00CB0992"/>
    <w:rsid w:val="00CB45C8"/>
    <w:rsid w:val="00CC1E7C"/>
    <w:rsid w:val="00CD3A63"/>
    <w:rsid w:val="00CD7A48"/>
    <w:rsid w:val="00D23097"/>
    <w:rsid w:val="00D2393A"/>
    <w:rsid w:val="00D339EB"/>
    <w:rsid w:val="00D46E2E"/>
    <w:rsid w:val="00D52075"/>
    <w:rsid w:val="00D54FB7"/>
    <w:rsid w:val="00D55265"/>
    <w:rsid w:val="00D70038"/>
    <w:rsid w:val="00D70828"/>
    <w:rsid w:val="00D7113A"/>
    <w:rsid w:val="00D764FB"/>
    <w:rsid w:val="00D80EF9"/>
    <w:rsid w:val="00DA1743"/>
    <w:rsid w:val="00DA5615"/>
    <w:rsid w:val="00DC3216"/>
    <w:rsid w:val="00DC5835"/>
    <w:rsid w:val="00DD057E"/>
    <w:rsid w:val="00E0311D"/>
    <w:rsid w:val="00E33E01"/>
    <w:rsid w:val="00E35078"/>
    <w:rsid w:val="00E4232A"/>
    <w:rsid w:val="00E42981"/>
    <w:rsid w:val="00E431D7"/>
    <w:rsid w:val="00E63718"/>
    <w:rsid w:val="00E700E2"/>
    <w:rsid w:val="00E73663"/>
    <w:rsid w:val="00E92C50"/>
    <w:rsid w:val="00EA37CF"/>
    <w:rsid w:val="00EB2836"/>
    <w:rsid w:val="00EF290E"/>
    <w:rsid w:val="00EF481A"/>
    <w:rsid w:val="00EF571B"/>
    <w:rsid w:val="00F004BD"/>
    <w:rsid w:val="00F012B0"/>
    <w:rsid w:val="00F04321"/>
    <w:rsid w:val="00F0503F"/>
    <w:rsid w:val="00F120F9"/>
    <w:rsid w:val="00F14D53"/>
    <w:rsid w:val="00F21EBE"/>
    <w:rsid w:val="00F2347E"/>
    <w:rsid w:val="00F26508"/>
    <w:rsid w:val="00F563C5"/>
    <w:rsid w:val="00F56A40"/>
    <w:rsid w:val="00F66A0F"/>
    <w:rsid w:val="00F7529D"/>
    <w:rsid w:val="00F75BFC"/>
    <w:rsid w:val="00F82A37"/>
    <w:rsid w:val="00F86B89"/>
    <w:rsid w:val="00F92712"/>
    <w:rsid w:val="00F93149"/>
    <w:rsid w:val="00FA2D20"/>
    <w:rsid w:val="00FB10DE"/>
    <w:rsid w:val="00FB774A"/>
    <w:rsid w:val="00FE5025"/>
    <w:rsid w:val="00FE68FB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  <w14:docId w14:val="29357BEF"/>
  <w15:docId w15:val="{2C58885E-6CFD-40BA-90FD-53707DF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AF9"/>
    <w:pPr>
      <w:keepNext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24AF9"/>
    <w:pPr>
      <w:widowControl w:val="0"/>
      <w:ind w:firstLine="720"/>
      <w:jc w:val="both"/>
    </w:pPr>
    <w:rPr>
      <w:b/>
      <w:snapToGrid w:val="0"/>
      <w:szCs w:val="20"/>
      <w:lang w:val="uk-UA" w:eastAsia="en-US"/>
    </w:rPr>
  </w:style>
  <w:style w:type="paragraph" w:styleId="a3">
    <w:name w:val="Body Text"/>
    <w:basedOn w:val="a"/>
    <w:rsid w:val="00A24AF9"/>
    <w:pPr>
      <w:widowControl w:val="0"/>
      <w:jc w:val="both"/>
    </w:pPr>
    <w:rPr>
      <w:b/>
      <w:snapToGrid w:val="0"/>
      <w:szCs w:val="20"/>
      <w:lang w:val="uk-UA" w:eastAsia="en-US"/>
    </w:rPr>
  </w:style>
  <w:style w:type="character" w:customStyle="1" w:styleId="10">
    <w:name w:val="Заголовок 1 Знак"/>
    <w:link w:val="1"/>
    <w:rsid w:val="00A24AF9"/>
    <w:rPr>
      <w:b/>
      <w:bCs/>
      <w:sz w:val="24"/>
      <w:szCs w:val="24"/>
      <w:lang w:val="ru-RU" w:eastAsia="en-US" w:bidi="ar-SA"/>
    </w:rPr>
  </w:style>
  <w:style w:type="character" w:styleId="a4">
    <w:name w:val="line number"/>
    <w:basedOn w:val="a0"/>
    <w:rsid w:val="00A24AF9"/>
  </w:style>
  <w:style w:type="paragraph" w:styleId="a5">
    <w:name w:val="header"/>
    <w:basedOn w:val="a"/>
    <w:rsid w:val="00A24AF9"/>
    <w:pPr>
      <w:tabs>
        <w:tab w:val="center" w:pos="4819"/>
        <w:tab w:val="right" w:pos="9639"/>
      </w:tabs>
    </w:pPr>
  </w:style>
  <w:style w:type="paragraph" w:styleId="a6">
    <w:name w:val="footer"/>
    <w:basedOn w:val="a"/>
    <w:rsid w:val="00A24AF9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A24AF9"/>
  </w:style>
  <w:style w:type="paragraph" w:styleId="a8">
    <w:name w:val="Normal (Web)"/>
    <w:basedOn w:val="a"/>
    <w:rsid w:val="008360CF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3">
    <w:name w:val="Font Style13"/>
    <w:rsid w:val="00797D7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797D7F"/>
    <w:rPr>
      <w:rFonts w:ascii="Times New Roman" w:hAnsi="Times New Roman" w:cs="Times New Roman"/>
      <w:b/>
      <w:bCs/>
      <w:sz w:val="20"/>
      <w:szCs w:val="20"/>
    </w:rPr>
  </w:style>
  <w:style w:type="table" w:styleId="a9">
    <w:name w:val="Table Grid"/>
    <w:basedOn w:val="a1"/>
    <w:rsid w:val="000D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 Знак Знак"/>
    <w:basedOn w:val="a"/>
    <w:rsid w:val="00AC0D49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AD5E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5EC4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D5E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5EC4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D5E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D5EC4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D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DA73-D02E-410E-9083-BFAABDD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5280</Words>
  <Characters>3011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dc:description/>
  <cp:lastModifiedBy>admin</cp:lastModifiedBy>
  <cp:revision>12</cp:revision>
  <dcterms:created xsi:type="dcterms:W3CDTF">2025-06-09T19:17:00Z</dcterms:created>
  <dcterms:modified xsi:type="dcterms:W3CDTF">2025-06-18T16:05:00Z</dcterms:modified>
</cp:coreProperties>
</file>