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3F0F5" w14:textId="77777777" w:rsidR="00A50DD0" w:rsidRPr="00BB3C4B" w:rsidRDefault="00A50DD0" w:rsidP="00A50D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3C4B">
        <w:rPr>
          <w:rFonts w:ascii="Times New Roman" w:hAnsi="Times New Roman"/>
          <w:b/>
          <w:sz w:val="24"/>
          <w:szCs w:val="24"/>
        </w:rPr>
        <w:t>Коротка характеристика препарату</w:t>
      </w:r>
    </w:p>
    <w:p w14:paraId="276F941D" w14:textId="77777777" w:rsidR="00A50DD0" w:rsidRPr="00BB3C4B" w:rsidRDefault="00A50DD0" w:rsidP="00A50DD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bookmarkStart w:id="0" w:name="_Hlk52815589"/>
      <w:r w:rsidRPr="00BB3C4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1. Назва</w:t>
      </w:r>
    </w:p>
    <w:bookmarkEnd w:id="0"/>
    <w:p w14:paraId="7E91DD58" w14:textId="77777777" w:rsidR="00A50DD0" w:rsidRPr="00BB3C4B" w:rsidRDefault="00A50DD0" w:rsidP="00A50DD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BB3C4B">
        <w:rPr>
          <w:rFonts w:ascii="Times New Roman" w:eastAsia="Times New Roman" w:hAnsi="Times New Roman"/>
          <w:b/>
          <w:bCs/>
          <w:sz w:val="24"/>
          <w:szCs w:val="24"/>
        </w:rPr>
        <w:t xml:space="preserve">         КВАНТЕФЕН </w:t>
      </w:r>
      <w:proofErr w:type="spellStart"/>
      <w:r w:rsidRPr="00BB3C4B">
        <w:rPr>
          <w:rFonts w:ascii="Times New Roman" w:eastAsia="Times New Roman" w:hAnsi="Times New Roman"/>
          <w:b/>
          <w:bCs/>
          <w:sz w:val="24"/>
          <w:szCs w:val="24"/>
        </w:rPr>
        <w:t>антигельмінтні</w:t>
      </w:r>
      <w:proofErr w:type="spellEnd"/>
      <w:r w:rsidRPr="00BB3C4B">
        <w:rPr>
          <w:rFonts w:ascii="Times New Roman" w:eastAsia="Times New Roman" w:hAnsi="Times New Roman"/>
          <w:b/>
          <w:bCs/>
          <w:sz w:val="24"/>
          <w:szCs w:val="24"/>
        </w:rPr>
        <w:t xml:space="preserve"> таблетки для собак та котів</w:t>
      </w:r>
    </w:p>
    <w:p w14:paraId="3CE57DBE" w14:textId="77777777" w:rsidR="00A50DD0" w:rsidRPr="00BB3C4B" w:rsidRDefault="00A50DD0" w:rsidP="00A50DD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B3C4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2. Склад</w:t>
      </w:r>
    </w:p>
    <w:p w14:paraId="557BFDA8" w14:textId="42A41FD3" w:rsidR="002D640D" w:rsidRPr="002D640D" w:rsidRDefault="00A92982" w:rsidP="002D640D">
      <w:pPr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1 таблетка (</w:t>
      </w:r>
      <w:r w:rsidRPr="00A92982">
        <w:rPr>
          <w:rFonts w:ascii="Times New Roman" w:hAnsi="Times New Roman"/>
          <w:bCs/>
          <w:iCs/>
          <w:kern w:val="3"/>
          <w:sz w:val="24"/>
          <w:szCs w:val="24"/>
          <w:lang w:val="ru-RU"/>
        </w:rPr>
        <w:t>0,7</w:t>
      </w: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г) містить</w:t>
      </w:r>
      <w:r w:rsidR="002D640D" w:rsidRPr="002D640D">
        <w:rPr>
          <w:rFonts w:ascii="Times New Roman" w:hAnsi="Times New Roman"/>
          <w:bCs/>
          <w:iCs/>
          <w:kern w:val="3"/>
          <w:sz w:val="24"/>
          <w:szCs w:val="24"/>
          <w:lang w:val="ru-RU"/>
        </w:rPr>
        <w:t xml:space="preserve"> </w:t>
      </w:r>
      <w:r w:rsidR="002D640D" w:rsidRPr="002D640D">
        <w:rPr>
          <w:rFonts w:ascii="Times New Roman" w:hAnsi="Times New Roman"/>
          <w:bCs/>
          <w:iCs/>
          <w:kern w:val="3"/>
          <w:sz w:val="24"/>
          <w:szCs w:val="24"/>
        </w:rPr>
        <w:t>(мг):</w:t>
      </w:r>
    </w:p>
    <w:p w14:paraId="4A43F8F2" w14:textId="0B389EFC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фенбендазол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– 500</w:t>
      </w:r>
      <w:r w:rsidRPr="002D640D">
        <w:rPr>
          <w:rFonts w:ascii="Times New Roman" w:hAnsi="Times New Roman"/>
          <w:bCs/>
          <w:iCs/>
          <w:kern w:val="3"/>
          <w:sz w:val="24"/>
          <w:szCs w:val="24"/>
        </w:rPr>
        <w:t>;</w:t>
      </w:r>
      <w:r w:rsidR="002D640D" w:rsidRPr="002D640D">
        <w:rPr>
          <w:rFonts w:ascii="Times New Roman" w:hAnsi="Times New Roman"/>
          <w:bCs/>
          <w:iCs/>
          <w:kern w:val="3"/>
          <w:sz w:val="24"/>
          <w:szCs w:val="24"/>
        </w:rPr>
        <w:t xml:space="preserve"> </w:t>
      </w:r>
    </w:p>
    <w:p w14:paraId="2CB22A24" w14:textId="799EEE79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празіквантел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– 50.</w:t>
      </w:r>
    </w:p>
    <w:p w14:paraId="4A0772D5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Допоміжні речовини: целюлоза мікрокристалічна, кремній колоїдний, магнію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стеарат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, лактоза, ароматизатор штучний.</w:t>
      </w:r>
    </w:p>
    <w:p w14:paraId="0B0F6409" w14:textId="1ACD215C" w:rsidR="00A50DD0" w:rsidRPr="00BB3C4B" w:rsidRDefault="00A50DD0" w:rsidP="00E92DF8">
      <w:pPr>
        <w:spacing w:line="240" w:lineRule="atLeast"/>
        <w:ind w:firstLine="567"/>
        <w:contextualSpacing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>3. Фармацевтична форма</w:t>
      </w:r>
    </w:p>
    <w:p w14:paraId="687D66F6" w14:textId="77777777" w:rsidR="00A50DD0" w:rsidRPr="00BB3C4B" w:rsidRDefault="00A50DD0" w:rsidP="00A50D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3C4B">
        <w:rPr>
          <w:rFonts w:ascii="Times New Roman" w:hAnsi="Times New Roman"/>
          <w:sz w:val="24"/>
          <w:szCs w:val="24"/>
        </w:rPr>
        <w:t>Таблетки.</w:t>
      </w:r>
    </w:p>
    <w:p w14:paraId="2DE3E653" w14:textId="77777777" w:rsidR="00A50DD0" w:rsidRPr="00BB3C4B" w:rsidRDefault="00A50DD0" w:rsidP="00A50D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>4. Фармакологічні властивості</w:t>
      </w:r>
    </w:p>
    <w:p w14:paraId="1E52BFC1" w14:textId="77777777" w:rsidR="00A92982" w:rsidRPr="00A92982" w:rsidRDefault="00A92982" w:rsidP="00A92982">
      <w:pPr>
        <w:spacing w:after="0" w:line="240" w:lineRule="auto"/>
        <w:ind w:firstLine="567"/>
        <w:contextualSpacing/>
        <w:rPr>
          <w:rFonts w:ascii="Times New Roman" w:hAnsi="Times New Roman"/>
          <w:b/>
          <w:i/>
          <w:kern w:val="3"/>
          <w:sz w:val="24"/>
          <w:szCs w:val="24"/>
        </w:rPr>
      </w:pPr>
      <w:bookmarkStart w:id="1" w:name="bookmark6"/>
      <w:proofErr w:type="spellStart"/>
      <w:r w:rsidRPr="00A92982">
        <w:rPr>
          <w:rFonts w:ascii="Times New Roman" w:hAnsi="Times New Roman"/>
          <w:b/>
          <w:i/>
          <w:kern w:val="3"/>
          <w:sz w:val="24"/>
          <w:szCs w:val="24"/>
          <w:lang w:val="en-US"/>
        </w:rPr>
        <w:t>ATCvet</w:t>
      </w:r>
      <w:proofErr w:type="spellEnd"/>
      <w:r w:rsidRPr="00A92982">
        <w:rPr>
          <w:rFonts w:ascii="Times New Roman" w:hAnsi="Times New Roman"/>
          <w:b/>
          <w:i/>
          <w:kern w:val="3"/>
          <w:sz w:val="24"/>
          <w:szCs w:val="24"/>
        </w:rPr>
        <w:t xml:space="preserve"> </w:t>
      </w:r>
      <w:r w:rsidRPr="00A92982">
        <w:rPr>
          <w:rFonts w:ascii="Times New Roman" w:hAnsi="Times New Roman"/>
          <w:b/>
          <w:i/>
          <w:kern w:val="3"/>
          <w:sz w:val="24"/>
          <w:szCs w:val="24"/>
          <w:lang w:val="en-US"/>
        </w:rPr>
        <w:t>QP</w:t>
      </w:r>
      <w:r w:rsidRPr="00A92982">
        <w:rPr>
          <w:rFonts w:ascii="Times New Roman" w:hAnsi="Times New Roman"/>
          <w:b/>
          <w:i/>
          <w:kern w:val="3"/>
          <w:sz w:val="24"/>
          <w:szCs w:val="24"/>
        </w:rPr>
        <w:t xml:space="preserve">52, </w:t>
      </w:r>
      <w:proofErr w:type="spellStart"/>
      <w:r w:rsidRPr="00A92982">
        <w:rPr>
          <w:rFonts w:ascii="Times New Roman" w:hAnsi="Times New Roman"/>
          <w:b/>
          <w:i/>
          <w:kern w:val="3"/>
          <w:sz w:val="24"/>
          <w:szCs w:val="24"/>
        </w:rPr>
        <w:t>антигельмінтні</w:t>
      </w:r>
      <w:proofErr w:type="spellEnd"/>
      <w:r w:rsidRPr="00A92982">
        <w:rPr>
          <w:rFonts w:ascii="Times New Roman" w:hAnsi="Times New Roman"/>
          <w:b/>
          <w:i/>
          <w:kern w:val="3"/>
          <w:sz w:val="24"/>
          <w:szCs w:val="24"/>
        </w:rPr>
        <w:t xml:space="preserve"> препарати (</w:t>
      </w:r>
      <w:r w:rsidRPr="00A92982">
        <w:rPr>
          <w:rFonts w:ascii="Times New Roman" w:hAnsi="Times New Roman"/>
          <w:b/>
          <w:i/>
          <w:kern w:val="3"/>
          <w:sz w:val="24"/>
          <w:szCs w:val="24"/>
          <w:lang w:val="en-US"/>
        </w:rPr>
        <w:t>QP</w:t>
      </w:r>
      <w:r w:rsidRPr="00A92982">
        <w:rPr>
          <w:rFonts w:ascii="Times New Roman" w:hAnsi="Times New Roman"/>
          <w:b/>
          <w:i/>
          <w:kern w:val="3"/>
          <w:sz w:val="24"/>
          <w:szCs w:val="24"/>
        </w:rPr>
        <w:t xml:space="preserve"> 52</w:t>
      </w:r>
      <w:r w:rsidRPr="00A92982">
        <w:rPr>
          <w:rFonts w:ascii="Times New Roman" w:hAnsi="Times New Roman"/>
          <w:b/>
          <w:i/>
          <w:kern w:val="3"/>
          <w:sz w:val="24"/>
          <w:szCs w:val="24"/>
          <w:lang w:val="en-US"/>
        </w:rPr>
        <w:t>AC</w:t>
      </w:r>
      <w:r w:rsidRPr="00A92982">
        <w:rPr>
          <w:rFonts w:ascii="Times New Roman" w:hAnsi="Times New Roman"/>
          <w:b/>
          <w:i/>
          <w:kern w:val="3"/>
          <w:sz w:val="24"/>
          <w:szCs w:val="24"/>
        </w:rPr>
        <w:t xml:space="preserve">13 </w:t>
      </w:r>
      <w:proofErr w:type="spellStart"/>
      <w:r w:rsidRPr="00A92982">
        <w:rPr>
          <w:rFonts w:ascii="Times New Roman" w:hAnsi="Times New Roman"/>
          <w:b/>
          <w:i/>
          <w:kern w:val="3"/>
          <w:sz w:val="24"/>
          <w:szCs w:val="24"/>
        </w:rPr>
        <w:t>фенбендазол</w:t>
      </w:r>
      <w:proofErr w:type="spellEnd"/>
      <w:r w:rsidRPr="00A92982">
        <w:rPr>
          <w:rFonts w:ascii="Times New Roman" w:hAnsi="Times New Roman"/>
          <w:b/>
          <w:i/>
          <w:kern w:val="3"/>
          <w:sz w:val="24"/>
          <w:szCs w:val="24"/>
        </w:rPr>
        <w:t>, комбінації)</w:t>
      </w:r>
    </w:p>
    <w:p w14:paraId="1282F6BB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КВАНТЕФЕН -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антигельмінтний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препарат у вигляді таблеток для собак і котів для л</w:t>
      </w:r>
      <w:r w:rsidRPr="00A92982">
        <w:rPr>
          <w:rFonts w:ascii="Times New Roman" w:eastAsia="Times New Roman" w:hAnsi="Times New Roman"/>
          <w:sz w:val="24"/>
          <w:szCs w:val="24"/>
        </w:rPr>
        <w:t>ікувально-профілактичних дегельмінтизацій</w:t>
      </w:r>
      <w:r w:rsidRPr="00A92982">
        <w:rPr>
          <w:rFonts w:ascii="Times New Roman" w:eastAsia="Times New Roman" w:hAnsi="Times New Roman"/>
          <w:bCs/>
          <w:iCs/>
          <w:kern w:val="3"/>
          <w:sz w:val="24"/>
          <w:szCs w:val="24"/>
        </w:rPr>
        <w:t xml:space="preserve"> </w:t>
      </w: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за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нематодозів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травного каналу та дихальних шляхів,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цестодозів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,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трематодозів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та змішаних інвазіях.</w:t>
      </w:r>
    </w:p>
    <w:p w14:paraId="454022F3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Комбінація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фенбендазолу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та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празіквантелу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, що входять до складу препарату, забезпечує широкий спектр його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антигельмінтної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дії на всі фази розвитку гельмінтів, що паразитують у собак та цуценят, котів та кошенят.</w:t>
      </w:r>
    </w:p>
    <w:p w14:paraId="488994E6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Фенбендазол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 із групи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бензімідазолів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 гальмує в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гелъмінтів</w:t>
      </w:r>
      <w:proofErr w:type="spellEnd"/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полімеризацію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білків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тубулінів</w:t>
      </w:r>
      <w:proofErr w:type="spellEnd"/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у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мікротубуліни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>,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знижус</w:t>
      </w:r>
      <w:proofErr w:type="spellEnd"/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активність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енергетичних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ферментів.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Препарат викликає порушення метаболізму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у гельмінтів,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 xml:space="preserve">у наслідок чого знижуються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засвосння</w:t>
      </w:r>
      <w:proofErr w:type="spellEnd"/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глюкози,</w:t>
      </w:r>
      <w:r w:rsidRPr="00A9298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мітохондріальні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реакцїі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, порушується мітоз клітин. У результаті цих процесів настає повне </w:t>
      </w:r>
      <w:r w:rsidRPr="00A92982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виснаження</w:t>
      </w:r>
      <w:r w:rsidRPr="00A92982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паразитів,</w:t>
      </w:r>
      <w:r w:rsidRPr="00A92982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що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призводить</w:t>
      </w:r>
      <w:r w:rsidRPr="00A92982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до</w:t>
      </w:r>
      <w:r w:rsidRPr="00A92982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ïx</w:t>
      </w:r>
      <w:r w:rsidRPr="00A9298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>загибелі.</w:t>
      </w:r>
    </w:p>
    <w:p w14:paraId="6122267A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bookmarkStart w:id="2" w:name="_Hlk182482980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Після перорального введення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фенбендазол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всмоктується частково,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метаболізується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в печінці до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сульфоксиду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(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оксфендазол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) і далі - до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сульфону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(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оксфендазол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сульфон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).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Фенбендазол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та його метаболіти розповсюджуються по органах і тканинах, досягаючи найвищої концентрації у печінці тварини. Виведення з організму відбувається переважно з фекаліями, незначною мірою - з сечею. Період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напіввиведення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з плазми крові становить від 12 до 18 годин у собак. Екскреція незміненого та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метаболізованого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фенбендазолу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(&gt; 90 %) з фекаліями, незначно з сечею та молоком.</w:t>
      </w:r>
    </w:p>
    <w:p w14:paraId="762AF7E0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Празіквантел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</w:t>
      </w:r>
      <w:r w:rsidRPr="00A92982">
        <w:rPr>
          <w:rFonts w:ascii="Times New Roman" w:eastAsia="Times New Roman" w:hAnsi="Times New Roman"/>
          <w:sz w:val="24"/>
          <w:szCs w:val="24"/>
        </w:rPr>
        <w:t xml:space="preserve">є похідним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піразинізохінолонів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, ефективний проти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цестод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, підвищує проникність мембран клітин гельмінта для іонів кальцію, викликає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генералізоване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скорочення мускулатури паразита, що переходить в стійкий параліч, що призводить до загибелі гельмінтів. При пероральному введенні лікарського препарату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празіквантел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добре всмоктується в кишечнику, досягаючи максимальної концентрації крові через 1-4 години, зв'язується білками плазми (до 80%), піддається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біотрансформації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в печінці з утворенням неактивних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моно-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і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полігідроксілованих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метаболітів. Виводиться з організму переважно з сечею, і в незначних кількостях - з фекаліями.</w:t>
      </w:r>
    </w:p>
    <w:bookmarkEnd w:id="2"/>
    <w:p w14:paraId="180B45C5" w14:textId="77777777" w:rsidR="00A50DD0" w:rsidRPr="00BB3C4B" w:rsidRDefault="00A50DD0" w:rsidP="00A50DD0">
      <w:pPr>
        <w:keepNext/>
        <w:keepLines/>
        <w:widowControl w:val="0"/>
        <w:tabs>
          <w:tab w:val="left" w:pos="963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B3C4B">
        <w:rPr>
          <w:rFonts w:ascii="Times New Roman" w:hAnsi="Times New Roman"/>
          <w:b/>
          <w:sz w:val="24"/>
          <w:szCs w:val="24"/>
          <w:lang w:eastAsia="uk-UA"/>
        </w:rPr>
        <w:t>5. Клінічні особливості</w:t>
      </w:r>
      <w:bookmarkEnd w:id="1"/>
    </w:p>
    <w:p w14:paraId="03804567" w14:textId="77777777" w:rsidR="00A50DD0" w:rsidRPr="00BB3C4B" w:rsidRDefault="00A50DD0" w:rsidP="00A50DD0">
      <w:pPr>
        <w:keepNext/>
        <w:keepLines/>
        <w:widowControl w:val="0"/>
        <w:tabs>
          <w:tab w:val="left" w:pos="1069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bookmarkStart w:id="3" w:name="bookmark7"/>
      <w:r w:rsidRPr="00BB3C4B">
        <w:rPr>
          <w:rFonts w:ascii="Times New Roman" w:hAnsi="Times New Roman"/>
          <w:b/>
          <w:sz w:val="24"/>
          <w:szCs w:val="24"/>
          <w:lang w:eastAsia="uk-UA"/>
        </w:rPr>
        <w:t>5.1 Вид тварин</w:t>
      </w:r>
      <w:bookmarkEnd w:id="3"/>
    </w:p>
    <w:p w14:paraId="6AF321AF" w14:textId="511FD472" w:rsidR="00A50DD0" w:rsidRPr="00BB3C4B" w:rsidRDefault="00A92982" w:rsidP="00A50DD0">
      <w:pPr>
        <w:keepNext/>
        <w:keepLines/>
        <w:widowControl w:val="0"/>
        <w:tabs>
          <w:tab w:val="left" w:pos="1074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pacing w:val="5"/>
          <w:sz w:val="24"/>
          <w:szCs w:val="24"/>
        </w:rPr>
      </w:pPr>
      <w:bookmarkStart w:id="4" w:name="bookmark8"/>
      <w:r>
        <w:rPr>
          <w:rFonts w:ascii="Times New Roman" w:eastAsia="Times New Roman" w:hAnsi="Times New Roman"/>
          <w:spacing w:val="5"/>
          <w:sz w:val="24"/>
          <w:szCs w:val="24"/>
        </w:rPr>
        <w:t>Собаки та цуценята, коти та кошенята.</w:t>
      </w:r>
    </w:p>
    <w:p w14:paraId="0C60294B" w14:textId="77777777" w:rsidR="00A50DD0" w:rsidRPr="00BB3C4B" w:rsidRDefault="00A50DD0" w:rsidP="00A50DD0">
      <w:pPr>
        <w:keepNext/>
        <w:keepLines/>
        <w:widowControl w:val="0"/>
        <w:tabs>
          <w:tab w:val="left" w:pos="107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  <w:lang w:eastAsia="uk-UA"/>
        </w:rPr>
      </w:pPr>
      <w:r w:rsidRPr="00BB3C4B">
        <w:rPr>
          <w:rFonts w:ascii="Times New Roman" w:hAnsi="Times New Roman"/>
          <w:b/>
          <w:sz w:val="24"/>
          <w:szCs w:val="24"/>
          <w:lang w:eastAsia="uk-UA"/>
        </w:rPr>
        <w:t>5.2 Показання до застосування</w:t>
      </w:r>
      <w:bookmarkEnd w:id="4"/>
    </w:p>
    <w:p w14:paraId="37316399" w14:textId="77777777" w:rsidR="00A92982" w:rsidRPr="00A92982" w:rsidRDefault="00A92982" w:rsidP="00A92982">
      <w:pPr>
        <w:widowControl w:val="0"/>
        <w:spacing w:after="0" w:line="240" w:lineRule="auto"/>
        <w:ind w:firstLine="567"/>
        <w:jc w:val="both"/>
        <w:rPr>
          <w:rFonts w:ascii="Times New Roman" w:eastAsia="Aptos" w:hAnsi="Times New Roman"/>
          <w:kern w:val="2"/>
          <w:sz w:val="24"/>
          <w:szCs w:val="24"/>
          <w14:ligatures w14:val="standardContextual"/>
        </w:rPr>
      </w:pPr>
      <w:r w:rsidRPr="00A92982">
        <w:rPr>
          <w:rFonts w:ascii="Times New Roman" w:eastAsia="Aptos" w:hAnsi="Times New Roman"/>
          <w:kern w:val="2"/>
          <w:sz w:val="24"/>
          <w:szCs w:val="24"/>
          <w14:ligatures w14:val="standardContextual"/>
        </w:rPr>
        <w:t>Лікувально-профілактична дегельмінтизація</w:t>
      </w:r>
      <w:r w:rsidRPr="00A92982"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  <w:t xml:space="preserve"> собак та цуценят, котів та кошенят</w:t>
      </w:r>
      <w:r w:rsidRPr="00A92982">
        <w:rPr>
          <w:rFonts w:ascii="Times New Roman" w:eastAsia="Aptos" w:hAnsi="Times New Roman"/>
          <w:kern w:val="2"/>
          <w:sz w:val="24"/>
          <w:szCs w:val="24"/>
          <w14:ligatures w14:val="standardContextual"/>
        </w:rPr>
        <w:t>:</w:t>
      </w:r>
    </w:p>
    <w:p w14:paraId="7CC6BB92" w14:textId="77777777" w:rsidR="00A92982" w:rsidRPr="00A92982" w:rsidRDefault="00A92982" w:rsidP="00A92982">
      <w:pPr>
        <w:widowControl w:val="0"/>
        <w:spacing w:after="0" w:line="240" w:lineRule="auto"/>
        <w:ind w:firstLine="567"/>
        <w:jc w:val="both"/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</w:pPr>
      <w:r w:rsidRPr="00A92982"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  <w:t xml:space="preserve">• за </w:t>
      </w:r>
      <w:proofErr w:type="spellStart"/>
      <w:r w:rsidRPr="00A92982"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  <w:t>нематодозів</w:t>
      </w:r>
      <w:proofErr w:type="spellEnd"/>
      <w:r w:rsidRPr="00A92982"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  <w:t xml:space="preserve"> травного каналу та дихальних шляхів</w:t>
      </w:r>
      <w:r w:rsidRPr="00A92982">
        <w:rPr>
          <w:rFonts w:ascii="Times New Roman" w:eastAsia="Aptos" w:hAnsi="Times New Roman"/>
          <w:kern w:val="2"/>
          <w:sz w:val="24"/>
          <w:szCs w:val="24"/>
          <w14:ligatures w14:val="standardContextual"/>
        </w:rPr>
        <w:t xml:space="preserve">: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Toxocara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canis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, T.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cati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,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Toxocara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mystax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,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Toxascaris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leonina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,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Ancylostoma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caninum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,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Uncinaria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stenocephala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,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Trichuris</w:t>
      </w:r>
      <w:proofErr w:type="spellEnd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bCs/>
          <w:i/>
          <w:kern w:val="3"/>
          <w:sz w:val="24"/>
          <w:szCs w:val="24"/>
          <w14:ligatures w14:val="standardContextual"/>
        </w:rPr>
        <w:t>vulpi</w:t>
      </w:r>
      <w:r w:rsidRPr="00A92982"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  <w:t>s</w:t>
      </w:r>
      <w:proofErr w:type="spellEnd"/>
      <w:r w:rsidRPr="00A92982"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  <w:t>,</w:t>
      </w:r>
      <w:r w:rsidRPr="00A92982">
        <w:rPr>
          <w:rFonts w:ascii="Times New Roman" w:eastAsia="Tahoma" w:hAnsi="Times New Roman"/>
          <w:b/>
          <w:bCs/>
          <w:kern w:val="24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i/>
          <w:kern w:val="3"/>
          <w:sz w:val="24"/>
          <w:szCs w:val="24"/>
          <w14:ligatures w14:val="standardContextual"/>
        </w:rPr>
        <w:t>Trichuris</w:t>
      </w:r>
      <w:proofErr w:type="spellEnd"/>
      <w:r w:rsidRPr="00A92982">
        <w:rPr>
          <w:rFonts w:ascii="Times New Roman" w:eastAsia="Aptos" w:hAnsi="Times New Roman"/>
          <w:i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i/>
          <w:kern w:val="3"/>
          <w:sz w:val="24"/>
          <w:szCs w:val="24"/>
          <w:lang w:val="en-US"/>
          <w14:ligatures w14:val="standardContextual"/>
        </w:rPr>
        <w:t>felis</w:t>
      </w:r>
      <w:proofErr w:type="spellEnd"/>
      <w:r w:rsidRPr="00A92982">
        <w:rPr>
          <w:rFonts w:ascii="Times New Roman" w:eastAsia="Aptos" w:hAnsi="Times New Roman"/>
          <w:i/>
          <w:kern w:val="3"/>
          <w:sz w:val="24"/>
          <w:szCs w:val="24"/>
          <w14:ligatures w14:val="standardContextual"/>
        </w:rPr>
        <w:t>,</w:t>
      </w:r>
      <w:r w:rsidRPr="00A92982">
        <w:rPr>
          <w:rFonts w:ascii="Times New Roman" w:eastAsia="Tahoma" w:hAnsi="Times New Roman"/>
          <w:b/>
          <w:bCs/>
          <w:i/>
          <w:iCs/>
          <w:kern w:val="2"/>
          <w:sz w:val="24"/>
          <w:szCs w:val="24"/>
          <w:highlight w:val="white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i/>
          <w:iCs/>
          <w:kern w:val="3"/>
          <w:sz w:val="24"/>
          <w:szCs w:val="24"/>
          <w14:ligatures w14:val="standardContextual"/>
        </w:rPr>
        <w:t>Strongyloides</w:t>
      </w:r>
      <w:proofErr w:type="spellEnd"/>
      <w:r w:rsidRPr="00A92982">
        <w:rPr>
          <w:rFonts w:ascii="Times New Roman" w:eastAsia="Aptos" w:hAnsi="Times New Roman"/>
          <w:i/>
          <w:iCs/>
          <w:kern w:val="3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i/>
          <w:iCs/>
          <w:kern w:val="3"/>
          <w:sz w:val="24"/>
          <w:szCs w:val="24"/>
          <w14:ligatures w14:val="standardContextual"/>
        </w:rPr>
        <w:t>stercoralis</w:t>
      </w:r>
      <w:proofErr w:type="spellEnd"/>
      <w:r w:rsidRPr="00A92982">
        <w:rPr>
          <w:rFonts w:ascii="Times New Roman" w:eastAsia="Aptos" w:hAnsi="Times New Roman"/>
          <w:i/>
          <w:iCs/>
          <w:kern w:val="3"/>
          <w:sz w:val="24"/>
          <w:szCs w:val="24"/>
          <w14:ligatures w14:val="standardContextual"/>
        </w:rPr>
        <w:t>,</w:t>
      </w:r>
      <w:r w:rsidRPr="00A92982">
        <w:rPr>
          <w:rFonts w:ascii="Times New Roman" w:eastAsia="Aptos" w:hAnsi="Times New Roman"/>
          <w:b/>
          <w:bCs/>
          <w:iCs/>
          <w:kern w:val="3"/>
          <w:sz w:val="24"/>
          <w:szCs w:val="24"/>
          <w14:ligatures w14:val="standardContextual"/>
        </w:rPr>
        <w:t> </w:t>
      </w:r>
      <w:r w:rsidRPr="00A92982">
        <w:rPr>
          <w:rFonts w:ascii="Times New Roman" w:eastAsia="Aptos" w:hAnsi="Times New Roman"/>
          <w:b/>
          <w:bCs/>
          <w:i/>
          <w:iCs/>
          <w:spacing w:val="-2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>Eucoleus</w:t>
      </w:r>
      <w:proofErr w:type="spellEnd"/>
      <w:r w:rsidRPr="00A929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A929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>aerophilus</w:t>
      </w:r>
      <w:proofErr w:type="spellEnd"/>
      <w:r w:rsidRPr="00A929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> </w:t>
      </w:r>
      <w:r w:rsidRPr="00A9298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>(</w:t>
      </w:r>
      <w:proofErr w:type="spellStart"/>
      <w:r w:rsidRPr="00A9298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>син.</w:t>
      </w:r>
      <w:r w:rsidRPr="00A929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> Capil</w:t>
      </w:r>
      <w:proofErr w:type="spellEnd"/>
      <w:r w:rsidRPr="00A929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 xml:space="preserve">laria </w:t>
      </w:r>
      <w:proofErr w:type="spellStart"/>
      <w:r w:rsidRPr="00A929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>aerophila</w:t>
      </w:r>
      <w:proofErr w:type="spellEnd"/>
      <w:r w:rsidRPr="00A9298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>)</w:t>
      </w:r>
      <w:r w:rsidRPr="00A92982">
        <w:rPr>
          <w:rFonts w:ascii="Times New Roman" w:eastAsia="Aptos" w:hAnsi="Times New Roman"/>
          <w:bCs/>
          <w:iCs/>
          <w:kern w:val="3"/>
          <w:sz w:val="24"/>
          <w:szCs w:val="24"/>
          <w14:ligatures w14:val="standardContextual"/>
        </w:rPr>
        <w:t>;</w:t>
      </w:r>
    </w:p>
    <w:p w14:paraId="6F16CBD1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• за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цестодозів</w:t>
      </w:r>
      <w:proofErr w:type="spellEnd"/>
      <w:r w:rsidRPr="00A92982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val="de-DE" w:eastAsia="de-DE"/>
        </w:rPr>
        <w:t>імагінальних</w:t>
      </w:r>
      <w:proofErr w:type="spellEnd"/>
      <w:r w:rsidRPr="00A92982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val="de-DE" w:eastAsia="de-DE"/>
        </w:rPr>
        <w:t>та</w:t>
      </w:r>
      <w:proofErr w:type="spellEnd"/>
      <w:r w:rsidRPr="00A92982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val="de-DE" w:eastAsia="de-DE"/>
        </w:rPr>
        <w:t>преімагінальних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Dipylidium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caninum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,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Taenia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spp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.,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Echinococcus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granulosus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,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Alveococcus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multilocularis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,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Mesocestoides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spp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.,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Diphyllobothrium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latum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;</w:t>
      </w:r>
    </w:p>
    <w:p w14:paraId="589613D3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• за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трематодозів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Alaria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spp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.,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Opisthorchis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felineus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.</w:t>
      </w:r>
    </w:p>
    <w:p w14:paraId="10836C15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lastRenderedPageBreak/>
        <w:t xml:space="preserve">• </w:t>
      </w:r>
      <w:r w:rsidRPr="00A92982">
        <w:rPr>
          <w:rFonts w:ascii="Times New Roman" w:eastAsia="Times New Roman" w:hAnsi="Times New Roman"/>
          <w:bCs/>
          <w:sz w:val="24"/>
          <w:szCs w:val="24"/>
        </w:rPr>
        <w:t xml:space="preserve">Профілактика та лікування </w:t>
      </w:r>
      <w:proofErr w:type="spellStart"/>
      <w:r w:rsidRPr="00A92982">
        <w:rPr>
          <w:rFonts w:ascii="Times New Roman" w:eastAsia="Times New Roman" w:hAnsi="Times New Roman"/>
          <w:sz w:val="24"/>
          <w:szCs w:val="24"/>
        </w:rPr>
        <w:t>гіардіозу</w:t>
      </w:r>
      <w:proofErr w:type="spellEnd"/>
      <w:r w:rsidRPr="00A92982">
        <w:rPr>
          <w:rFonts w:ascii="Times New Roman" w:eastAsia="Times New Roman" w:hAnsi="Times New Roman"/>
          <w:bCs/>
          <w:sz w:val="24"/>
          <w:szCs w:val="24"/>
        </w:rPr>
        <w:t>/лямбліозу</w:t>
      </w:r>
      <w:r w:rsidRPr="00A92982">
        <w:rPr>
          <w:rFonts w:ascii="Times New Roman" w:eastAsia="Times New Roman" w:hAnsi="Times New Roman"/>
          <w:sz w:val="24"/>
          <w:szCs w:val="24"/>
        </w:rPr>
        <w:t>:</w:t>
      </w:r>
      <w:r w:rsidRPr="00A92982">
        <w:rPr>
          <w:rFonts w:ascii="Times New Roman" w:eastAsia="Tahoma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i/>
          <w:iCs/>
          <w:sz w:val="24"/>
          <w:szCs w:val="24"/>
        </w:rPr>
        <w:t>Giardia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spp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.</w:t>
      </w:r>
      <w:r w:rsidRPr="00A92982">
        <w:rPr>
          <w:rFonts w:ascii="Times New Roman" w:eastAsia="Times New Roman" w:hAnsi="Times New Roman"/>
          <w:bCs/>
          <w:sz w:val="24"/>
          <w:szCs w:val="24"/>
        </w:rPr>
        <w:t>/</w:t>
      </w:r>
      <w:proofErr w:type="spellStart"/>
      <w:proofErr w:type="gramStart"/>
      <w:r w:rsidRPr="00A92982">
        <w:rPr>
          <w:rFonts w:ascii="Times New Roman" w:eastAsia="Times New Roman" w:hAnsi="Times New Roman"/>
          <w:sz w:val="24"/>
          <w:szCs w:val="24"/>
          <w:lang w:val="en-US"/>
        </w:rPr>
        <w:t>syn</w:t>
      </w:r>
      <w:proofErr w:type="spellEnd"/>
      <w:proofErr w:type="gramEnd"/>
      <w:r w:rsidRPr="00A92982">
        <w:rPr>
          <w:rFonts w:ascii="Times New Roman" w:eastAsia="Times New Roman" w:hAnsi="Times New Roman"/>
          <w:sz w:val="24"/>
          <w:szCs w:val="24"/>
        </w:rPr>
        <w:t>.</w:t>
      </w:r>
      <w:r w:rsidRPr="00A92982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Lamblia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spp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..</w:t>
      </w:r>
    </w:p>
    <w:p w14:paraId="54EC38C8" w14:textId="5A8CC71B" w:rsidR="00A50DD0" w:rsidRPr="00BB3C4B" w:rsidRDefault="00A50DD0" w:rsidP="00A50DD0">
      <w:pPr>
        <w:spacing w:after="0" w:line="240" w:lineRule="auto"/>
        <w:ind w:firstLine="56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uk-UA"/>
        </w:rPr>
      </w:pPr>
      <w:r w:rsidRPr="00BB3C4B">
        <w:rPr>
          <w:rFonts w:ascii="Times New Roman" w:eastAsia="Times New Roman" w:hAnsi="Times New Roman"/>
          <w:b/>
          <w:snapToGrid w:val="0"/>
          <w:sz w:val="24"/>
          <w:szCs w:val="24"/>
          <w:lang w:eastAsia="uk-UA"/>
        </w:rPr>
        <w:t xml:space="preserve">  5.3 Протипоказання</w:t>
      </w:r>
    </w:p>
    <w:p w14:paraId="6E785FD2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Підвищена індивідуальна чутливість до компонентів препарату!</w:t>
      </w:r>
    </w:p>
    <w:p w14:paraId="1B00F0B4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Не застосовувати виснаженим та ослабленим тваринам.</w:t>
      </w:r>
    </w:p>
    <w:p w14:paraId="0E1EF526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Не застосовувати самкам під час вагітності та лактації.</w:t>
      </w:r>
    </w:p>
    <w:p w14:paraId="54AF586B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Не застосовувати цуценятам та кошенятам молодше 3-тижневого віку.</w:t>
      </w:r>
    </w:p>
    <w:p w14:paraId="65DFE1C0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Не застосовувати хворим на інфекційні захворювання тваринам!</w:t>
      </w:r>
    </w:p>
    <w:p w14:paraId="58E47DA2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Не застосовувати одночасно з піперазином та засобами, що інгібують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холінестеразу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.</w:t>
      </w:r>
    </w:p>
    <w:p w14:paraId="371BDC22" w14:textId="77777777" w:rsidR="00A50DD0" w:rsidRPr="00BB3C4B" w:rsidRDefault="00A50DD0" w:rsidP="00A50DD0">
      <w:pPr>
        <w:spacing w:line="240" w:lineRule="atLeast"/>
        <w:ind w:firstLine="709"/>
        <w:contextualSpacing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 xml:space="preserve"> 5.4 Побічна дія</w:t>
      </w:r>
    </w:p>
    <w:p w14:paraId="0A422F0A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При застосуванні препарату відповідно до цієї інструкції побічних явищ та ускладнень у тварин, як правило, не спостерігається.</w:t>
      </w:r>
    </w:p>
    <w:p w14:paraId="28134CEE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lang w:val="ru-RU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При передозуванні у тварин може спостерігатися пригнічений стан, відмова від корму, надлишкове слиновиділення, розлад травного каналу. У цих випадках вживають загальних заходів</w:t>
      </w:r>
      <w:r w:rsidRPr="00A92982">
        <w:rPr>
          <w:rFonts w:ascii="Times New Roman" w:hAnsi="Times New Roman"/>
          <w:bCs/>
          <w:iCs/>
          <w:kern w:val="3"/>
          <w:sz w:val="24"/>
          <w:szCs w:val="24"/>
          <w:lang w:val="ru-RU"/>
        </w:rPr>
        <w:t>.</w:t>
      </w:r>
    </w:p>
    <w:p w14:paraId="077B0614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Особливостей дії лікарського препарату при його першому застосуванні та скасуванні не виявлено.</w:t>
      </w:r>
    </w:p>
    <w:p w14:paraId="15A4E8E9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При підвищеній індивідуальній чутливості до компонентів препарату та появі алергічних реакцій його використання припиняють та призначають тварині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антигістамінні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препарати та симптоматичну терапію</w:t>
      </w:r>
    </w:p>
    <w:p w14:paraId="5994E995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14:paraId="40D1E46D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color w:val="000000"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При проведенні дегельмінтизації слід дотримуватися термінів, що рекомендуються інструкцією. У разі пропуску чергової обробки застосування препарату відновлюють у тій же дозі за тією самою схемою.</w:t>
      </w:r>
    </w:p>
    <w:p w14:paraId="4F3507A2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color w:val="000000"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 xml:space="preserve">Препарат не слід застосовувати одночасно з піперазином та засобами, що інгібують </w:t>
      </w:r>
      <w:proofErr w:type="spellStart"/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холінестеразу</w:t>
      </w:r>
      <w:proofErr w:type="spellEnd"/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.</w:t>
      </w:r>
    </w:p>
    <w:p w14:paraId="4072AA1E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color w:val="000000"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Препарат не призначений для застосування продуктивним тваринам.</w:t>
      </w:r>
    </w:p>
    <w:p w14:paraId="09F519B1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1AE75825" w14:textId="4B92C60B" w:rsidR="00A50DD0" w:rsidRPr="002212BA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color w:val="000000"/>
          <w:kern w:val="3"/>
          <w:sz w:val="24"/>
          <w:szCs w:val="24"/>
        </w:rPr>
      </w:pPr>
      <w:r w:rsidRPr="002212BA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 xml:space="preserve">Можливість застосування препарату під час вагітності та лактації визначає лікар ветеринарної медицини із врахуванням можливих ризиків. При необхідності вагітним самкам препарат призначають за 3 тижні до передбачуваних пологів, самкам які </w:t>
      </w:r>
      <w:proofErr w:type="spellStart"/>
      <w:r w:rsidRPr="002212BA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годують–</w:t>
      </w:r>
      <w:proofErr w:type="spellEnd"/>
      <w:r w:rsidRPr="002212BA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 xml:space="preserve"> через 2 – 3 тижні після </w:t>
      </w:r>
      <w:r w:rsidR="00E92DF8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родів</w:t>
      </w:r>
      <w:r w:rsidRPr="002212BA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 xml:space="preserve"> під наглядом ветеринарного лікаря.</w:t>
      </w:r>
    </w:p>
    <w:p w14:paraId="382D49CD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3C750674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color w:val="000000"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 xml:space="preserve">Препарат не слід застосовувати одночасно з піперазином та засобами, що інгібують </w:t>
      </w:r>
      <w:proofErr w:type="spellStart"/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холінестеразу</w:t>
      </w:r>
      <w:proofErr w:type="spellEnd"/>
      <w:r w:rsidRPr="00BB3C4B">
        <w:rPr>
          <w:rFonts w:ascii="Times New Roman" w:hAnsi="Times New Roman"/>
          <w:bCs/>
          <w:iCs/>
          <w:color w:val="000000"/>
          <w:kern w:val="3"/>
          <w:sz w:val="24"/>
          <w:szCs w:val="24"/>
        </w:rPr>
        <w:t>.</w:t>
      </w:r>
    </w:p>
    <w:p w14:paraId="708566D4" w14:textId="77777777" w:rsidR="00A50DD0" w:rsidRPr="00BB3C4B" w:rsidRDefault="00A50DD0" w:rsidP="00A50DD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B3C4B">
        <w:rPr>
          <w:rFonts w:ascii="Times New Roman" w:eastAsia="Times New Roman" w:hAnsi="Times New Roman"/>
          <w:b/>
          <w:bCs/>
          <w:sz w:val="24"/>
          <w:szCs w:val="24"/>
        </w:rPr>
        <w:t>5.8 Дозування</w:t>
      </w:r>
    </w:p>
    <w:p w14:paraId="3CC4C9B1" w14:textId="77777777" w:rsidR="00A92982" w:rsidRPr="00A92982" w:rsidRDefault="00A92982" w:rsidP="00A9298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bookmarkStart w:id="5" w:name="bookmark14"/>
      <w:r w:rsidRPr="00A92982">
        <w:rPr>
          <w:rFonts w:ascii="Times New Roman" w:eastAsia="Times New Roman" w:hAnsi="Times New Roman"/>
          <w:sz w:val="24"/>
          <w:szCs w:val="24"/>
        </w:rPr>
        <w:t xml:space="preserve">Препарат призначений для перорального застосування </w:t>
      </w:r>
      <w:r w:rsidRPr="00A92982">
        <w:rPr>
          <w:rFonts w:ascii="Times New Roman" w:eastAsia="Times New Roman" w:hAnsi="Times New Roman"/>
          <w:snapToGrid w:val="0"/>
          <w:sz w:val="24"/>
          <w:szCs w:val="24"/>
        </w:rPr>
        <w:t>(</w:t>
      </w:r>
      <w:proofErr w:type="spellStart"/>
      <w:r w:rsidRPr="00A92982">
        <w:rPr>
          <w:rFonts w:ascii="Times New Roman" w:eastAsia="Times New Roman" w:hAnsi="Times New Roman"/>
          <w:i/>
          <w:iCs/>
          <w:snapToGrid w:val="0"/>
          <w:sz w:val="24"/>
          <w:szCs w:val="24"/>
        </w:rPr>
        <w:t>per</w:t>
      </w:r>
      <w:proofErr w:type="spellEnd"/>
      <w:r w:rsidRPr="00A92982">
        <w:rPr>
          <w:rFonts w:ascii="Times New Roman" w:eastAsia="Times New Roman" w:hAnsi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92982">
        <w:rPr>
          <w:rFonts w:ascii="Times New Roman" w:eastAsia="Times New Roman" w:hAnsi="Times New Roman"/>
          <w:i/>
          <w:iCs/>
          <w:snapToGrid w:val="0"/>
          <w:sz w:val="24"/>
          <w:szCs w:val="24"/>
        </w:rPr>
        <w:t>os</w:t>
      </w:r>
      <w:proofErr w:type="spellEnd"/>
      <w:r w:rsidRPr="00A92982">
        <w:rPr>
          <w:rFonts w:ascii="Times New Roman" w:eastAsia="Times New Roman" w:hAnsi="Times New Roman"/>
          <w:i/>
          <w:iCs/>
          <w:snapToGrid w:val="0"/>
          <w:sz w:val="24"/>
          <w:szCs w:val="24"/>
        </w:rPr>
        <w:t>)</w:t>
      </w:r>
      <w:r w:rsidRPr="00A92982">
        <w:rPr>
          <w:rFonts w:ascii="Times New Roman" w:eastAsia="Times New Roman" w:hAnsi="Times New Roman"/>
          <w:sz w:val="24"/>
          <w:szCs w:val="24"/>
        </w:rPr>
        <w:t>.</w:t>
      </w:r>
      <w:r w:rsidRPr="00A92982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14:paraId="647A7193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>Попередньої голодної дієти та застосування проносних засобів не потрібно.</w:t>
      </w:r>
    </w:p>
    <w:p w14:paraId="48641248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>Препарат застосовують тваринам індивідуально, одноразово, в ранкове годування примусово, або з невеликою кількістю їжі у дозі:</w:t>
      </w:r>
    </w:p>
    <w:p w14:paraId="421E33FD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>- цуценятам та собакам, кошенятам та котам - 1 таблетка на 10 кг маси тварини.</w:t>
      </w:r>
    </w:p>
    <w:p w14:paraId="1BBD56F7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 xml:space="preserve">3 лікувальною метою дегельмінтизацію тварин проводять за показаннями одноразово. В залежності від виду паразита та інтенсивності інвазії курс лікування призначається лікарем ветеринарної медицини і може тривати протягом 3-10 днів. </w:t>
      </w:r>
    </w:p>
    <w:p w14:paraId="49BE0457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>3 профілактичною метою дегельмінтизацію проводять у терапевтичній дозі раз в три місяці, а також за 10 - 14 днів перед кожною вакцинацією.</w:t>
      </w:r>
    </w:p>
    <w:p w14:paraId="19B969CE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 xml:space="preserve">При лікуванні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>гіардіозу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 xml:space="preserve"> препарат застосовується у дозі 1 таблетка на 10 кг ваги тварини, один раз на добу. Тривалість лікування для котів і собак 3-10 днів в залежності від інтенсивності інвазії видом </w:t>
      </w:r>
      <w:proofErr w:type="spellStart"/>
      <w:r w:rsidRPr="00A92982">
        <w:rPr>
          <w:rFonts w:ascii="Times New Roman" w:eastAsia="Times New Roman" w:hAnsi="Times New Roman"/>
          <w:i/>
          <w:iCs/>
          <w:sz w:val="24"/>
          <w:szCs w:val="24"/>
        </w:rPr>
        <w:t>Giardia</w:t>
      </w:r>
      <w:proofErr w:type="spellEnd"/>
      <w:r w:rsidRPr="00A9298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spp</w:t>
      </w:r>
      <w:proofErr w:type="spellEnd"/>
      <w:r w:rsidRPr="00A92982">
        <w:rPr>
          <w:rFonts w:ascii="Times New Roman" w:hAnsi="Times New Roman"/>
          <w:bCs/>
          <w:i/>
          <w:kern w:val="3"/>
          <w:sz w:val="24"/>
          <w:szCs w:val="24"/>
        </w:rPr>
        <w:t>.</w:t>
      </w:r>
      <w:r w:rsidRPr="00A92982">
        <w:rPr>
          <w:rFonts w:ascii="Times New Roman" w:hAnsi="Times New Roman"/>
          <w:bCs/>
          <w:iCs/>
          <w:kern w:val="3"/>
          <w:sz w:val="24"/>
          <w:szCs w:val="24"/>
          <w:shd w:val="clear" w:color="auto" w:fill="FFFFFF"/>
        </w:rPr>
        <w:t>.</w:t>
      </w:r>
    </w:p>
    <w:p w14:paraId="612F5002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BB3C4B">
        <w:rPr>
          <w:rFonts w:ascii="Times New Roman" w:hAnsi="Times New Roman"/>
          <w:b/>
          <w:bCs/>
        </w:rPr>
        <w:t>5.9 Передозування (симптоми, невідкладні заходи, антидоти)</w:t>
      </w:r>
      <w:bookmarkEnd w:id="5"/>
    </w:p>
    <w:p w14:paraId="361BC2A8" w14:textId="34BFCC8C" w:rsidR="00A92982" w:rsidRPr="00A92982" w:rsidRDefault="00A92982" w:rsidP="00A92982">
      <w:pPr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  <w:lang w:val="ru-RU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При передозуванні у тварин може спостерігатися пригнічений стан, відмова від корму, надлишкове слиновиділення, розлад травного каналу. У цих випадках вживають загальних заходів</w:t>
      </w:r>
      <w:r w:rsidRPr="00A92982">
        <w:rPr>
          <w:rFonts w:ascii="Times New Roman" w:hAnsi="Times New Roman"/>
          <w:bCs/>
          <w:iCs/>
          <w:kern w:val="3"/>
          <w:sz w:val="24"/>
          <w:szCs w:val="24"/>
          <w:lang w:val="ru-RU"/>
        </w:rPr>
        <w:t>.</w:t>
      </w:r>
    </w:p>
    <w:p w14:paraId="4FC5EA2C" w14:textId="62076DE9" w:rsidR="00A50DD0" w:rsidRPr="00BB3C4B" w:rsidRDefault="00A50DD0" w:rsidP="00A50D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</w:rPr>
      </w:pPr>
      <w:r w:rsidRPr="00BB3C4B">
        <w:rPr>
          <w:rFonts w:ascii="Times New Roman" w:eastAsia="Times New Roman" w:hAnsi="Times New Roman"/>
          <w:b/>
          <w:snapToGrid w:val="0"/>
          <w:sz w:val="24"/>
          <w:szCs w:val="24"/>
        </w:rPr>
        <w:lastRenderedPageBreak/>
        <w:t xml:space="preserve"> </w:t>
      </w:r>
      <w:bookmarkStart w:id="6" w:name="bookmark15"/>
      <w:r w:rsidRPr="00BB3C4B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      </w:t>
      </w:r>
      <w:r w:rsidRPr="00BB3C4B">
        <w:rPr>
          <w:rFonts w:ascii="Times New Roman" w:eastAsia="Times New Roman" w:hAnsi="Times New Roman"/>
          <w:b/>
          <w:bCs/>
          <w:snapToGrid w:val="0"/>
          <w:sz w:val="24"/>
          <w:szCs w:val="24"/>
        </w:rPr>
        <w:t>5.10</w:t>
      </w:r>
      <w:r w:rsidRPr="00BB3C4B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BB3C4B">
        <w:rPr>
          <w:rFonts w:ascii="Times New Roman" w:eastAsia="Times New Roman" w:hAnsi="Times New Roman"/>
          <w:b/>
          <w:bCs/>
          <w:snapToGrid w:val="0"/>
          <w:sz w:val="24"/>
          <w:szCs w:val="24"/>
        </w:rPr>
        <w:t>Спеціальні застереження</w:t>
      </w:r>
    </w:p>
    <w:bookmarkEnd w:id="6"/>
    <w:p w14:paraId="5DA7B8A0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При роботі з препаратом слід дотримуватись загальних правил особистої гігієни та техніки безпеки, передбачених при роботі з ветеринарними препаратами.</w:t>
      </w:r>
    </w:p>
    <w:p w14:paraId="2ACFEFD3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kern w:val="3"/>
          <w:sz w:val="24"/>
          <w:szCs w:val="24"/>
        </w:rPr>
        <w:t>Під час роботи забороняється курити, пити та вживати їжу.</w:t>
      </w:r>
    </w:p>
    <w:p w14:paraId="06304234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kern w:val="3"/>
          <w:sz w:val="24"/>
          <w:szCs w:val="24"/>
        </w:rPr>
        <w:t>Після роботи слід вимити руки теплою водою з милом.</w:t>
      </w:r>
    </w:p>
    <w:p w14:paraId="0468827C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kern w:val="3"/>
          <w:sz w:val="24"/>
          <w:szCs w:val="24"/>
        </w:rPr>
        <w:t>При випадковому контакті лікарського засобу зі шкірою чи слизовими оболонками очей їх необхідно промити великою кількістю води.</w:t>
      </w:r>
    </w:p>
    <w:p w14:paraId="38628E5D" w14:textId="77777777" w:rsidR="00A50DD0" w:rsidRPr="00BB3C4B" w:rsidRDefault="00A50DD0" w:rsidP="003B647A">
      <w:pPr>
        <w:spacing w:line="240" w:lineRule="atLeast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BB3C4B">
        <w:rPr>
          <w:rFonts w:ascii="Times New Roman" w:hAnsi="Times New Roman"/>
          <w:bCs/>
          <w:iCs/>
          <w:kern w:val="3"/>
          <w:sz w:val="24"/>
          <w:szCs w:val="24"/>
        </w:rPr>
        <w:t>У разі появи алергічних реакцій або при випадковому потраплянні препарату в організм людини слід негайно звернутися до медичного закладу (при собі мати інструкцію щодо застосування препарату або етикетку).</w:t>
      </w:r>
    </w:p>
    <w:p w14:paraId="37FC4BEB" w14:textId="77777777" w:rsidR="00A50DD0" w:rsidRPr="00BB3C4B" w:rsidRDefault="00A50DD0" w:rsidP="00A50DD0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</w:pPr>
      <w:r w:rsidRPr="00BB3C4B">
        <w:rPr>
          <w:rFonts w:ascii="Times New Roman" w:hAnsi="Times New Roman"/>
          <w:sz w:val="24"/>
          <w:szCs w:val="24"/>
        </w:rPr>
        <w:t xml:space="preserve">        </w:t>
      </w:r>
      <w:r w:rsidRPr="00BB3C4B">
        <w:rPr>
          <w:rFonts w:ascii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>5.11</w:t>
      </w:r>
      <w:proofErr w:type="gramStart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>П</w:t>
      </w:r>
      <w:proofErr w:type="gramEnd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>еріод</w:t>
      </w:r>
      <w:proofErr w:type="spellEnd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>каренція</w:t>
      </w:r>
      <w:proofErr w:type="spellEnd"/>
      <w:r w:rsidRPr="00BB3C4B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>)</w:t>
      </w:r>
    </w:p>
    <w:p w14:paraId="64F950CF" w14:textId="77777777" w:rsidR="00A50DD0" w:rsidRPr="00BB3C4B" w:rsidRDefault="00A50DD0" w:rsidP="00A50D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3C4B">
        <w:rPr>
          <w:rFonts w:ascii="Times New Roman" w:hAnsi="Times New Roman"/>
          <w:sz w:val="24"/>
          <w:szCs w:val="24"/>
        </w:rPr>
        <w:t>Для непродуктивних тварин не регламентується.</w:t>
      </w:r>
    </w:p>
    <w:p w14:paraId="4B9DF841" w14:textId="77777777" w:rsidR="00A50DD0" w:rsidRPr="00BB3C4B" w:rsidRDefault="00A50DD0" w:rsidP="00A50DD0">
      <w:pPr>
        <w:keepNext/>
        <w:keepLines/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bookmarkStart w:id="7" w:name="bookmark16"/>
      <w:r w:rsidRPr="00BB3C4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5.12 Спеціальні застереження для осіб і обслуговуючого персоналу</w:t>
      </w:r>
      <w:bookmarkEnd w:id="7"/>
    </w:p>
    <w:p w14:paraId="0649B467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bookmarkStart w:id="8" w:name="bookmark17"/>
      <w:r w:rsidRPr="00BB3C4B">
        <w:rPr>
          <w:rFonts w:ascii="Times New Roman" w:eastAsia="Times New Roman" w:hAnsi="Times New Roman"/>
          <w:snapToGrid w:val="0"/>
          <w:sz w:val="24"/>
          <w:szCs w:val="24"/>
        </w:rPr>
        <w:t>При роботі з препаратом дотримуватися основних правил гігієни та безпеки, прийнятих при роботі з ветеринарними препаратами.</w:t>
      </w:r>
    </w:p>
    <w:p w14:paraId="549A7E47" w14:textId="77777777" w:rsidR="00A50DD0" w:rsidRPr="00BB3C4B" w:rsidRDefault="00A50DD0" w:rsidP="00A50DD0">
      <w:pPr>
        <w:keepNext/>
        <w:keepLines/>
        <w:widowControl w:val="0"/>
        <w:tabs>
          <w:tab w:val="left" w:pos="567"/>
          <w:tab w:val="left" w:pos="851"/>
        </w:tabs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B3C4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6. Фармацевтичні особливості</w:t>
      </w:r>
      <w:bookmarkEnd w:id="8"/>
    </w:p>
    <w:p w14:paraId="45EB3FBC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eastAsia="Times New Roman" w:hAnsi="Times New Roman"/>
          <w:b/>
          <w:snapToGrid w:val="0"/>
          <w:sz w:val="24"/>
          <w:szCs w:val="24"/>
        </w:rPr>
        <w:t>6.1 Форми несумісності (основні)</w:t>
      </w:r>
    </w:p>
    <w:p w14:paraId="6CF8F63F" w14:textId="77777777" w:rsidR="00A50DD0" w:rsidRPr="00BB3C4B" w:rsidRDefault="00A50DD0" w:rsidP="00A50DD0">
      <w:pPr>
        <w:widowControl w:val="0"/>
        <w:spacing w:after="0" w:line="240" w:lineRule="auto"/>
        <w:ind w:firstLine="633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bookmarkStart w:id="9" w:name="bookmark18"/>
      <w:r w:rsidRPr="00BB3C4B">
        <w:rPr>
          <w:rFonts w:ascii="Times New Roman" w:eastAsia="Times New Roman" w:hAnsi="Times New Roman"/>
          <w:snapToGrid w:val="0"/>
          <w:sz w:val="24"/>
          <w:szCs w:val="24"/>
        </w:rPr>
        <w:t>Не виявлено.</w:t>
      </w:r>
    </w:p>
    <w:p w14:paraId="260BBEC2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>6.2 Термін придатності</w:t>
      </w:r>
    </w:p>
    <w:p w14:paraId="2BA1D34C" w14:textId="77777777" w:rsidR="00A50DD0" w:rsidRPr="00BB3C4B" w:rsidRDefault="00A50DD0" w:rsidP="00A50DD0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ru-RU"/>
        </w:rPr>
      </w:pPr>
      <w:r w:rsidRPr="00BB3C4B">
        <w:rPr>
          <w:rFonts w:ascii="Times New Roman" w:eastAsia="Times New Roman" w:hAnsi="Times New Roman"/>
          <w:snapToGrid w:val="0"/>
          <w:sz w:val="24"/>
          <w:szCs w:val="24"/>
        </w:rPr>
        <w:t>3 роки</w:t>
      </w:r>
    </w:p>
    <w:p w14:paraId="7A33D4A3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hAnsi="Times New Roman"/>
          <w:b/>
          <w:snapToGrid w:val="0"/>
          <w:sz w:val="24"/>
          <w:szCs w:val="24"/>
        </w:rPr>
        <w:t>6.3 Особливі заходи зберігання</w:t>
      </w:r>
    </w:p>
    <w:p w14:paraId="13B96567" w14:textId="67EB576F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Зберігати препарат у закритій упаковці виробника у сухому, захищеному від прямого сонячного проміння та недоступному для дітей і тварин місці, окремо від продуктів харчування та кормів, при температурі від 5 до 25 °С.</w:t>
      </w:r>
    </w:p>
    <w:p w14:paraId="64FF8B4F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BB3C4B">
        <w:rPr>
          <w:rFonts w:ascii="Times New Roman" w:eastAsia="Times New Roman" w:hAnsi="Times New Roman"/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2D54AB28" w14:textId="77777777" w:rsidR="00A92982" w:rsidRPr="00A92982" w:rsidRDefault="00A92982" w:rsidP="00A9298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kern w:val="3"/>
          <w:sz w:val="24"/>
          <w:szCs w:val="24"/>
        </w:rPr>
      </w:pPr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Таблетки запаковані у блістери,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буфлени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, полімерні або </w:t>
      </w:r>
      <w:proofErr w:type="spellStart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>фольговані</w:t>
      </w:r>
      <w:proofErr w:type="spellEnd"/>
      <w:r w:rsidRPr="00A92982">
        <w:rPr>
          <w:rFonts w:ascii="Times New Roman" w:hAnsi="Times New Roman"/>
          <w:bCs/>
          <w:iCs/>
          <w:kern w:val="3"/>
          <w:sz w:val="24"/>
          <w:szCs w:val="24"/>
        </w:rPr>
        <w:t xml:space="preserve"> пакети по 1, 3, 4, 6, 10 шт., упаковані в картонну коробку.</w:t>
      </w:r>
    </w:p>
    <w:p w14:paraId="4D30FC9E" w14:textId="77777777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BB3C4B">
        <w:rPr>
          <w:rFonts w:ascii="Times New Roman" w:eastAsia="Times New Roman" w:hAnsi="Times New Roman"/>
          <w:b/>
          <w:snapToGrid w:val="0"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6B581269" w14:textId="0D544F18" w:rsidR="00A50DD0" w:rsidRPr="00BB3C4B" w:rsidRDefault="00A50DD0" w:rsidP="00A50DD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BB3C4B">
        <w:rPr>
          <w:rFonts w:ascii="Times New Roman" w:eastAsia="Times New Roman" w:hAnsi="Times New Roman"/>
          <w:snapToGrid w:val="0"/>
          <w:sz w:val="24"/>
          <w:szCs w:val="24"/>
        </w:rPr>
        <w:t xml:space="preserve">Невикористаний і </w:t>
      </w:r>
      <w:proofErr w:type="spellStart"/>
      <w:r w:rsidRPr="00BB3C4B">
        <w:rPr>
          <w:rFonts w:ascii="Times New Roman" w:eastAsia="Times New Roman" w:hAnsi="Times New Roman"/>
          <w:snapToGrid w:val="0"/>
          <w:sz w:val="24"/>
          <w:szCs w:val="24"/>
        </w:rPr>
        <w:t>протермінований</w:t>
      </w:r>
      <w:proofErr w:type="spellEnd"/>
      <w:r w:rsidRPr="00BB3C4B">
        <w:rPr>
          <w:rFonts w:ascii="Times New Roman" w:eastAsia="Times New Roman" w:hAnsi="Times New Roman"/>
          <w:snapToGrid w:val="0"/>
          <w:sz w:val="24"/>
          <w:szCs w:val="24"/>
        </w:rPr>
        <w:t xml:space="preserve"> препарат, порожні контейнери з під препарату повинні бути утилізовані </w:t>
      </w:r>
      <w:r w:rsidR="002D640D">
        <w:rPr>
          <w:rFonts w:ascii="Times New Roman" w:eastAsia="Times New Roman" w:hAnsi="Times New Roman"/>
          <w:snapToGrid w:val="0"/>
          <w:sz w:val="24"/>
          <w:szCs w:val="24"/>
        </w:rPr>
        <w:t>відповідно до національних вимог</w:t>
      </w:r>
      <w:r w:rsidRPr="00BB3C4B"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bookmarkEnd w:id="9"/>
    <w:p w14:paraId="72AC240B" w14:textId="1A7C340A" w:rsidR="00A50DD0" w:rsidRPr="00BB3C4B" w:rsidRDefault="002D640D" w:rsidP="002D6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7.</w:t>
      </w:r>
      <w:r w:rsidR="00A50DD0" w:rsidRPr="00BB3C4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A50DD0">
        <w:rPr>
          <w:rFonts w:ascii="Times New Roman" w:eastAsia="Times New Roman" w:hAnsi="Times New Roman"/>
          <w:b/>
          <w:sz w:val="24"/>
          <w:szCs w:val="24"/>
          <w:lang w:eastAsia="zh-CN"/>
        </w:rPr>
        <w:t>Назва і місцезнаходження в</w:t>
      </w:r>
      <w:r w:rsidR="00A50DD0" w:rsidRPr="00BB3C4B">
        <w:rPr>
          <w:rFonts w:ascii="Times New Roman" w:eastAsia="Times New Roman" w:hAnsi="Times New Roman"/>
          <w:b/>
          <w:sz w:val="24"/>
          <w:szCs w:val="24"/>
          <w:lang w:eastAsia="zh-CN"/>
        </w:rPr>
        <w:t>ласник</w:t>
      </w:r>
      <w:r w:rsidR="00A50DD0">
        <w:rPr>
          <w:rFonts w:ascii="Times New Roman" w:eastAsia="Times New Roman" w:hAnsi="Times New Roman"/>
          <w:b/>
          <w:sz w:val="24"/>
          <w:szCs w:val="24"/>
          <w:lang w:eastAsia="zh-CN"/>
        </w:rPr>
        <w:t>а</w:t>
      </w:r>
      <w:r w:rsidR="00A50DD0" w:rsidRPr="00BB3C4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реєстраційного посвідчення </w:t>
      </w:r>
      <w:bookmarkStart w:id="10" w:name="_Hlk76475394"/>
    </w:p>
    <w:p w14:paraId="3D16D919" w14:textId="2F671623" w:rsidR="003B647A" w:rsidRDefault="00A50DD0" w:rsidP="003B64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GoBack"/>
      <w:bookmarkEnd w:id="10"/>
      <w:bookmarkEnd w:id="11"/>
      <w:r w:rsidRPr="00BB3C4B">
        <w:rPr>
          <w:rFonts w:ascii="Times New Roman" w:eastAsia="Times New Roman" w:hAnsi="Times New Roman"/>
          <w:sz w:val="24"/>
          <w:szCs w:val="24"/>
        </w:rPr>
        <w:t xml:space="preserve">ТОВ «ЗООСІТІ», </w:t>
      </w:r>
    </w:p>
    <w:p w14:paraId="50EFB16E" w14:textId="30935D70" w:rsidR="00A50DD0" w:rsidRPr="00BB3C4B" w:rsidRDefault="00A50DD0" w:rsidP="003B64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B3C4B">
        <w:rPr>
          <w:rFonts w:ascii="Times New Roman" w:eastAsia="Times New Roman" w:hAnsi="Times New Roman"/>
          <w:sz w:val="24"/>
          <w:szCs w:val="24"/>
        </w:rPr>
        <w:t>62302, м. Дергачі, Харківська обл., вул. Сумський шлях, буд.163-Г, Україна</w:t>
      </w:r>
    </w:p>
    <w:p w14:paraId="1676B77C" w14:textId="79632C36" w:rsidR="00A50DD0" w:rsidRPr="00BB3C4B" w:rsidRDefault="002D640D" w:rsidP="002D640D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8.</w:t>
      </w:r>
      <w:r w:rsidR="00A50DD0" w:rsidRPr="00BB3C4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A50DD0">
        <w:rPr>
          <w:rFonts w:ascii="Times New Roman" w:eastAsia="Times New Roman" w:hAnsi="Times New Roman"/>
          <w:b/>
          <w:sz w:val="24"/>
          <w:szCs w:val="24"/>
          <w:lang w:eastAsia="zh-CN"/>
        </w:rPr>
        <w:t>Назва і місцезнаходження в</w:t>
      </w:r>
      <w:r w:rsidR="00A50DD0" w:rsidRPr="00BB3C4B">
        <w:rPr>
          <w:rFonts w:ascii="Times New Roman" w:eastAsia="Times New Roman" w:hAnsi="Times New Roman"/>
          <w:b/>
          <w:sz w:val="24"/>
          <w:szCs w:val="24"/>
          <w:lang w:eastAsia="zh-CN"/>
        </w:rPr>
        <w:t>иробник</w:t>
      </w:r>
      <w:r w:rsidR="00A50DD0">
        <w:rPr>
          <w:rFonts w:ascii="Times New Roman" w:eastAsia="Times New Roman" w:hAnsi="Times New Roman"/>
          <w:b/>
          <w:sz w:val="24"/>
          <w:szCs w:val="24"/>
          <w:lang w:eastAsia="zh-CN"/>
        </w:rPr>
        <w:t>а</w:t>
      </w:r>
      <w:r w:rsidR="00A50DD0" w:rsidRPr="00BB3C4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готового продукту</w:t>
      </w:r>
    </w:p>
    <w:p w14:paraId="58DB6C27" w14:textId="77777777" w:rsidR="003B647A" w:rsidRDefault="00A50DD0" w:rsidP="003B64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C4B">
        <w:rPr>
          <w:rFonts w:ascii="Times New Roman" w:eastAsia="Times New Roman" w:hAnsi="Times New Roman"/>
          <w:sz w:val="24"/>
          <w:szCs w:val="24"/>
          <w:lang w:eastAsia="ru-RU"/>
        </w:rPr>
        <w:t xml:space="preserve">ТОВ «НОВА ПЛЮС», </w:t>
      </w:r>
    </w:p>
    <w:p w14:paraId="6369C073" w14:textId="74D0EB15" w:rsidR="00A50DD0" w:rsidRPr="00BB3C4B" w:rsidRDefault="00A50DD0" w:rsidP="003B64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C4B">
        <w:rPr>
          <w:rFonts w:ascii="Times New Roman" w:eastAsia="Times New Roman" w:hAnsi="Times New Roman"/>
          <w:sz w:val="24"/>
          <w:szCs w:val="24"/>
          <w:lang w:eastAsia="ru-RU"/>
        </w:rPr>
        <w:t xml:space="preserve">61030, м. Харків, вул. </w:t>
      </w:r>
      <w:proofErr w:type="spellStart"/>
      <w:r w:rsidRPr="00BB3C4B">
        <w:rPr>
          <w:rFonts w:ascii="Times New Roman" w:eastAsia="Times New Roman" w:hAnsi="Times New Roman"/>
          <w:sz w:val="24"/>
          <w:szCs w:val="24"/>
          <w:lang w:eastAsia="ru-RU"/>
        </w:rPr>
        <w:t>Колісниченківська</w:t>
      </w:r>
      <w:proofErr w:type="spellEnd"/>
      <w:r w:rsidRPr="00BB3C4B">
        <w:rPr>
          <w:rFonts w:ascii="Times New Roman" w:eastAsia="Times New Roman" w:hAnsi="Times New Roman"/>
          <w:sz w:val="24"/>
          <w:szCs w:val="24"/>
          <w:lang w:eastAsia="ru-RU"/>
        </w:rPr>
        <w:t>, буд.7, Україна</w:t>
      </w:r>
    </w:p>
    <w:p w14:paraId="323ED8AB" w14:textId="77777777" w:rsidR="007819AC" w:rsidRDefault="007819AC"/>
    <w:sectPr w:rsidR="00781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EBD"/>
    <w:rsid w:val="000A2EBD"/>
    <w:rsid w:val="0011257B"/>
    <w:rsid w:val="002D640D"/>
    <w:rsid w:val="00317E11"/>
    <w:rsid w:val="003B647A"/>
    <w:rsid w:val="007819AC"/>
    <w:rsid w:val="007A64F5"/>
    <w:rsid w:val="00A50DD0"/>
    <w:rsid w:val="00A92982"/>
    <w:rsid w:val="00E9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E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DD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DD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5278</Words>
  <Characters>3010</Characters>
  <Application>Microsoft Office Word</Application>
  <DocSecurity>0</DocSecurity>
  <Lines>25</Lines>
  <Paragraphs>16</Paragraphs>
  <ScaleCrop>false</ScaleCrop>
  <Company/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админ3</cp:lastModifiedBy>
  <cp:revision>7</cp:revision>
  <dcterms:created xsi:type="dcterms:W3CDTF">2024-09-16T18:54:00Z</dcterms:created>
  <dcterms:modified xsi:type="dcterms:W3CDTF">2024-12-02T10:43:00Z</dcterms:modified>
</cp:coreProperties>
</file>