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0A" w:rsidRPr="00561AFB" w:rsidRDefault="009E070A" w:rsidP="00813F31">
      <w:pPr>
        <w:pStyle w:val="a4"/>
        <w:shd w:val="clear" w:color="auto" w:fill="auto"/>
        <w:spacing w:after="13" w:line="240" w:lineRule="auto"/>
        <w:ind w:left="5245" w:right="40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Додаток 1</w:t>
      </w:r>
    </w:p>
    <w:p w:rsidR="009E070A" w:rsidRPr="00561AFB" w:rsidRDefault="009E070A" w:rsidP="00813F31">
      <w:pPr>
        <w:pStyle w:val="a4"/>
        <w:shd w:val="clear" w:color="auto" w:fill="auto"/>
        <w:spacing w:after="147" w:line="240" w:lineRule="auto"/>
        <w:ind w:left="5245" w:right="40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до реєстраційного посвідчення АА-06176-01-15</w:t>
      </w:r>
    </w:p>
    <w:p w:rsidR="001D2C70" w:rsidRPr="00561AFB" w:rsidRDefault="001D2C70" w:rsidP="00FA7B81">
      <w:pPr>
        <w:pStyle w:val="20"/>
        <w:shd w:val="clear" w:color="auto" w:fill="auto"/>
        <w:spacing w:before="0" w:after="210" w:line="240" w:lineRule="auto"/>
        <w:ind w:left="3560"/>
        <w:jc w:val="both"/>
        <w:rPr>
          <w:rStyle w:val="2"/>
          <w:b/>
          <w:bCs/>
          <w:sz w:val="24"/>
          <w:szCs w:val="24"/>
          <w:lang w:val="uk-UA"/>
        </w:rPr>
      </w:pPr>
    </w:p>
    <w:p w:rsidR="009E070A" w:rsidRPr="00561AFB" w:rsidRDefault="009E070A" w:rsidP="00FA7B81">
      <w:pPr>
        <w:pStyle w:val="20"/>
        <w:shd w:val="clear" w:color="auto" w:fill="auto"/>
        <w:spacing w:before="0" w:after="210" w:line="240" w:lineRule="auto"/>
        <w:ind w:left="3560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Коротка характеристика препарату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firstLine="567"/>
        <w:rPr>
          <w:sz w:val="24"/>
          <w:szCs w:val="24"/>
          <w:lang w:val="uk-UA"/>
        </w:rPr>
      </w:pPr>
      <w:bookmarkStart w:id="0" w:name="bookmark1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1 Назва</w:t>
      </w:r>
      <w:bookmarkEnd w:id="0"/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Стафак® 110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firstLine="567"/>
        <w:rPr>
          <w:sz w:val="24"/>
          <w:szCs w:val="24"/>
          <w:lang w:val="uk-UA"/>
        </w:rPr>
      </w:pPr>
      <w:bookmarkStart w:id="1" w:name="bookmark2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2 Склад</w:t>
      </w:r>
      <w:bookmarkEnd w:id="1"/>
    </w:p>
    <w:p w:rsidR="00622B47" w:rsidRPr="00561AFB" w:rsidRDefault="00622B47" w:rsidP="00622B47">
      <w:pPr>
        <w:pStyle w:val="a4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1 г препарату містить діючу речовину:</w:t>
      </w:r>
    </w:p>
    <w:p w:rsidR="00622B47" w:rsidRPr="00561AFB" w:rsidRDefault="00622B47" w:rsidP="00622B47">
      <w:pPr>
        <w:pStyle w:val="a4"/>
        <w:shd w:val="clear" w:color="auto" w:fill="auto"/>
        <w:spacing w:after="0" w:line="240" w:lineRule="auto"/>
        <w:ind w:firstLine="567"/>
        <w:jc w:val="both"/>
        <w:rPr>
          <w:rStyle w:val="1pt"/>
          <w:spacing w:val="0"/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вірджиніаміцин </w:t>
      </w:r>
      <w:r w:rsidRPr="00561AFB">
        <w:rPr>
          <w:rStyle w:val="1pt"/>
          <w:spacing w:val="0"/>
          <w:sz w:val="24"/>
          <w:szCs w:val="24"/>
          <w:lang w:val="uk-UA"/>
        </w:rPr>
        <w:t xml:space="preserve">– </w:t>
      </w:r>
      <w:r w:rsidR="000231A1" w:rsidRPr="00561AFB">
        <w:rPr>
          <w:rStyle w:val="1pt"/>
          <w:spacing w:val="0"/>
          <w:sz w:val="24"/>
          <w:szCs w:val="24"/>
          <w:lang w:val="uk-UA"/>
        </w:rPr>
        <w:t>0,</w:t>
      </w:r>
      <w:r w:rsidRPr="00561AFB">
        <w:rPr>
          <w:sz w:val="24"/>
          <w:szCs w:val="24"/>
          <w:lang w:val="uk-UA"/>
        </w:rPr>
        <w:t xml:space="preserve">11 </w:t>
      </w:r>
      <w:r w:rsidRPr="00561AFB">
        <w:rPr>
          <w:rStyle w:val="1pt"/>
          <w:spacing w:val="0"/>
          <w:sz w:val="24"/>
          <w:szCs w:val="24"/>
          <w:lang w:val="uk-UA"/>
        </w:rPr>
        <w:t>г.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Допоміжні речовини: </w:t>
      </w:r>
      <w:r w:rsidR="00B747D0" w:rsidRPr="00561AFB">
        <w:rPr>
          <w:rStyle w:val="a3"/>
          <w:color w:val="000000"/>
          <w:sz w:val="24"/>
          <w:szCs w:val="24"/>
          <w:lang w:val="uk-UA" w:eastAsia="uk-UA"/>
        </w:rPr>
        <w:t xml:space="preserve">натрію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карбоксиметилцелюлоза, олія мінеральна, кальцію карбонат</w:t>
      </w:r>
      <w:r w:rsidR="00B747D0" w:rsidRPr="00561AFB">
        <w:rPr>
          <w:rStyle w:val="a3"/>
          <w:color w:val="000000"/>
          <w:sz w:val="24"/>
          <w:szCs w:val="24"/>
          <w:lang w:val="uk-UA" w:eastAsia="uk-UA"/>
        </w:rPr>
        <w:t>, деіонізована вода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.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sz w:val="24"/>
          <w:szCs w:val="24"/>
          <w:lang w:val="uk-UA"/>
        </w:rPr>
      </w:pPr>
      <w:bookmarkStart w:id="2" w:name="bookmark3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3 Фармацевтична форма</w:t>
      </w:r>
      <w:bookmarkEnd w:id="2"/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Порошок для перорального застосування.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sz w:val="24"/>
          <w:szCs w:val="24"/>
          <w:lang w:val="uk-UA"/>
        </w:rPr>
      </w:pPr>
      <w:bookmarkStart w:id="3" w:name="bookmark4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4 Фармакологічні властивості</w:t>
      </w:r>
      <w:bookmarkEnd w:id="3"/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right="40" w:firstLine="567"/>
        <w:jc w:val="both"/>
        <w:rPr>
          <w:b/>
          <w:i/>
          <w:color w:val="000000"/>
          <w:sz w:val="24"/>
          <w:szCs w:val="24"/>
          <w:shd w:val="clear" w:color="auto" w:fill="FFFFFF"/>
          <w:lang w:val="uk-UA" w:eastAsia="uk-UA"/>
        </w:rPr>
      </w:pPr>
      <w:r w:rsidRPr="00561AFB">
        <w:rPr>
          <w:rStyle w:val="a3"/>
          <w:b/>
          <w:i/>
          <w:color w:val="000000"/>
          <w:sz w:val="24"/>
          <w:szCs w:val="24"/>
          <w:lang w:val="uk-UA"/>
        </w:rPr>
        <w:t xml:space="preserve">АТС vet </w:t>
      </w:r>
      <w:r w:rsidRPr="00561AFB">
        <w:rPr>
          <w:rStyle w:val="a3"/>
          <w:b/>
          <w:i/>
          <w:color w:val="000000"/>
          <w:sz w:val="24"/>
          <w:szCs w:val="24"/>
          <w:lang w:val="uk-UA" w:eastAsia="uk-UA"/>
        </w:rPr>
        <w:t xml:space="preserve">класифікаційний код </w:t>
      </w:r>
      <w:r w:rsidRPr="00561AFB">
        <w:rPr>
          <w:rStyle w:val="a3"/>
          <w:b/>
          <w:i/>
          <w:color w:val="000000"/>
          <w:sz w:val="24"/>
          <w:szCs w:val="24"/>
          <w:lang w:val="uk-UA"/>
        </w:rPr>
        <w:t xml:space="preserve">QJ01 </w:t>
      </w:r>
      <w:r w:rsidR="00FA7B81" w:rsidRPr="00561AFB">
        <w:rPr>
          <w:rStyle w:val="a3"/>
          <w:b/>
          <w:i/>
          <w:color w:val="000000"/>
          <w:sz w:val="24"/>
          <w:szCs w:val="24"/>
          <w:lang w:val="uk-UA" w:eastAsia="uk-UA"/>
        </w:rPr>
        <w:t xml:space="preserve">– </w:t>
      </w:r>
      <w:r w:rsidRPr="00561AFB">
        <w:rPr>
          <w:rStyle w:val="a3"/>
          <w:b/>
          <w:i/>
          <w:color w:val="000000"/>
          <w:sz w:val="24"/>
          <w:szCs w:val="24"/>
          <w:lang w:val="uk-UA" w:eastAsia="uk-UA"/>
        </w:rPr>
        <w:t xml:space="preserve">антибактеріальні ветеринарні препарати для системного застосування. </w:t>
      </w:r>
      <w:r w:rsidR="004B4397" w:rsidRPr="00561AFB">
        <w:rPr>
          <w:rStyle w:val="a3"/>
          <w:b/>
          <w:i/>
          <w:color w:val="000000"/>
          <w:sz w:val="24"/>
          <w:szCs w:val="24"/>
          <w:lang w:val="en-US" w:eastAsia="uk-UA"/>
        </w:rPr>
        <w:t>Q</w:t>
      </w:r>
      <w:r w:rsidRPr="00561AFB">
        <w:rPr>
          <w:rStyle w:val="a3"/>
          <w:b/>
          <w:i/>
          <w:color w:val="000000"/>
          <w:sz w:val="24"/>
          <w:szCs w:val="24"/>
          <w:lang w:val="uk-UA"/>
        </w:rPr>
        <w:t xml:space="preserve">D06AX10 </w:t>
      </w:r>
      <w:r w:rsidR="00FA7B81" w:rsidRPr="00561AFB">
        <w:rPr>
          <w:rStyle w:val="a3"/>
          <w:b/>
          <w:i/>
          <w:color w:val="000000"/>
          <w:sz w:val="24"/>
          <w:szCs w:val="24"/>
          <w:lang w:val="uk-UA" w:eastAsia="uk-UA"/>
        </w:rPr>
        <w:t>–</w:t>
      </w:r>
      <w:r w:rsidRPr="00561AFB">
        <w:rPr>
          <w:rStyle w:val="a3"/>
          <w:b/>
          <w:i/>
          <w:color w:val="000000"/>
          <w:sz w:val="24"/>
          <w:szCs w:val="24"/>
          <w:lang w:val="uk-UA" w:eastAsia="uk-UA"/>
        </w:rPr>
        <w:t xml:space="preserve"> Вірджиніаміцин.</w:t>
      </w:r>
    </w:p>
    <w:p w:rsidR="009E070A" w:rsidRPr="00561AFB" w:rsidRDefault="004503D1" w:rsidP="00FA7B81">
      <w:pPr>
        <w:pStyle w:val="a4"/>
        <w:shd w:val="clear" w:color="auto" w:fill="auto"/>
        <w:spacing w:after="0" w:line="240" w:lineRule="auto"/>
        <w:ind w:right="40" w:firstLine="567"/>
        <w:jc w:val="both"/>
        <w:rPr>
          <w:color w:val="000000"/>
          <w:sz w:val="24"/>
          <w:szCs w:val="24"/>
          <w:shd w:val="clear" w:color="auto" w:fill="FFFFFF"/>
          <w:lang w:val="uk-UA" w:eastAsia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Вірджиніаміцин належить до антибактеріальних препаратів групи стрептограмінів. Він </w:t>
      </w:r>
      <w:r w:rsidR="00190727" w:rsidRPr="00561AFB">
        <w:rPr>
          <w:rStyle w:val="a3"/>
          <w:color w:val="000000"/>
          <w:sz w:val="24"/>
          <w:szCs w:val="24"/>
          <w:lang w:val="uk-UA" w:eastAsia="uk-UA"/>
        </w:rPr>
        <w:t>діє бактеріостатично проти грамп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озитивних </w:t>
      </w:r>
      <w:r w:rsidRPr="00561AFB">
        <w:rPr>
          <w:rStyle w:val="a3"/>
          <w:i/>
          <w:color w:val="000000"/>
          <w:sz w:val="24"/>
          <w:szCs w:val="24"/>
          <w:lang w:val="uk-UA" w:eastAsia="uk-UA"/>
        </w:rPr>
        <w:t>(</w:t>
      </w:r>
      <w:r w:rsidRPr="00561AFB">
        <w:rPr>
          <w:rStyle w:val="a3"/>
          <w:i/>
          <w:color w:val="000000"/>
          <w:sz w:val="24"/>
          <w:szCs w:val="24"/>
          <w:lang w:eastAsia="uk-UA"/>
        </w:rPr>
        <w:t>Clostridium</w:t>
      </w:r>
      <w:r w:rsidRPr="00561AFB">
        <w:rPr>
          <w:rStyle w:val="a3"/>
          <w:i/>
          <w:color w:val="000000"/>
          <w:sz w:val="24"/>
          <w:szCs w:val="24"/>
          <w:lang w:val="uk-UA" w:eastAsia="uk-UA"/>
        </w:rPr>
        <w:t xml:space="preserve"> </w:t>
      </w:r>
      <w:r w:rsidRPr="00561AFB">
        <w:rPr>
          <w:rStyle w:val="a3"/>
          <w:i/>
          <w:color w:val="000000"/>
          <w:sz w:val="24"/>
          <w:szCs w:val="24"/>
          <w:lang w:eastAsia="uk-UA"/>
        </w:rPr>
        <w:t>perfringens</w:t>
      </w:r>
      <w:r w:rsidRPr="00561AFB">
        <w:rPr>
          <w:rStyle w:val="a3"/>
          <w:i/>
          <w:color w:val="000000"/>
          <w:sz w:val="24"/>
          <w:szCs w:val="24"/>
          <w:lang w:val="uk-UA" w:eastAsia="uk-UA"/>
        </w:rPr>
        <w:t xml:space="preserve">, </w:t>
      </w:r>
      <w:r w:rsidRPr="00561AFB">
        <w:rPr>
          <w:rStyle w:val="a3"/>
          <w:i/>
          <w:color w:val="000000"/>
          <w:sz w:val="24"/>
          <w:szCs w:val="24"/>
          <w:lang w:eastAsia="uk-UA"/>
        </w:rPr>
        <w:t>Staphylococcus</w:t>
      </w:r>
      <w:r w:rsidRPr="00561AFB">
        <w:rPr>
          <w:rStyle w:val="a3"/>
          <w:i/>
          <w:color w:val="000000"/>
          <w:sz w:val="24"/>
          <w:szCs w:val="24"/>
          <w:lang w:val="uk-UA" w:eastAsia="uk-UA"/>
        </w:rPr>
        <w:t xml:space="preserve"> </w:t>
      </w:r>
      <w:r w:rsidRPr="00561AFB">
        <w:rPr>
          <w:rStyle w:val="a3"/>
          <w:i/>
          <w:color w:val="000000"/>
          <w:sz w:val="24"/>
          <w:szCs w:val="24"/>
          <w:lang w:eastAsia="uk-UA"/>
        </w:rPr>
        <w:t>spp</w:t>
      </w:r>
      <w:r w:rsidRPr="00561AFB">
        <w:rPr>
          <w:rStyle w:val="a3"/>
          <w:i/>
          <w:color w:val="000000"/>
          <w:sz w:val="24"/>
          <w:szCs w:val="24"/>
          <w:lang w:val="uk-UA" w:eastAsia="uk-UA"/>
        </w:rPr>
        <w:t xml:space="preserve">., </w:t>
      </w:r>
      <w:r w:rsidR="00B747D0" w:rsidRPr="00561AFB">
        <w:rPr>
          <w:rStyle w:val="a3"/>
          <w:i/>
          <w:color w:val="000000"/>
          <w:sz w:val="24"/>
          <w:szCs w:val="24"/>
          <w:lang w:val="en-US" w:eastAsia="uk-UA"/>
        </w:rPr>
        <w:t>Micrococcus</w:t>
      </w:r>
      <w:r w:rsidRPr="00561AFB">
        <w:rPr>
          <w:rStyle w:val="a3"/>
          <w:i/>
          <w:color w:val="000000"/>
          <w:sz w:val="24"/>
          <w:szCs w:val="24"/>
          <w:lang w:val="uk-UA" w:eastAsia="uk-UA"/>
        </w:rPr>
        <w:t xml:space="preserve"> </w:t>
      </w:r>
      <w:r w:rsidRPr="00561AFB">
        <w:rPr>
          <w:rStyle w:val="a3"/>
          <w:i/>
          <w:color w:val="000000"/>
          <w:sz w:val="24"/>
          <w:szCs w:val="24"/>
          <w:lang w:eastAsia="uk-UA"/>
        </w:rPr>
        <w:t>spp</w:t>
      </w:r>
      <w:r w:rsidRPr="00561AFB">
        <w:rPr>
          <w:rStyle w:val="a3"/>
          <w:i/>
          <w:color w:val="000000"/>
          <w:sz w:val="24"/>
          <w:szCs w:val="24"/>
          <w:lang w:val="uk-UA" w:eastAsia="uk-UA"/>
        </w:rPr>
        <w:t>.</w:t>
      </w:r>
      <w:r w:rsidR="00B747D0" w:rsidRPr="00561AFB">
        <w:rPr>
          <w:rStyle w:val="a3"/>
          <w:i/>
          <w:color w:val="000000"/>
          <w:sz w:val="24"/>
          <w:szCs w:val="24"/>
          <w:lang w:val="uk-UA" w:eastAsia="uk-UA"/>
        </w:rPr>
        <w:t xml:space="preserve">, </w:t>
      </w:r>
      <w:r w:rsidR="00B747D0" w:rsidRPr="00561AFB">
        <w:rPr>
          <w:rStyle w:val="a3"/>
          <w:i/>
          <w:color w:val="000000"/>
          <w:sz w:val="24"/>
          <w:szCs w:val="24"/>
          <w:lang w:val="en-US" w:eastAsia="uk-UA"/>
        </w:rPr>
        <w:t>Listeria</w:t>
      </w:r>
      <w:r w:rsidR="00B747D0" w:rsidRPr="00561AFB">
        <w:rPr>
          <w:rStyle w:val="a3"/>
          <w:i/>
          <w:color w:val="000000"/>
          <w:sz w:val="24"/>
          <w:szCs w:val="24"/>
          <w:lang w:val="uk-UA" w:eastAsia="uk-UA"/>
        </w:rPr>
        <w:t xml:space="preserve"> </w:t>
      </w:r>
      <w:r w:rsidR="00B747D0" w:rsidRPr="00561AFB">
        <w:rPr>
          <w:rStyle w:val="a3"/>
          <w:i/>
          <w:color w:val="000000"/>
          <w:sz w:val="24"/>
          <w:szCs w:val="24"/>
          <w:lang w:val="en-US" w:eastAsia="uk-UA"/>
        </w:rPr>
        <w:t>spp</w:t>
      </w:r>
      <w:r w:rsidR="00B747D0" w:rsidRPr="00561AFB">
        <w:rPr>
          <w:rStyle w:val="a3"/>
          <w:i/>
          <w:color w:val="000000"/>
          <w:sz w:val="24"/>
          <w:szCs w:val="24"/>
          <w:lang w:val="uk-UA" w:eastAsia="uk-UA"/>
        </w:rPr>
        <w:t>.</w:t>
      </w:r>
      <w:r w:rsidRPr="00561AFB">
        <w:rPr>
          <w:rStyle w:val="a3"/>
          <w:i/>
          <w:iCs/>
          <w:sz w:val="24"/>
          <w:szCs w:val="24"/>
          <w:lang w:val="uk-UA" w:eastAsia="uk-UA"/>
        </w:rPr>
        <w:t xml:space="preserve">) </w:t>
      </w:r>
      <w:r w:rsidR="00B747D0" w:rsidRPr="00561AFB">
        <w:rPr>
          <w:rStyle w:val="a3"/>
          <w:iCs/>
          <w:sz w:val="24"/>
          <w:szCs w:val="24"/>
          <w:lang w:val="uk-UA" w:eastAsia="uk-UA"/>
        </w:rPr>
        <w:t xml:space="preserve">та деяких </w:t>
      </w:r>
      <w:r w:rsidR="00B02E2E" w:rsidRPr="00561AFB">
        <w:rPr>
          <w:rStyle w:val="a3"/>
          <w:iCs/>
          <w:sz w:val="24"/>
          <w:szCs w:val="24"/>
          <w:lang w:val="uk-UA" w:eastAsia="uk-UA"/>
        </w:rPr>
        <w:t>грам</w:t>
      </w:r>
      <w:r w:rsidR="00B747D0" w:rsidRPr="00561AFB">
        <w:rPr>
          <w:rStyle w:val="a3"/>
          <w:iCs/>
          <w:sz w:val="24"/>
          <w:szCs w:val="24"/>
          <w:lang w:val="uk-UA" w:eastAsia="uk-UA"/>
        </w:rPr>
        <w:t>негативних</w:t>
      </w:r>
      <w:r w:rsidR="00B747D0" w:rsidRPr="00561AFB">
        <w:rPr>
          <w:rStyle w:val="a3"/>
          <w:i/>
          <w:iCs/>
          <w:sz w:val="24"/>
          <w:szCs w:val="24"/>
          <w:lang w:val="uk-UA" w:eastAsia="uk-UA"/>
        </w:rPr>
        <w:t xml:space="preserve"> (</w:t>
      </w:r>
      <w:r w:rsidR="00B747D0" w:rsidRPr="00561AFB">
        <w:rPr>
          <w:rStyle w:val="a3"/>
          <w:i/>
          <w:iCs/>
          <w:sz w:val="24"/>
          <w:szCs w:val="24"/>
          <w:lang w:val="en-US" w:eastAsia="uk-UA"/>
        </w:rPr>
        <w:t>Campylobacter</w:t>
      </w:r>
      <w:r w:rsidR="00B747D0" w:rsidRPr="00561AFB">
        <w:rPr>
          <w:rStyle w:val="a3"/>
          <w:i/>
          <w:iCs/>
          <w:sz w:val="24"/>
          <w:szCs w:val="24"/>
          <w:lang w:val="uk-UA" w:eastAsia="uk-UA"/>
        </w:rPr>
        <w:t xml:space="preserve"> </w:t>
      </w:r>
      <w:r w:rsidR="00B747D0" w:rsidRPr="00561AFB">
        <w:rPr>
          <w:rStyle w:val="a3"/>
          <w:i/>
          <w:iCs/>
          <w:sz w:val="24"/>
          <w:szCs w:val="24"/>
          <w:lang w:val="en-US" w:eastAsia="uk-UA"/>
        </w:rPr>
        <w:t>spp</w:t>
      </w:r>
      <w:r w:rsidR="00B747D0" w:rsidRPr="00561AFB">
        <w:rPr>
          <w:rStyle w:val="a3"/>
          <w:i/>
          <w:iCs/>
          <w:sz w:val="24"/>
          <w:szCs w:val="24"/>
          <w:lang w:val="uk-UA" w:eastAsia="uk-UA"/>
        </w:rPr>
        <w:t xml:space="preserve">.)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мікроорганізмів</w:t>
      </w:r>
      <w:r w:rsidRPr="00561AFB">
        <w:rPr>
          <w:rStyle w:val="a3"/>
          <w:i/>
          <w:iCs/>
          <w:sz w:val="24"/>
          <w:szCs w:val="24"/>
          <w:lang w:val="uk-UA" w:eastAsia="uk-UA"/>
        </w:rPr>
        <w:t xml:space="preserve">.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Вірджиніаміцин складається з двох компонентів – фракція М (72 %) і фракція </w:t>
      </w:r>
      <w:r w:rsidRPr="00561AFB">
        <w:rPr>
          <w:rStyle w:val="a3"/>
          <w:color w:val="000000"/>
          <w:sz w:val="24"/>
          <w:szCs w:val="24"/>
        </w:rPr>
        <w:t>S</w:t>
      </w:r>
      <w:r w:rsidRPr="00561AFB">
        <w:rPr>
          <w:rStyle w:val="a3"/>
          <w:color w:val="000000"/>
          <w:sz w:val="24"/>
          <w:szCs w:val="24"/>
          <w:lang w:val="uk-UA"/>
        </w:rPr>
        <w:t xml:space="preserve">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(28 %).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right="40"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Механізм дії вірджиніаміцину полягає у гальмуванні синтезу білка в клітинах чутливих мікроорганізмів, порушуючи трансляцію РНК. Зв’язування стрептограмінів з </w:t>
      </w:r>
      <w:r w:rsidR="00FA7B81" w:rsidRPr="00561AFB">
        <w:rPr>
          <w:rStyle w:val="a3"/>
          <w:color w:val="000000"/>
          <w:sz w:val="24"/>
          <w:szCs w:val="24"/>
          <w:lang w:val="uk-UA" w:eastAsia="uk-UA"/>
        </w:rPr>
        <w:t>50</w:t>
      </w:r>
      <w:r w:rsidRPr="00561AFB">
        <w:rPr>
          <w:rStyle w:val="a3"/>
          <w:color w:val="000000"/>
          <w:sz w:val="24"/>
          <w:szCs w:val="24"/>
          <w:lang w:val="uk-UA"/>
        </w:rPr>
        <w:t>S-субодиницею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 можливе на будь-якій стадії рибосомального циклу. У результаті відбувається гальмування процесу формування та нарощування </w:t>
      </w:r>
      <w:r w:rsidRPr="00561AFB">
        <w:rPr>
          <w:rStyle w:val="a3"/>
          <w:color w:val="000000"/>
          <w:sz w:val="24"/>
          <w:szCs w:val="24"/>
          <w:lang w:val="uk-UA"/>
        </w:rPr>
        <w:t xml:space="preserve">пептидного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ланцюга, що призводить до гибелі клітини.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right="40" w:firstLine="567"/>
        <w:jc w:val="both"/>
        <w:rPr>
          <w:rStyle w:val="a3"/>
          <w:color w:val="000000"/>
          <w:lang w:val="uk-UA" w:eastAsia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При пероральному застосуванні вірджиніаміцин не всмоктується </w:t>
      </w:r>
      <w:r w:rsidR="003348FD" w:rsidRPr="00561AFB">
        <w:rPr>
          <w:rStyle w:val="a3"/>
          <w:color w:val="000000"/>
          <w:sz w:val="24"/>
          <w:szCs w:val="24"/>
          <w:lang w:val="uk-UA" w:eastAsia="uk-UA"/>
        </w:rPr>
        <w:t xml:space="preserve">і його антибактеріальна дія обмежується виключно </w:t>
      </w:r>
      <w:r w:rsidR="00C218DD" w:rsidRPr="00561AFB">
        <w:rPr>
          <w:rStyle w:val="a3"/>
          <w:color w:val="000000"/>
          <w:sz w:val="24"/>
          <w:szCs w:val="24"/>
          <w:lang w:val="uk-UA" w:eastAsia="uk-UA"/>
        </w:rPr>
        <w:t>травним каналом</w:t>
      </w:r>
      <w:r w:rsidR="003348FD" w:rsidRPr="00561AFB">
        <w:rPr>
          <w:rStyle w:val="a3"/>
          <w:color w:val="000000"/>
          <w:sz w:val="24"/>
          <w:szCs w:val="24"/>
          <w:lang w:val="uk-UA" w:eastAsia="uk-UA"/>
        </w:rPr>
        <w:t xml:space="preserve">. </w:t>
      </w:r>
      <w:r w:rsidR="00C218DD" w:rsidRPr="00561AFB">
        <w:rPr>
          <w:rStyle w:val="a3"/>
          <w:color w:val="000000"/>
          <w:sz w:val="24"/>
          <w:szCs w:val="24"/>
          <w:lang w:val="uk-UA"/>
        </w:rPr>
        <w:t>У</w:t>
      </w:r>
      <w:r w:rsidR="003348FD" w:rsidRPr="00561AFB">
        <w:rPr>
          <w:rStyle w:val="a3"/>
          <w:color w:val="000000"/>
          <w:sz w:val="24"/>
          <w:szCs w:val="24"/>
          <w:lang w:val="uk-UA"/>
        </w:rPr>
        <w:t xml:space="preserve">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травному каналі </w:t>
      </w:r>
      <w:r w:rsidR="00C218DD" w:rsidRPr="00561AFB">
        <w:rPr>
          <w:rStyle w:val="a3"/>
          <w:color w:val="000000"/>
          <w:sz w:val="24"/>
          <w:szCs w:val="24"/>
          <w:lang w:val="uk-UA" w:eastAsia="uk-UA"/>
        </w:rPr>
        <w:t>він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 не зазнає впливу травних ферментів, завдяки чому досягається його висока концентрація, що сприяє тривалій </w:t>
      </w:r>
      <w:r w:rsidR="00C218DD" w:rsidRPr="00561AFB">
        <w:rPr>
          <w:rStyle w:val="a3"/>
          <w:color w:val="000000"/>
          <w:sz w:val="24"/>
          <w:szCs w:val="24"/>
          <w:lang w:val="uk-UA" w:eastAsia="uk-UA"/>
        </w:rPr>
        <w:t xml:space="preserve">антибактеріальній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дії в </w:t>
      </w:r>
      <w:r w:rsidR="00C218DD" w:rsidRPr="00561AFB">
        <w:rPr>
          <w:rStyle w:val="a3"/>
          <w:color w:val="000000"/>
          <w:sz w:val="24"/>
          <w:szCs w:val="24"/>
          <w:lang w:val="uk-UA" w:eastAsia="uk-UA"/>
        </w:rPr>
        <w:t>кишечнику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.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right="40" w:firstLine="567"/>
        <w:jc w:val="both"/>
        <w:rPr>
          <w:rStyle w:val="a3"/>
          <w:color w:val="000000"/>
          <w:lang w:val="uk-UA" w:eastAsia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Вірджиніаміцин не накопичується в органах і тканинах. </w:t>
      </w:r>
      <w:r w:rsidR="003348FD" w:rsidRPr="00561AFB">
        <w:rPr>
          <w:rStyle w:val="a3"/>
          <w:color w:val="000000"/>
          <w:sz w:val="24"/>
          <w:szCs w:val="24"/>
          <w:lang w:val="uk-UA" w:eastAsia="uk-UA"/>
        </w:rPr>
        <w:t xml:space="preserve">Концентрації </w:t>
      </w:r>
      <w:r w:rsidR="006C5061" w:rsidRPr="00561AFB">
        <w:rPr>
          <w:rStyle w:val="a3"/>
          <w:color w:val="000000"/>
          <w:sz w:val="24"/>
          <w:szCs w:val="24"/>
          <w:lang w:val="uk-UA" w:eastAsia="uk-UA"/>
        </w:rPr>
        <w:t>вірджиніаміцин</w:t>
      </w:r>
      <w:r w:rsidR="003348FD" w:rsidRPr="00561AFB">
        <w:rPr>
          <w:rStyle w:val="a3"/>
          <w:color w:val="000000"/>
          <w:sz w:val="24"/>
          <w:szCs w:val="24"/>
          <w:lang w:val="uk-UA" w:eastAsia="uk-UA"/>
        </w:rPr>
        <w:t xml:space="preserve">у у плазмі крові відсутні. </w:t>
      </w:r>
      <w:r w:rsidR="006C5061" w:rsidRPr="00561AFB">
        <w:rPr>
          <w:rStyle w:val="a3"/>
          <w:color w:val="000000"/>
          <w:sz w:val="24"/>
          <w:szCs w:val="24"/>
          <w:lang w:val="uk-UA" w:eastAsia="uk-UA"/>
        </w:rPr>
        <w:t>Вірджиніаміцин</w:t>
      </w:r>
      <w:r w:rsidR="003348FD" w:rsidRPr="00561AFB">
        <w:rPr>
          <w:rStyle w:val="a3"/>
          <w:color w:val="000000"/>
          <w:sz w:val="24"/>
          <w:szCs w:val="24"/>
          <w:lang w:val="uk-UA" w:eastAsia="uk-UA"/>
        </w:rPr>
        <w:t xml:space="preserve"> інтенсивно метаболізується </w:t>
      </w:r>
      <w:r w:rsidR="00172268" w:rsidRPr="00561AFB">
        <w:rPr>
          <w:rStyle w:val="a3"/>
          <w:color w:val="000000"/>
          <w:sz w:val="24"/>
          <w:szCs w:val="24"/>
          <w:lang w:val="uk-UA" w:eastAsia="uk-UA"/>
        </w:rPr>
        <w:t>і</w:t>
      </w:r>
      <w:r w:rsidR="003348FD" w:rsidRPr="00561AFB">
        <w:rPr>
          <w:rStyle w:val="a3"/>
          <w:color w:val="000000"/>
          <w:sz w:val="24"/>
          <w:szCs w:val="24"/>
          <w:lang w:val="uk-UA" w:eastAsia="uk-UA"/>
        </w:rPr>
        <w:t xml:space="preserve">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з організму виводиться в незміненому вигляді з </w:t>
      </w:r>
      <w:r w:rsidR="00BF1F6B" w:rsidRPr="00561AFB">
        <w:rPr>
          <w:rStyle w:val="a3"/>
          <w:color w:val="000000"/>
          <w:sz w:val="24"/>
          <w:szCs w:val="24"/>
          <w:lang w:val="uk-UA" w:eastAsia="uk-UA"/>
        </w:rPr>
        <w:t>фекаліями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.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sz w:val="24"/>
          <w:szCs w:val="24"/>
          <w:lang w:val="uk-UA"/>
        </w:rPr>
      </w:pPr>
      <w:bookmarkStart w:id="4" w:name="bookmark5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5 Клінічні особливості</w:t>
      </w:r>
      <w:bookmarkEnd w:id="4"/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sz w:val="24"/>
          <w:szCs w:val="24"/>
          <w:lang w:val="uk-UA"/>
        </w:rPr>
      </w:pPr>
      <w:bookmarkStart w:id="5" w:name="bookmark6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5.1 Вид тварин</w:t>
      </w:r>
      <w:bookmarkEnd w:id="5"/>
    </w:p>
    <w:p w:rsidR="009E070A" w:rsidRPr="00561AFB" w:rsidRDefault="00FA7B81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Кури (к</w:t>
      </w:r>
      <w:r w:rsidR="009E070A" w:rsidRPr="00561AFB">
        <w:rPr>
          <w:rStyle w:val="a3"/>
          <w:color w:val="000000"/>
          <w:sz w:val="24"/>
          <w:szCs w:val="24"/>
          <w:lang w:val="uk-UA" w:eastAsia="uk-UA"/>
        </w:rPr>
        <w:t>урчата-бройлери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)</w:t>
      </w:r>
      <w:r w:rsidR="009E070A" w:rsidRPr="00561AFB">
        <w:rPr>
          <w:rStyle w:val="a3"/>
          <w:color w:val="000000"/>
          <w:sz w:val="24"/>
          <w:szCs w:val="24"/>
          <w:lang w:val="uk-UA" w:eastAsia="uk-UA"/>
        </w:rPr>
        <w:t>.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sz w:val="24"/>
          <w:szCs w:val="24"/>
          <w:lang w:val="uk-UA"/>
        </w:rPr>
      </w:pPr>
      <w:bookmarkStart w:id="6" w:name="bookmark7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5.2 Показання до застосування</w:t>
      </w:r>
      <w:bookmarkEnd w:id="6"/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right="40"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Лікування курчат-бройлерів, хворих на некротичний ентерит, що спричинений </w:t>
      </w:r>
      <w:r w:rsidR="00F93D33" w:rsidRPr="00561AFB">
        <w:rPr>
          <w:i/>
          <w:sz w:val="24"/>
          <w:szCs w:val="24"/>
        </w:rPr>
        <w:t>Clostridium</w:t>
      </w:r>
      <w:r w:rsidR="00F93D33" w:rsidRPr="00561AFB">
        <w:rPr>
          <w:i/>
          <w:sz w:val="24"/>
          <w:szCs w:val="24"/>
          <w:lang w:val="uk-UA"/>
        </w:rPr>
        <w:t xml:space="preserve"> </w:t>
      </w:r>
      <w:r w:rsidR="00F93D33" w:rsidRPr="00561AFB">
        <w:rPr>
          <w:i/>
          <w:sz w:val="24"/>
          <w:szCs w:val="24"/>
        </w:rPr>
        <w:t>perfringens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, чутлив</w:t>
      </w:r>
      <w:r w:rsidR="00F93D33" w:rsidRPr="00561AFB">
        <w:rPr>
          <w:rStyle w:val="a3"/>
          <w:color w:val="000000"/>
          <w:sz w:val="24"/>
          <w:szCs w:val="24"/>
          <w:lang w:val="uk-UA" w:eastAsia="uk-UA"/>
        </w:rPr>
        <w:t>ою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 до вірджиніаміцину.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sz w:val="24"/>
          <w:szCs w:val="24"/>
          <w:lang w:val="uk-UA"/>
        </w:rPr>
      </w:pPr>
      <w:bookmarkStart w:id="7" w:name="bookmark8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5.3 Протипоказання</w:t>
      </w:r>
      <w:bookmarkEnd w:id="7"/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Підвищена чутливість до вірджиніаміцину.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sz w:val="24"/>
          <w:szCs w:val="24"/>
          <w:lang w:val="uk-UA"/>
        </w:rPr>
        <w:t>Не застосовувати курям-несучкам, яйця яких використовують для споживання людям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.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sz w:val="24"/>
          <w:szCs w:val="24"/>
          <w:lang w:val="uk-UA"/>
        </w:rPr>
      </w:pPr>
      <w:bookmarkStart w:id="8" w:name="bookmark9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5.4 Побічна дія</w:t>
      </w:r>
      <w:bookmarkEnd w:id="8"/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Відсутня.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after="8" w:line="240" w:lineRule="auto"/>
        <w:ind w:left="567" w:firstLine="0"/>
        <w:rPr>
          <w:sz w:val="24"/>
          <w:szCs w:val="24"/>
          <w:lang w:val="uk-UA"/>
        </w:rPr>
      </w:pPr>
      <w:bookmarkStart w:id="9" w:name="bookmark10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5.5 Особливі застереження при використанні</w:t>
      </w:r>
      <w:bookmarkEnd w:id="9"/>
    </w:p>
    <w:p w:rsidR="00561AFB" w:rsidRPr="00561AFB" w:rsidRDefault="00561AFB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rStyle w:val="a3"/>
          <w:b w:val="0"/>
          <w:bCs w:val="0"/>
          <w:color w:val="000000"/>
          <w:sz w:val="24"/>
          <w:szCs w:val="24"/>
          <w:lang w:val="uk-UA" w:eastAsia="uk-UA"/>
        </w:rPr>
      </w:pPr>
      <w:bookmarkStart w:id="10" w:name="bookmark11"/>
      <w:r w:rsidRPr="00561AFB">
        <w:rPr>
          <w:rStyle w:val="a3"/>
          <w:b w:val="0"/>
          <w:bCs w:val="0"/>
          <w:color w:val="000000"/>
          <w:sz w:val="24"/>
          <w:szCs w:val="24"/>
          <w:lang w:val="uk-UA" w:eastAsia="uk-UA"/>
        </w:rPr>
        <w:t xml:space="preserve">Перед застосуванням препарату необхідно провести тест на чутливість мікроорганізмів-збудників до вірджиніаміцину 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sz w:val="24"/>
          <w:szCs w:val="24"/>
          <w:lang w:val="uk-UA"/>
        </w:rPr>
      </w:pPr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5.6 Використання під час вагітності, лактації, несучості</w:t>
      </w:r>
      <w:bookmarkEnd w:id="10"/>
    </w:p>
    <w:p w:rsidR="00877D58" w:rsidRPr="00561AFB" w:rsidRDefault="009E070A" w:rsidP="00FA7B81">
      <w:pPr>
        <w:pStyle w:val="a4"/>
        <w:shd w:val="clear" w:color="auto" w:fill="auto"/>
        <w:spacing w:after="0" w:line="240" w:lineRule="auto"/>
        <w:ind w:right="40" w:firstLine="567"/>
        <w:jc w:val="both"/>
        <w:rPr>
          <w:rStyle w:val="a3"/>
          <w:color w:val="000000"/>
          <w:sz w:val="24"/>
          <w:szCs w:val="24"/>
          <w:lang w:val="uk-UA" w:eastAsia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Не застосовувати курям</w:t>
      </w:r>
      <w:r w:rsidR="006A0DB1" w:rsidRPr="00561AFB">
        <w:rPr>
          <w:rStyle w:val="a3"/>
          <w:color w:val="000000"/>
          <w:sz w:val="24"/>
          <w:szCs w:val="24"/>
          <w:lang w:eastAsia="uk-UA"/>
        </w:rPr>
        <w:t>-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несучкам, яйця яких використовують для споживання людям. 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right="40"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Не рекомендують застосовувати племінній птиці.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sz w:val="24"/>
          <w:szCs w:val="24"/>
          <w:lang w:val="uk-UA"/>
        </w:rPr>
      </w:pPr>
      <w:bookmarkStart w:id="11" w:name="bookmark12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5.7 Взаємодія з іншими засобами та інші форми взаємодії</w:t>
      </w:r>
      <w:bookmarkEnd w:id="11"/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right="40"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Дозволяється застосування препарату одночасно з іншими антибактеріальними засобами, а також одночасно з кокцидіостатиками та нестероїдними протизапальними засобами.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sz w:val="24"/>
          <w:szCs w:val="24"/>
          <w:lang w:val="uk-UA"/>
        </w:rPr>
      </w:pPr>
      <w:bookmarkStart w:id="12" w:name="bookmark13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5.8 Дози і способи введення тваринам різного віку</w:t>
      </w:r>
      <w:bookmarkEnd w:id="12"/>
    </w:p>
    <w:p w:rsidR="009E070A" w:rsidRPr="00561AFB" w:rsidRDefault="009E070A" w:rsidP="00FA7B81">
      <w:pPr>
        <w:pStyle w:val="a4"/>
        <w:shd w:val="clear" w:color="auto" w:fill="auto"/>
        <w:tabs>
          <w:tab w:val="right" w:pos="8886"/>
        </w:tabs>
        <w:spacing w:after="0" w:line="240" w:lineRule="auto"/>
        <w:ind w:right="40" w:firstLine="567"/>
        <w:jc w:val="both"/>
        <w:rPr>
          <w:rStyle w:val="a3"/>
          <w:color w:val="000000"/>
          <w:sz w:val="24"/>
          <w:szCs w:val="24"/>
          <w:lang w:eastAsia="uk-UA"/>
        </w:rPr>
      </w:pPr>
      <w:r w:rsidRPr="00561AFB">
        <w:rPr>
          <w:rStyle w:val="a3"/>
          <w:color w:val="000000"/>
          <w:sz w:val="24"/>
          <w:szCs w:val="24"/>
          <w:lang w:val="uk-UA"/>
        </w:rPr>
        <w:t xml:space="preserve">Перорально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у дозі 180-200 г препарату на 1000 кг готового корму (20-22 г вірджиніаміцину на 1000 кг готового корму) </w:t>
      </w:r>
      <w:r w:rsidR="00205862" w:rsidRPr="00561AFB">
        <w:rPr>
          <w:rStyle w:val="a3"/>
          <w:color w:val="000000"/>
          <w:sz w:val="24"/>
          <w:szCs w:val="24"/>
          <w:lang w:val="uk-UA" w:eastAsia="uk-UA"/>
        </w:rPr>
        <w:t xml:space="preserve">або 1 мг препарату на 1 кг маси тіла </w:t>
      </w:r>
      <w:r w:rsidR="006C5061" w:rsidRPr="00561AFB">
        <w:rPr>
          <w:rStyle w:val="a3"/>
          <w:color w:val="000000"/>
          <w:sz w:val="24"/>
          <w:szCs w:val="24"/>
          <w:lang w:val="uk-UA" w:eastAsia="uk-UA"/>
        </w:rPr>
        <w:t>щодобово протягом 5-7 діб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.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ab/>
      </w:r>
    </w:p>
    <w:p w:rsidR="00951346" w:rsidRPr="00561AFB" w:rsidRDefault="00951346" w:rsidP="00FA7B81">
      <w:pPr>
        <w:pStyle w:val="a4"/>
        <w:shd w:val="clear" w:color="auto" w:fill="auto"/>
        <w:tabs>
          <w:tab w:val="right" w:pos="8886"/>
        </w:tabs>
        <w:spacing w:after="0" w:line="240" w:lineRule="auto"/>
        <w:ind w:right="40" w:firstLine="567"/>
        <w:jc w:val="both"/>
        <w:rPr>
          <w:rStyle w:val="a3"/>
          <w:color w:val="000000"/>
          <w:sz w:val="24"/>
          <w:szCs w:val="24"/>
          <w:lang w:eastAsia="uk-UA"/>
        </w:rPr>
      </w:pPr>
    </w:p>
    <w:p w:rsidR="00205862" w:rsidRPr="00561AFB" w:rsidRDefault="00205862" w:rsidP="00205862">
      <w:pPr>
        <w:pStyle w:val="a4"/>
        <w:shd w:val="clear" w:color="auto" w:fill="auto"/>
        <w:spacing w:after="13" w:line="240" w:lineRule="auto"/>
        <w:ind w:left="5245" w:right="40"/>
        <w:rPr>
          <w:rStyle w:val="a3"/>
          <w:color w:val="000000"/>
          <w:sz w:val="24"/>
          <w:szCs w:val="24"/>
          <w:lang w:val="uk-UA" w:eastAsia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Продовження додатку 1</w:t>
      </w:r>
    </w:p>
    <w:p w:rsidR="00205862" w:rsidRPr="00561AFB" w:rsidRDefault="00205862" w:rsidP="00205862">
      <w:pPr>
        <w:pStyle w:val="a4"/>
        <w:shd w:val="clear" w:color="auto" w:fill="auto"/>
        <w:spacing w:after="13" w:line="240" w:lineRule="auto"/>
        <w:ind w:left="5245" w:right="40"/>
        <w:rPr>
          <w:rStyle w:val="a3"/>
          <w:color w:val="000000"/>
          <w:sz w:val="24"/>
          <w:szCs w:val="24"/>
          <w:lang w:val="uk-UA" w:eastAsia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до реєстраційного посвідчення АА-06176-01-15</w:t>
      </w:r>
    </w:p>
    <w:p w:rsidR="00205862" w:rsidRPr="00561AFB" w:rsidRDefault="00205862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rStyle w:val="a3"/>
          <w:color w:val="000000"/>
          <w:sz w:val="24"/>
          <w:szCs w:val="24"/>
          <w:lang w:val="uk-UA" w:eastAsia="uk-UA"/>
        </w:rPr>
      </w:pPr>
    </w:p>
    <w:p w:rsidR="00205862" w:rsidRPr="00561AFB" w:rsidRDefault="00205862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rStyle w:val="a3"/>
          <w:color w:val="000000"/>
          <w:sz w:val="24"/>
          <w:szCs w:val="24"/>
          <w:lang w:eastAsia="uk-UA"/>
        </w:rPr>
      </w:pP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За необхідності курс лікування можна повторити.</w:t>
      </w:r>
    </w:p>
    <w:p w:rsidR="009E070A" w:rsidRPr="00561AFB" w:rsidRDefault="009E070A" w:rsidP="00FA7B81">
      <w:pPr>
        <w:pStyle w:val="40"/>
        <w:keepNext/>
        <w:keepLines/>
        <w:shd w:val="clear" w:color="auto" w:fill="auto"/>
        <w:spacing w:before="0" w:line="240" w:lineRule="auto"/>
        <w:ind w:left="567" w:firstLine="0"/>
        <w:rPr>
          <w:sz w:val="24"/>
          <w:szCs w:val="24"/>
          <w:lang w:val="uk-UA"/>
        </w:rPr>
      </w:pPr>
      <w:bookmarkStart w:id="13" w:name="bookmark14"/>
      <w:r w:rsidRPr="00561AFB">
        <w:rPr>
          <w:rStyle w:val="4"/>
          <w:b/>
          <w:bCs/>
          <w:color w:val="000000"/>
          <w:sz w:val="24"/>
          <w:szCs w:val="24"/>
          <w:lang w:val="uk-UA" w:eastAsia="uk-UA"/>
        </w:rPr>
        <w:t>5.9 Передозування (симптоми, невідкладні заходи, антидоти)</w:t>
      </w:r>
      <w:bookmarkEnd w:id="13"/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right="40" w:firstLine="567"/>
        <w:jc w:val="both"/>
        <w:rPr>
          <w:rStyle w:val="a3"/>
          <w:color w:val="000000"/>
          <w:sz w:val="24"/>
          <w:szCs w:val="24"/>
          <w:lang w:val="uk-UA" w:eastAsia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При передозуванні у тварин можуть спостерігатись відсутність апетиту, зменшене споживання води та втрата ваги. </w:t>
      </w:r>
    </w:p>
    <w:p w:rsidR="009E070A" w:rsidRPr="00561AFB" w:rsidRDefault="009E070A" w:rsidP="00FA7B81">
      <w:pPr>
        <w:pStyle w:val="20"/>
        <w:shd w:val="clear" w:color="auto" w:fill="auto"/>
        <w:spacing w:before="0" w:after="0" w:line="240" w:lineRule="auto"/>
        <w:ind w:left="567" w:firstLine="33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5.10 Спеціальні застереження</w:t>
      </w:r>
    </w:p>
    <w:p w:rsidR="009E070A" w:rsidRPr="00561AFB" w:rsidRDefault="009E070A" w:rsidP="00FA7B81">
      <w:pPr>
        <w:pStyle w:val="a4"/>
        <w:shd w:val="clear" w:color="auto" w:fill="auto"/>
        <w:tabs>
          <w:tab w:val="right" w:pos="7982"/>
        </w:tabs>
        <w:spacing w:after="0" w:line="240" w:lineRule="auto"/>
        <w:ind w:left="600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Відсутні.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ab/>
      </w:r>
    </w:p>
    <w:p w:rsidR="009E070A" w:rsidRPr="00561AFB" w:rsidRDefault="009E070A" w:rsidP="00FA7B81">
      <w:pPr>
        <w:pStyle w:val="20"/>
        <w:shd w:val="clear" w:color="auto" w:fill="auto"/>
        <w:spacing w:before="0" w:after="0" w:line="240" w:lineRule="auto"/>
        <w:ind w:left="600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5.11 Період виведення (каренції)</w:t>
      </w:r>
    </w:p>
    <w:p w:rsidR="009E070A" w:rsidRPr="00561AFB" w:rsidRDefault="00561AFB" w:rsidP="00FA7B81">
      <w:pPr>
        <w:pStyle w:val="a4"/>
        <w:shd w:val="clear" w:color="auto" w:fill="auto"/>
        <w:spacing w:after="0" w:line="240" w:lineRule="auto"/>
        <w:ind w:left="600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0</w:t>
      </w:r>
      <w:r w:rsidR="009E070A" w:rsidRPr="00561AFB">
        <w:rPr>
          <w:rStyle w:val="a3"/>
          <w:color w:val="000000"/>
          <w:sz w:val="24"/>
          <w:szCs w:val="24"/>
          <w:lang w:val="uk-UA" w:eastAsia="uk-UA"/>
        </w:rPr>
        <w:t xml:space="preserve"> діб.</w:t>
      </w:r>
    </w:p>
    <w:p w:rsidR="009E070A" w:rsidRPr="00561AFB" w:rsidRDefault="009E070A" w:rsidP="00FA7B81">
      <w:pPr>
        <w:pStyle w:val="20"/>
        <w:shd w:val="clear" w:color="auto" w:fill="auto"/>
        <w:spacing w:before="0" w:after="0" w:line="240" w:lineRule="auto"/>
        <w:ind w:left="600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5.12 Спеціальні застереження для осіб і обслуговуючого персоналу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left="600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Дотримуватись правил роботи із ветеринарними препаратами.</w:t>
      </w:r>
    </w:p>
    <w:p w:rsidR="009E070A" w:rsidRPr="00561AFB" w:rsidRDefault="009E070A" w:rsidP="00FA7B81">
      <w:pPr>
        <w:pStyle w:val="20"/>
        <w:shd w:val="clear" w:color="auto" w:fill="auto"/>
        <w:spacing w:before="0" w:after="0" w:line="240" w:lineRule="auto"/>
        <w:ind w:left="600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6 Фармацевтичні особливості</w:t>
      </w:r>
    </w:p>
    <w:p w:rsidR="009E070A" w:rsidRPr="00561AFB" w:rsidRDefault="009E070A" w:rsidP="00FA7B81">
      <w:pPr>
        <w:pStyle w:val="20"/>
        <w:shd w:val="clear" w:color="auto" w:fill="auto"/>
        <w:spacing w:before="0" w:after="0" w:line="240" w:lineRule="auto"/>
        <w:ind w:left="600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6.1 Форми несумісності (основні)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left="600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Не відомі.</w:t>
      </w:r>
    </w:p>
    <w:p w:rsidR="009E070A" w:rsidRPr="00561AFB" w:rsidRDefault="009E070A" w:rsidP="00FA7B81">
      <w:pPr>
        <w:pStyle w:val="20"/>
        <w:shd w:val="clear" w:color="auto" w:fill="auto"/>
        <w:spacing w:before="0" w:after="0" w:line="240" w:lineRule="auto"/>
        <w:ind w:left="600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6.2 Термін придатності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left="600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3 роки.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left="20" w:right="20" w:firstLine="580"/>
        <w:jc w:val="both"/>
        <w:rPr>
          <w:rStyle w:val="a3"/>
          <w:color w:val="000000"/>
          <w:sz w:val="24"/>
          <w:szCs w:val="24"/>
          <w:lang w:val="uk-UA" w:eastAsia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Після першого відкриття упаковки препарат застосовують протягом 6 місяців за умови зберігання у сухому, темному місці </w:t>
      </w:r>
      <w:r w:rsidR="00EB1947" w:rsidRPr="00561AFB">
        <w:rPr>
          <w:rStyle w:val="a3"/>
          <w:color w:val="000000"/>
          <w:sz w:val="24"/>
          <w:szCs w:val="24"/>
          <w:lang w:val="uk-UA" w:eastAsia="uk-UA"/>
        </w:rPr>
        <w:t xml:space="preserve">за температури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від мінус 25 до 25°С.</w:t>
      </w:r>
      <w:r w:rsidR="00172268" w:rsidRPr="00561AFB">
        <w:rPr>
          <w:rStyle w:val="a3"/>
          <w:color w:val="000000"/>
          <w:sz w:val="24"/>
          <w:szCs w:val="24"/>
          <w:lang w:val="uk-UA" w:eastAsia="uk-UA"/>
        </w:rPr>
        <w:t xml:space="preserve"> </w:t>
      </w:r>
    </w:p>
    <w:p w:rsidR="00172268" w:rsidRPr="00561AFB" w:rsidRDefault="00172268" w:rsidP="00FA7B81">
      <w:pPr>
        <w:pStyle w:val="a4"/>
        <w:shd w:val="clear" w:color="auto" w:fill="auto"/>
        <w:spacing w:after="0" w:line="240" w:lineRule="auto"/>
        <w:ind w:left="20" w:right="20" w:firstLine="580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Корм з препаратом використовують протягом 3 місяців.</w:t>
      </w:r>
    </w:p>
    <w:p w:rsidR="009E070A" w:rsidRPr="00561AFB" w:rsidRDefault="009E070A" w:rsidP="00FA7B81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6.3 Особливі заходи зберігання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Сухе темне, не доступне для дітей місце </w:t>
      </w:r>
      <w:r w:rsidR="00172268" w:rsidRPr="00561AFB">
        <w:rPr>
          <w:rStyle w:val="a3"/>
          <w:color w:val="000000"/>
          <w:sz w:val="24"/>
          <w:szCs w:val="24"/>
          <w:lang w:val="uk-UA" w:eastAsia="uk-UA"/>
        </w:rPr>
        <w:t xml:space="preserve">за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температур</w:t>
      </w:r>
      <w:r w:rsidR="00172268" w:rsidRPr="00561AFB">
        <w:rPr>
          <w:rStyle w:val="a3"/>
          <w:color w:val="000000"/>
          <w:sz w:val="24"/>
          <w:szCs w:val="24"/>
          <w:lang w:val="uk-UA" w:eastAsia="uk-UA"/>
        </w:rPr>
        <w:t>и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 від мінус 25 до 25 °С.</w:t>
      </w:r>
    </w:p>
    <w:p w:rsidR="009E070A" w:rsidRPr="00561AFB" w:rsidRDefault="009E070A" w:rsidP="00FA7B81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6.4 Природа і склад контейнера первинного упакування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Паперові пакети з пароізоляційним поліетиленовим бар’єром по 25 кг.</w:t>
      </w:r>
    </w:p>
    <w:p w:rsidR="009E070A" w:rsidRPr="00561AFB" w:rsidRDefault="009E070A" w:rsidP="00FA7B81">
      <w:pPr>
        <w:pStyle w:val="20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6.5 Особливі заходи безпеки при поводженні з невикористаним препаратом або із його залишками</w:t>
      </w:r>
    </w:p>
    <w:p w:rsidR="009E070A" w:rsidRPr="00561AFB" w:rsidRDefault="009E070A" w:rsidP="00FA7B81">
      <w:pPr>
        <w:pStyle w:val="a4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Порожню упаковку та залишки невикористаного препарату потрібно утилізувати згідно з чинним законодавством.</w:t>
      </w:r>
    </w:p>
    <w:p w:rsidR="009E070A" w:rsidRPr="00561AFB" w:rsidRDefault="009E070A" w:rsidP="00FA7B81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7. Назва та місцезнаходження власника реєстраційного посвідчення</w:t>
      </w:r>
    </w:p>
    <w:p w:rsidR="009E070A" w:rsidRPr="00561AFB" w:rsidRDefault="009E070A" w:rsidP="00FA7B81">
      <w:pPr>
        <w:pStyle w:val="a4"/>
        <w:shd w:val="clear" w:color="auto" w:fill="auto"/>
        <w:tabs>
          <w:tab w:val="left" w:pos="5787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Файбро Енімал Хелс Корпорейшн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ab/>
      </w:r>
      <w:r w:rsidRPr="00561AFB">
        <w:rPr>
          <w:rStyle w:val="a3"/>
          <w:color w:val="000000"/>
          <w:sz w:val="24"/>
          <w:szCs w:val="24"/>
          <w:lang w:val="uk-UA"/>
        </w:rPr>
        <w:t>Phibro Animal Health Corporation</w:t>
      </w:r>
    </w:p>
    <w:p w:rsidR="009E070A" w:rsidRPr="00561AFB" w:rsidRDefault="00B02E2E" w:rsidP="00FA7B81">
      <w:pPr>
        <w:pStyle w:val="a4"/>
        <w:shd w:val="clear" w:color="auto" w:fill="auto"/>
        <w:tabs>
          <w:tab w:val="left" w:pos="5787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Ґ</w:t>
      </w:r>
      <w:r w:rsidR="009E070A" w:rsidRPr="00561AFB">
        <w:rPr>
          <w:rStyle w:val="a3"/>
          <w:color w:val="000000"/>
          <w:sz w:val="24"/>
          <w:szCs w:val="24"/>
          <w:lang w:val="uk-UA" w:eastAsia="uk-UA"/>
        </w:rPr>
        <w:t>ленпоінт Сентер Іст, поверх 3</w:t>
      </w:r>
      <w:r w:rsidR="009E070A" w:rsidRPr="00561AFB">
        <w:rPr>
          <w:rStyle w:val="a3"/>
          <w:color w:val="000000"/>
          <w:sz w:val="24"/>
          <w:szCs w:val="24"/>
          <w:lang w:val="uk-UA" w:eastAsia="uk-UA"/>
        </w:rPr>
        <w:tab/>
      </w:r>
      <w:r w:rsidR="009E070A" w:rsidRPr="00561AFB">
        <w:rPr>
          <w:rStyle w:val="a3"/>
          <w:color w:val="000000"/>
          <w:sz w:val="24"/>
          <w:szCs w:val="24"/>
          <w:lang w:val="uk-UA"/>
        </w:rPr>
        <w:t xml:space="preserve">Glenpointe Centre East, </w:t>
      </w:r>
      <w:r w:rsidR="000D329B" w:rsidRPr="00561AFB">
        <w:rPr>
          <w:rStyle w:val="Exact"/>
          <w:color w:val="000000"/>
          <w:sz w:val="24"/>
          <w:szCs w:val="24"/>
        </w:rPr>
        <w:t>Floor</w:t>
      </w:r>
      <w:r w:rsidR="000D329B" w:rsidRPr="00561AFB">
        <w:rPr>
          <w:rStyle w:val="Exact"/>
          <w:color w:val="000000"/>
          <w:sz w:val="24"/>
          <w:szCs w:val="24"/>
          <w:lang w:val="uk-UA"/>
        </w:rPr>
        <w:t xml:space="preserve"> 3</w:t>
      </w:r>
    </w:p>
    <w:p w:rsidR="009E070A" w:rsidRPr="00561AFB" w:rsidRDefault="009E070A" w:rsidP="00FA7B81">
      <w:pPr>
        <w:pStyle w:val="a4"/>
        <w:shd w:val="clear" w:color="auto" w:fill="auto"/>
        <w:tabs>
          <w:tab w:val="left" w:pos="5787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/>
        </w:rPr>
        <w:t xml:space="preserve">300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Френк В.Бер Блвд., офіс 21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ab/>
        <w:t xml:space="preserve">300 </w:t>
      </w:r>
      <w:r w:rsidRPr="00561AFB">
        <w:rPr>
          <w:rStyle w:val="a3"/>
          <w:color w:val="000000"/>
          <w:sz w:val="24"/>
          <w:szCs w:val="24"/>
          <w:lang w:val="uk-UA"/>
        </w:rPr>
        <w:t xml:space="preserve">Frank W. Burr Blvd., </w:t>
      </w:r>
      <w:r w:rsidR="000D329B" w:rsidRPr="00561AFB">
        <w:rPr>
          <w:rStyle w:val="Exact"/>
          <w:color w:val="000000"/>
          <w:sz w:val="24"/>
          <w:szCs w:val="24"/>
        </w:rPr>
        <w:t>Suite</w:t>
      </w:r>
      <w:r w:rsidR="000D329B" w:rsidRPr="00561AFB">
        <w:rPr>
          <w:rStyle w:val="Exact"/>
          <w:color w:val="000000"/>
          <w:sz w:val="24"/>
          <w:szCs w:val="24"/>
          <w:lang w:val="uk-UA"/>
        </w:rPr>
        <w:t xml:space="preserve"> 21</w:t>
      </w:r>
    </w:p>
    <w:p w:rsidR="009E070A" w:rsidRPr="00561AFB" w:rsidRDefault="009E070A" w:rsidP="00FA7B81">
      <w:pPr>
        <w:pStyle w:val="a4"/>
        <w:shd w:val="clear" w:color="auto" w:fill="auto"/>
        <w:tabs>
          <w:tab w:val="left" w:pos="5787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Тінек, Нью Джерсі, 07666-6712, С</w:t>
      </w:r>
      <w:r w:rsidR="00E5705D" w:rsidRPr="00561AFB">
        <w:rPr>
          <w:rStyle w:val="a3"/>
          <w:color w:val="000000"/>
          <w:sz w:val="24"/>
          <w:szCs w:val="24"/>
          <w:lang w:val="uk-UA" w:eastAsia="uk-UA"/>
        </w:rPr>
        <w:t>Ш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А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ab/>
      </w:r>
      <w:r w:rsidRPr="00561AFB">
        <w:rPr>
          <w:rStyle w:val="a3"/>
          <w:color w:val="000000"/>
          <w:sz w:val="24"/>
          <w:szCs w:val="24"/>
          <w:lang w:val="uk-UA"/>
        </w:rPr>
        <w:t xml:space="preserve">Teaneck, New Jersey, 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>07</w:t>
      </w:r>
      <w:r w:rsidR="006C1C35" w:rsidRPr="00561AFB">
        <w:rPr>
          <w:rStyle w:val="a3"/>
          <w:color w:val="000000"/>
          <w:sz w:val="24"/>
          <w:szCs w:val="24"/>
          <w:lang w:val="uk-UA" w:eastAsia="uk-UA"/>
        </w:rPr>
        <w:t>6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 xml:space="preserve">66-6712, </w:t>
      </w:r>
      <w:r w:rsidRPr="00561AFB">
        <w:rPr>
          <w:rStyle w:val="a3"/>
          <w:color w:val="000000"/>
          <w:sz w:val="24"/>
          <w:szCs w:val="24"/>
          <w:lang w:val="uk-UA" w:eastAsia="fr-FR"/>
        </w:rPr>
        <w:t>USA</w:t>
      </w:r>
    </w:p>
    <w:p w:rsidR="009E070A" w:rsidRPr="00561AFB" w:rsidRDefault="009E070A" w:rsidP="00FA7B81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2"/>
          <w:b/>
          <w:bCs/>
          <w:sz w:val="24"/>
          <w:szCs w:val="24"/>
          <w:lang w:val="uk-UA"/>
        </w:rPr>
        <w:t>8. Назва та місцезнаходження виробника (виробників)</w:t>
      </w:r>
    </w:p>
    <w:p w:rsidR="009E070A" w:rsidRPr="00561AFB" w:rsidRDefault="009E070A" w:rsidP="00FA7B81">
      <w:pPr>
        <w:pStyle w:val="a4"/>
        <w:shd w:val="clear" w:color="auto" w:fill="auto"/>
        <w:tabs>
          <w:tab w:val="left" w:pos="5787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Рідлі ЮЕсЕй, Інк.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ab/>
      </w:r>
      <w:r w:rsidRPr="00561AFB">
        <w:rPr>
          <w:rStyle w:val="a3"/>
          <w:color w:val="000000"/>
          <w:sz w:val="24"/>
          <w:szCs w:val="24"/>
          <w:lang w:val="uk-UA"/>
        </w:rPr>
        <w:t>Ridley USA, Inc.</w:t>
      </w:r>
    </w:p>
    <w:p w:rsidR="009E070A" w:rsidRPr="00561AFB" w:rsidRDefault="009E070A" w:rsidP="00FA7B81">
      <w:pPr>
        <w:pStyle w:val="a4"/>
        <w:shd w:val="clear" w:color="auto" w:fill="auto"/>
        <w:tabs>
          <w:tab w:val="left" w:pos="5787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1609 1-ша Авеню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ab/>
        <w:t>1609 1</w:t>
      </w:r>
      <w:r w:rsidRPr="00561AFB">
        <w:rPr>
          <w:rStyle w:val="a3"/>
          <w:color w:val="000000"/>
          <w:sz w:val="24"/>
          <w:szCs w:val="24"/>
          <w:vertAlign w:val="superscript"/>
          <w:lang w:val="uk-UA"/>
        </w:rPr>
        <w:t>st</w:t>
      </w:r>
      <w:r w:rsidRPr="00561AFB">
        <w:rPr>
          <w:rStyle w:val="a3"/>
          <w:color w:val="000000"/>
          <w:sz w:val="24"/>
          <w:szCs w:val="24"/>
          <w:lang w:val="uk-UA"/>
        </w:rPr>
        <w:t xml:space="preserve"> Avenue</w:t>
      </w:r>
    </w:p>
    <w:p w:rsidR="009E070A" w:rsidRPr="00561AFB" w:rsidRDefault="009E070A" w:rsidP="00FA7B81">
      <w:pPr>
        <w:pStyle w:val="a4"/>
        <w:shd w:val="clear" w:color="auto" w:fill="auto"/>
        <w:tabs>
          <w:tab w:val="left" w:pos="5787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Мендота, Іллінойс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ab/>
      </w:r>
      <w:r w:rsidRPr="00561AFB">
        <w:rPr>
          <w:rStyle w:val="a3"/>
          <w:color w:val="000000"/>
          <w:sz w:val="24"/>
          <w:szCs w:val="24"/>
          <w:lang w:val="uk-UA"/>
        </w:rPr>
        <w:t>Mendota, Illinois</w:t>
      </w:r>
    </w:p>
    <w:p w:rsidR="00951346" w:rsidRPr="00561AFB" w:rsidRDefault="009E070A" w:rsidP="0012359C">
      <w:pPr>
        <w:pStyle w:val="a4"/>
        <w:shd w:val="clear" w:color="auto" w:fill="auto"/>
        <w:tabs>
          <w:tab w:val="left" w:pos="5787"/>
        </w:tabs>
        <w:spacing w:after="0" w:line="240" w:lineRule="auto"/>
        <w:ind w:firstLine="567"/>
        <w:jc w:val="both"/>
        <w:sectPr w:rsidR="00951346" w:rsidRPr="00561AFB" w:rsidSect="00951346">
          <w:footerReference w:type="default" r:id="rId7"/>
          <w:pgSz w:w="11906" w:h="16838" w:code="9"/>
          <w:pgMar w:top="567" w:right="454" w:bottom="454" w:left="993" w:header="709" w:footer="129" w:gutter="0"/>
          <w:cols w:space="708"/>
          <w:docGrid w:linePitch="360"/>
        </w:sectPr>
      </w:pPr>
      <w:r w:rsidRPr="00561AFB">
        <w:rPr>
          <w:rStyle w:val="a3"/>
          <w:color w:val="000000"/>
          <w:sz w:val="24"/>
          <w:szCs w:val="24"/>
          <w:lang w:val="uk-UA" w:eastAsia="uk-UA"/>
        </w:rPr>
        <w:t>61342-1366, США</w:t>
      </w:r>
      <w:r w:rsidRPr="00561AFB">
        <w:rPr>
          <w:rStyle w:val="a3"/>
          <w:color w:val="000000"/>
          <w:sz w:val="24"/>
          <w:szCs w:val="24"/>
          <w:lang w:val="uk-UA" w:eastAsia="uk-UA"/>
        </w:rPr>
        <w:tab/>
        <w:t xml:space="preserve">61342-1366, </w:t>
      </w:r>
      <w:r w:rsidRPr="00561AFB">
        <w:rPr>
          <w:rStyle w:val="a3"/>
          <w:color w:val="000000"/>
          <w:sz w:val="24"/>
          <w:szCs w:val="24"/>
          <w:lang w:val="uk-UA" w:eastAsia="fr-FR"/>
        </w:rPr>
        <w:t>USA</w:t>
      </w:r>
    </w:p>
    <w:p w:rsidR="0012359C" w:rsidRPr="00561AFB" w:rsidRDefault="0012359C" w:rsidP="00951346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51346" w:rsidRPr="00561AFB" w:rsidRDefault="00951346" w:rsidP="00951346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lang w:eastAsia="en-US"/>
        </w:rPr>
      </w:pPr>
      <w:r w:rsidRPr="00561AFB">
        <w:rPr>
          <w:rFonts w:ascii="Times New Roman" w:eastAsiaTheme="minorHAnsi" w:hAnsi="Times New Roman" w:cs="Times New Roman"/>
          <w:color w:val="auto"/>
          <w:lang w:eastAsia="en-US"/>
        </w:rPr>
        <w:t>Фібро Сауде Анімал Інтернасіональ Лтда.,</w:t>
      </w:r>
    </w:p>
    <w:p w:rsidR="00951346" w:rsidRPr="00561AFB" w:rsidRDefault="00951346" w:rsidP="00951346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lang w:eastAsia="en-US"/>
        </w:rPr>
      </w:pPr>
      <w:r w:rsidRPr="00561AFB">
        <w:rPr>
          <w:rFonts w:ascii="Times New Roman" w:eastAsiaTheme="minorHAnsi" w:hAnsi="Times New Roman" w:cs="Times New Roman"/>
          <w:color w:val="auto"/>
          <w:lang w:eastAsia="en-US"/>
        </w:rPr>
        <w:t>Авеніда Презіденте. Танкредо ді Альмейда Невіс</w:t>
      </w:r>
      <w:r w:rsidRPr="00561AFB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  <w:r w:rsidRPr="00561AFB">
        <w:rPr>
          <w:rFonts w:ascii="Times New Roman" w:eastAsiaTheme="minorHAnsi" w:hAnsi="Times New Roman" w:cs="Times New Roman"/>
          <w:color w:val="auto"/>
          <w:lang w:eastAsia="en-US"/>
        </w:rPr>
        <w:t>No 1063</w:t>
      </w:r>
    </w:p>
    <w:p w:rsidR="00951346" w:rsidRPr="00561AFB" w:rsidRDefault="00951346" w:rsidP="00951346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lang w:eastAsia="en-US"/>
        </w:rPr>
      </w:pPr>
      <w:r w:rsidRPr="00561AFB">
        <w:rPr>
          <w:rFonts w:ascii="Times New Roman" w:eastAsiaTheme="minorHAnsi" w:hAnsi="Times New Roman" w:cs="Times New Roman"/>
          <w:color w:val="auto"/>
          <w:lang w:eastAsia="en-US"/>
        </w:rPr>
        <w:t>Маседу, Ґуарульюс, Сан-Паулу,</w:t>
      </w:r>
    </w:p>
    <w:p w:rsidR="00951346" w:rsidRPr="00561AFB" w:rsidRDefault="00951346" w:rsidP="00951346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61AFB">
        <w:rPr>
          <w:rFonts w:ascii="Times New Roman" w:eastAsiaTheme="minorHAnsi" w:hAnsi="Times New Roman" w:cs="Times New Roman"/>
          <w:color w:val="auto"/>
          <w:lang w:eastAsia="en-US"/>
        </w:rPr>
        <w:t>07.112-070, Бразилія</w:t>
      </w:r>
    </w:p>
    <w:p w:rsidR="0012359C" w:rsidRPr="00561AFB" w:rsidRDefault="0012359C" w:rsidP="00951346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51346" w:rsidRPr="00561AFB" w:rsidRDefault="00951346" w:rsidP="00951346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lang w:eastAsia="en-US"/>
        </w:rPr>
      </w:pPr>
      <w:r w:rsidRPr="00561AFB">
        <w:rPr>
          <w:rFonts w:ascii="Times New Roman" w:eastAsiaTheme="minorHAnsi" w:hAnsi="Times New Roman" w:cs="Times New Roman"/>
          <w:color w:val="auto"/>
          <w:lang w:eastAsia="en-US"/>
        </w:rPr>
        <w:t>Phibro Saúde Animal Internacional Ltda.,</w:t>
      </w:r>
    </w:p>
    <w:p w:rsidR="00951346" w:rsidRPr="00561AFB" w:rsidRDefault="00951346" w:rsidP="00951346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lang w:eastAsia="en-US"/>
        </w:rPr>
      </w:pPr>
      <w:r w:rsidRPr="00561AFB">
        <w:rPr>
          <w:rFonts w:ascii="Times New Roman" w:eastAsiaTheme="minorHAnsi" w:hAnsi="Times New Roman" w:cs="Times New Roman"/>
          <w:color w:val="auto"/>
          <w:lang w:eastAsia="en-US"/>
        </w:rPr>
        <w:t>Avenida Presidente. Tancredo de Almeida Neves</w:t>
      </w:r>
      <w:r w:rsidRPr="00561AFB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561AFB">
        <w:rPr>
          <w:rFonts w:ascii="Times New Roman" w:eastAsiaTheme="minorHAnsi" w:hAnsi="Times New Roman" w:cs="Times New Roman"/>
          <w:color w:val="auto"/>
          <w:lang w:eastAsia="en-US"/>
        </w:rPr>
        <w:t>No 1063</w:t>
      </w:r>
    </w:p>
    <w:p w:rsidR="00951346" w:rsidRPr="00561AFB" w:rsidRDefault="00951346" w:rsidP="00951346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lang w:eastAsia="en-US"/>
        </w:rPr>
      </w:pPr>
      <w:r w:rsidRPr="00561AFB">
        <w:rPr>
          <w:rFonts w:ascii="Times New Roman" w:eastAsiaTheme="minorHAnsi" w:hAnsi="Times New Roman" w:cs="Times New Roman"/>
          <w:color w:val="auto"/>
          <w:lang w:eastAsia="en-US"/>
        </w:rPr>
        <w:t>Macedo, Guarulhos-São Paulo,</w:t>
      </w:r>
    </w:p>
    <w:p w:rsidR="00951346" w:rsidRPr="00561AFB" w:rsidRDefault="00951346" w:rsidP="00951346">
      <w:pPr>
        <w:ind w:firstLine="567"/>
        <w:jc w:val="both"/>
        <w:rPr>
          <w:rStyle w:val="2"/>
          <w:b w:val="0"/>
          <w:bCs w:val="0"/>
        </w:rPr>
      </w:pPr>
      <w:r w:rsidRPr="00561AFB">
        <w:rPr>
          <w:rFonts w:ascii="Times New Roman" w:eastAsiaTheme="minorHAnsi" w:hAnsi="Times New Roman" w:cs="Times New Roman"/>
          <w:color w:val="auto"/>
          <w:lang w:eastAsia="en-US"/>
        </w:rPr>
        <w:t>07.112-070, Brazil</w:t>
      </w:r>
    </w:p>
    <w:p w:rsidR="00951346" w:rsidRPr="00561AFB" w:rsidRDefault="00951346" w:rsidP="00FA7B81">
      <w:pPr>
        <w:ind w:firstLine="567"/>
        <w:jc w:val="both"/>
        <w:rPr>
          <w:rStyle w:val="2"/>
          <w:b w:val="0"/>
          <w:bCs w:val="0"/>
        </w:rPr>
        <w:sectPr w:rsidR="00951346" w:rsidRPr="00561AFB" w:rsidSect="00951346">
          <w:type w:val="continuous"/>
          <w:pgSz w:w="11906" w:h="16838" w:code="9"/>
          <w:pgMar w:top="567" w:right="424" w:bottom="454" w:left="993" w:header="709" w:footer="129" w:gutter="0"/>
          <w:cols w:num="2" w:space="112"/>
          <w:docGrid w:linePitch="360"/>
        </w:sectPr>
      </w:pPr>
    </w:p>
    <w:p w:rsidR="00DB6956" w:rsidRPr="00537153" w:rsidRDefault="009E070A" w:rsidP="00FA7B81">
      <w:pPr>
        <w:ind w:firstLine="567"/>
        <w:jc w:val="both"/>
      </w:pPr>
      <w:r w:rsidRPr="00561AFB">
        <w:rPr>
          <w:rStyle w:val="2"/>
          <w:bCs w:val="0"/>
        </w:rPr>
        <w:lastRenderedPageBreak/>
        <w:t>9.</w:t>
      </w:r>
      <w:r w:rsidRPr="00561AFB">
        <w:rPr>
          <w:rStyle w:val="2"/>
          <w:b w:val="0"/>
          <w:bCs w:val="0"/>
        </w:rPr>
        <w:t xml:space="preserve"> </w:t>
      </w:r>
      <w:r w:rsidRPr="00561AFB">
        <w:rPr>
          <w:rStyle w:val="2"/>
          <w:bCs w:val="0"/>
        </w:rPr>
        <w:t>Додаткова інформація</w:t>
      </w:r>
      <w:bookmarkStart w:id="14" w:name="_GoBack"/>
      <w:bookmarkEnd w:id="14"/>
    </w:p>
    <w:sectPr w:rsidR="00DB6956" w:rsidRPr="00537153" w:rsidSect="00951346">
      <w:type w:val="continuous"/>
      <w:pgSz w:w="11906" w:h="16838" w:code="9"/>
      <w:pgMar w:top="567" w:right="454" w:bottom="454" w:left="993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33" w:rsidRDefault="00F93D33" w:rsidP="009E070A">
      <w:r>
        <w:separator/>
      </w:r>
    </w:p>
  </w:endnote>
  <w:endnote w:type="continuationSeparator" w:id="0">
    <w:p w:rsidR="00F93D33" w:rsidRDefault="00F93D33" w:rsidP="009E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93006"/>
      <w:docPartObj>
        <w:docPartGallery w:val="Page Numbers (Bottom of Page)"/>
        <w:docPartUnique/>
      </w:docPartObj>
    </w:sdtPr>
    <w:sdtEndPr/>
    <w:sdtContent>
      <w:p w:rsidR="00F93D33" w:rsidRDefault="00F93D33">
        <w:pPr>
          <w:pStyle w:val="a8"/>
          <w:jc w:val="center"/>
        </w:pPr>
        <w:r w:rsidRPr="004503D1">
          <w:rPr>
            <w:rFonts w:ascii="Times New Roman" w:hAnsi="Times New Roman" w:cs="Times New Roman"/>
          </w:rPr>
          <w:fldChar w:fldCharType="begin"/>
        </w:r>
        <w:r w:rsidRPr="004503D1">
          <w:rPr>
            <w:rFonts w:ascii="Times New Roman" w:hAnsi="Times New Roman" w:cs="Times New Roman"/>
          </w:rPr>
          <w:instrText>PAGE   \* MERGEFORMAT</w:instrText>
        </w:r>
        <w:r w:rsidRPr="004503D1">
          <w:rPr>
            <w:rFonts w:ascii="Times New Roman" w:hAnsi="Times New Roman" w:cs="Times New Roman"/>
          </w:rPr>
          <w:fldChar w:fldCharType="separate"/>
        </w:r>
        <w:r w:rsidR="00561AFB" w:rsidRPr="00561AFB">
          <w:rPr>
            <w:rFonts w:ascii="Times New Roman" w:hAnsi="Times New Roman" w:cs="Times New Roman"/>
            <w:noProof/>
            <w:lang w:val="ru-RU"/>
          </w:rPr>
          <w:t>2</w:t>
        </w:r>
        <w:r w:rsidRPr="004503D1">
          <w:rPr>
            <w:rFonts w:ascii="Times New Roman" w:hAnsi="Times New Roman" w:cs="Times New Roman"/>
          </w:rPr>
          <w:fldChar w:fldCharType="end"/>
        </w:r>
      </w:p>
    </w:sdtContent>
  </w:sdt>
  <w:p w:rsidR="00F93D33" w:rsidRDefault="00F93D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33" w:rsidRDefault="00F93D33" w:rsidP="009E070A">
      <w:r>
        <w:separator/>
      </w:r>
    </w:p>
  </w:footnote>
  <w:footnote w:type="continuationSeparator" w:id="0">
    <w:p w:rsidR="00F93D33" w:rsidRDefault="00F93D33" w:rsidP="009E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0A"/>
    <w:rsid w:val="00012663"/>
    <w:rsid w:val="000231A1"/>
    <w:rsid w:val="000538E2"/>
    <w:rsid w:val="000D329B"/>
    <w:rsid w:val="0012359C"/>
    <w:rsid w:val="001372E5"/>
    <w:rsid w:val="00172268"/>
    <w:rsid w:val="00190727"/>
    <w:rsid w:val="001938CB"/>
    <w:rsid w:val="001B022C"/>
    <w:rsid w:val="001D2C70"/>
    <w:rsid w:val="001E60FE"/>
    <w:rsid w:val="001F6CAB"/>
    <w:rsid w:val="00205862"/>
    <w:rsid w:val="0024657B"/>
    <w:rsid w:val="00252EF7"/>
    <w:rsid w:val="00274ABD"/>
    <w:rsid w:val="003348FD"/>
    <w:rsid w:val="00350BCA"/>
    <w:rsid w:val="003546A6"/>
    <w:rsid w:val="00381D6E"/>
    <w:rsid w:val="00383E09"/>
    <w:rsid w:val="003C1E38"/>
    <w:rsid w:val="003F7E57"/>
    <w:rsid w:val="004019E7"/>
    <w:rsid w:val="00435F45"/>
    <w:rsid w:val="004503D1"/>
    <w:rsid w:val="004A6853"/>
    <w:rsid w:val="004B4397"/>
    <w:rsid w:val="004B4BF6"/>
    <w:rsid w:val="00503BBA"/>
    <w:rsid w:val="00523F65"/>
    <w:rsid w:val="00537153"/>
    <w:rsid w:val="00561AFB"/>
    <w:rsid w:val="005A61A6"/>
    <w:rsid w:val="006154A6"/>
    <w:rsid w:val="00622B47"/>
    <w:rsid w:val="006A0DB1"/>
    <w:rsid w:val="006C1C35"/>
    <w:rsid w:val="006C5061"/>
    <w:rsid w:val="006F4345"/>
    <w:rsid w:val="007563EA"/>
    <w:rsid w:val="00790F2B"/>
    <w:rsid w:val="007F20F4"/>
    <w:rsid w:val="00806B43"/>
    <w:rsid w:val="00813F31"/>
    <w:rsid w:val="00830FB5"/>
    <w:rsid w:val="00877D58"/>
    <w:rsid w:val="008B7E98"/>
    <w:rsid w:val="00951346"/>
    <w:rsid w:val="009C52A8"/>
    <w:rsid w:val="009E070A"/>
    <w:rsid w:val="00A069AA"/>
    <w:rsid w:val="00A073F9"/>
    <w:rsid w:val="00AB0F9D"/>
    <w:rsid w:val="00B02E2E"/>
    <w:rsid w:val="00B747D0"/>
    <w:rsid w:val="00BD5286"/>
    <w:rsid w:val="00BF1F6B"/>
    <w:rsid w:val="00C11C8B"/>
    <w:rsid w:val="00C218DD"/>
    <w:rsid w:val="00D1774B"/>
    <w:rsid w:val="00D66839"/>
    <w:rsid w:val="00DB6956"/>
    <w:rsid w:val="00DE5313"/>
    <w:rsid w:val="00DF6D70"/>
    <w:rsid w:val="00E5705D"/>
    <w:rsid w:val="00EB1947"/>
    <w:rsid w:val="00F93D33"/>
    <w:rsid w:val="00FA7B81"/>
    <w:rsid w:val="00F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2FD0"/>
  <w15:docId w15:val="{3C8B6449-4797-4FF6-AB3B-8D7E56B1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0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uiPriority w:val="99"/>
    <w:rsid w:val="009E070A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9E070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9E070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pt">
    <w:name w:val="Основной текст + Интервал 1 pt"/>
    <w:basedOn w:val="a3"/>
    <w:uiPriority w:val="99"/>
    <w:rsid w:val="009E070A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11">
    <w:name w:val="Основной текст + 11"/>
    <w:aliases w:val="5 pt,Курсив1"/>
    <w:basedOn w:val="a3"/>
    <w:uiPriority w:val="99"/>
    <w:rsid w:val="009E070A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paragraph" w:styleId="a4">
    <w:name w:val="Body Text"/>
    <w:basedOn w:val="a"/>
    <w:link w:val="a3"/>
    <w:uiPriority w:val="99"/>
    <w:rsid w:val="009E070A"/>
    <w:pPr>
      <w:shd w:val="clear" w:color="auto" w:fill="FFFFFF"/>
      <w:spacing w:after="60" w:line="240" w:lineRule="atLeast"/>
      <w:jc w:val="righ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character" w:customStyle="1" w:styleId="a5">
    <w:name w:val="Основной текст Знак"/>
    <w:basedOn w:val="a0"/>
    <w:uiPriority w:val="99"/>
    <w:semiHidden/>
    <w:rsid w:val="009E070A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20">
    <w:name w:val="Основной текст (2)"/>
    <w:basedOn w:val="a"/>
    <w:link w:val="2"/>
    <w:uiPriority w:val="99"/>
    <w:rsid w:val="009E070A"/>
    <w:pPr>
      <w:shd w:val="clear" w:color="auto" w:fill="FFFFFF"/>
      <w:spacing w:before="180" w:after="30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40">
    <w:name w:val="Заголовок №4"/>
    <w:basedOn w:val="a"/>
    <w:link w:val="4"/>
    <w:uiPriority w:val="99"/>
    <w:rsid w:val="009E070A"/>
    <w:pPr>
      <w:shd w:val="clear" w:color="auto" w:fill="FFFFFF"/>
      <w:spacing w:before="300" w:line="274" w:lineRule="exact"/>
      <w:ind w:firstLine="560"/>
      <w:jc w:val="both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9E070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E070A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9E070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E070A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Exact">
    <w:name w:val="Основной текст Exact"/>
    <w:basedOn w:val="a0"/>
    <w:uiPriority w:val="99"/>
    <w:rsid w:val="000D329B"/>
    <w:rPr>
      <w:rFonts w:ascii="Times New Roman" w:hAnsi="Times New Roman" w:cs="Times New Roman"/>
      <w:spacing w:val="3"/>
      <w:sz w:val="21"/>
      <w:szCs w:val="21"/>
      <w:u w:val="none"/>
      <w:lang w:val="en-US" w:eastAsia="en-US"/>
    </w:rPr>
  </w:style>
  <w:style w:type="paragraph" w:customStyle="1" w:styleId="Default">
    <w:name w:val="Default"/>
    <w:rsid w:val="00B0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a">
    <w:name w:val="annotation reference"/>
    <w:basedOn w:val="a0"/>
    <w:uiPriority w:val="99"/>
    <w:semiHidden/>
    <w:unhideWhenUsed/>
    <w:rsid w:val="006F4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F4345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6F4345"/>
    <w:rPr>
      <w:rFonts w:ascii="Courier New" w:eastAsia="Times New Roman" w:hAnsi="Courier New" w:cs="Courier New"/>
      <w:color w:val="000000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4345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6F4345"/>
    <w:rPr>
      <w:rFonts w:ascii="Courier New" w:eastAsia="Times New Roman" w:hAnsi="Courier New" w:cs="Courier New"/>
      <w:b/>
      <w:bCs/>
      <w:color w:val="000000"/>
      <w:sz w:val="20"/>
      <w:szCs w:val="20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6F4345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F4345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3154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2020-07-28T10:31:00Z</cp:lastPrinted>
  <dcterms:created xsi:type="dcterms:W3CDTF">2025-05-09T12:48:00Z</dcterms:created>
  <dcterms:modified xsi:type="dcterms:W3CDTF">2025-07-16T16:10:00Z</dcterms:modified>
</cp:coreProperties>
</file>