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18" w:rsidRPr="002E3602" w:rsidRDefault="00E36618" w:rsidP="0073117F">
      <w:pPr>
        <w:pStyle w:val="Heading1"/>
        <w:ind w:left="0" w:firstLine="567"/>
        <w:jc w:val="right"/>
      </w:pPr>
      <w:r w:rsidRPr="002E3602">
        <w:rPr>
          <w:b w:val="0"/>
        </w:rPr>
        <w:t>Додаток 1</w:t>
      </w:r>
    </w:p>
    <w:p w:rsidR="00E36618" w:rsidRPr="002E3602" w:rsidRDefault="00E36618" w:rsidP="0073117F">
      <w:pPr>
        <w:ind w:firstLine="567"/>
        <w:jc w:val="right"/>
      </w:pPr>
      <w:r w:rsidRPr="002E3602">
        <w:t xml:space="preserve"> до реєстраційного</w:t>
      </w:r>
      <w:r w:rsidRPr="002E3602">
        <w:rPr>
          <w:lang w:val="uk-UA"/>
        </w:rPr>
        <w:t xml:space="preserve"> </w:t>
      </w:r>
      <w:r w:rsidRPr="002E3602">
        <w:t>посвідчення</w:t>
      </w:r>
      <w:r w:rsidRPr="002E3602">
        <w:rPr>
          <w:lang w:val="uk-UA"/>
        </w:rPr>
        <w:t xml:space="preserve"> АА-09888-01-25 </w:t>
      </w:r>
      <w:r w:rsidRPr="002E3602">
        <w:t xml:space="preserve"> </w:t>
      </w:r>
    </w:p>
    <w:p w:rsidR="00E36618" w:rsidRPr="002E3602" w:rsidRDefault="00E36618" w:rsidP="003E2EA7">
      <w:pPr>
        <w:jc w:val="right"/>
        <w:rPr>
          <w:lang w:val="en-US"/>
        </w:rPr>
      </w:pPr>
    </w:p>
    <w:p w:rsidR="00E36618" w:rsidRPr="002E3602" w:rsidRDefault="00E36618" w:rsidP="003E2EA7">
      <w:pPr>
        <w:pStyle w:val="Heading1"/>
        <w:numPr>
          <w:ilvl w:val="0"/>
          <w:numId w:val="0"/>
        </w:numPr>
      </w:pPr>
      <w:r w:rsidRPr="002E3602">
        <w:t>Коротка характеристика препарату</w:t>
      </w:r>
    </w:p>
    <w:p w:rsidR="00E36618" w:rsidRPr="002E3602" w:rsidRDefault="00E36618" w:rsidP="003E2EA7">
      <w:pPr>
        <w:ind w:firstLine="567"/>
        <w:rPr>
          <w:lang w:val="uk-UA"/>
        </w:rPr>
      </w:pPr>
    </w:p>
    <w:p w:rsidR="00E36618" w:rsidRPr="002E3602" w:rsidRDefault="00E36618" w:rsidP="003E2EA7">
      <w:pPr>
        <w:ind w:firstLine="567"/>
        <w:jc w:val="both"/>
      </w:pPr>
      <w:r w:rsidRPr="002E3602">
        <w:rPr>
          <w:b/>
          <w:lang w:val="uk-UA"/>
        </w:rPr>
        <w:t>1. Назва</w:t>
      </w:r>
    </w:p>
    <w:p w:rsidR="00E36618" w:rsidRPr="002E3602" w:rsidRDefault="00E36618" w:rsidP="003E2EA7">
      <w:pPr>
        <w:rPr>
          <w:color w:val="000000"/>
          <w:lang w:val="uk-UA"/>
        </w:rPr>
      </w:pPr>
      <w:r w:rsidRPr="002E3602">
        <w:rPr>
          <w:color w:val="000000"/>
        </w:rPr>
        <w:t>Іпозан 7</w:t>
      </w:r>
      <w:r w:rsidRPr="002E3602">
        <w:rPr>
          <w:color w:val="000000"/>
          <w:lang w:val="uk-UA"/>
        </w:rPr>
        <w:t>.</w:t>
      </w:r>
      <w:r w:rsidRPr="002E3602">
        <w:rPr>
          <w:color w:val="000000"/>
        </w:rPr>
        <w:t>5</w:t>
      </w:r>
      <w:r w:rsidRPr="002E3602">
        <w:rPr>
          <w:color w:val="000000"/>
          <w:lang w:val="uk-UA"/>
        </w:rPr>
        <w:t xml:space="preserve"> мг таблетки для собак</w:t>
      </w:r>
    </w:p>
    <w:p w:rsidR="00E36618" w:rsidRPr="002E3602" w:rsidRDefault="00E36618" w:rsidP="003E2EA7">
      <w:pPr>
        <w:ind w:firstLine="567"/>
        <w:jc w:val="both"/>
      </w:pPr>
      <w:r w:rsidRPr="002E3602">
        <w:rPr>
          <w:b/>
          <w:lang w:val="uk-UA"/>
        </w:rPr>
        <w:t>2. Склад</w:t>
      </w:r>
    </w:p>
    <w:p w:rsidR="00E36618" w:rsidRPr="002E3602" w:rsidRDefault="00E36618" w:rsidP="00EF57BF">
      <w:pPr>
        <w:rPr>
          <w:color w:val="000000"/>
        </w:rPr>
      </w:pPr>
      <w:r w:rsidRPr="002E3602">
        <w:rPr>
          <w:color w:val="000000"/>
          <w:lang w:val="uk-UA"/>
        </w:rPr>
        <w:t xml:space="preserve">1 </w:t>
      </w:r>
      <w:r w:rsidRPr="002E3602">
        <w:rPr>
          <w:color w:val="000000"/>
        </w:rPr>
        <w:t>таблетка</w:t>
      </w:r>
      <w:r w:rsidRPr="002E3602">
        <w:rPr>
          <w:color w:val="000000"/>
          <w:lang w:val="uk-UA"/>
        </w:rPr>
        <w:t xml:space="preserve"> (300 мг)</w:t>
      </w:r>
      <w:r w:rsidRPr="002E3602">
        <w:rPr>
          <w:color w:val="000000"/>
        </w:rPr>
        <w:t xml:space="preserve"> містить</w:t>
      </w:r>
      <w:r w:rsidRPr="002E3602">
        <w:rPr>
          <w:color w:val="000000"/>
          <w:lang w:val="uk-UA"/>
        </w:rPr>
        <w:t xml:space="preserve"> діючу речовину:</w:t>
      </w:r>
      <w:r w:rsidRPr="002E3602">
        <w:rPr>
          <w:color w:val="000000"/>
        </w:rPr>
        <w:t xml:space="preserve"> </w:t>
      </w:r>
    </w:p>
    <w:p w:rsidR="00E36618" w:rsidRPr="002E3602" w:rsidRDefault="00E36618" w:rsidP="00EF57BF">
      <w:pPr>
        <w:jc w:val="both"/>
        <w:rPr>
          <w:lang w:val="uk-UA"/>
        </w:rPr>
      </w:pPr>
      <w:r w:rsidRPr="002E3602">
        <w:rPr>
          <w:color w:val="000000"/>
          <w:lang w:val="uk-UA"/>
        </w:rPr>
        <w:t>о</w:t>
      </w:r>
      <w:r w:rsidRPr="002E3602">
        <w:rPr>
          <w:color w:val="000000"/>
        </w:rPr>
        <w:t>сатерону ацетат</w:t>
      </w:r>
      <w:r w:rsidRPr="002E3602">
        <w:rPr>
          <w:color w:val="000000"/>
          <w:lang w:val="uk-UA"/>
        </w:rPr>
        <w:t xml:space="preserve"> – 7,</w:t>
      </w:r>
      <w:r w:rsidRPr="002E3602">
        <w:rPr>
          <w:color w:val="000000"/>
        </w:rPr>
        <w:t>5 мг</w:t>
      </w:r>
      <w:r w:rsidRPr="002E3602">
        <w:rPr>
          <w:color w:val="000000"/>
          <w:lang w:val="uk-UA"/>
        </w:rPr>
        <w:t>.</w:t>
      </w:r>
      <w:r w:rsidRPr="002E3602">
        <w:rPr>
          <w:lang w:val="uk-UA"/>
        </w:rPr>
        <w:t xml:space="preserve"> </w:t>
      </w:r>
    </w:p>
    <w:p w:rsidR="00E36618" w:rsidRPr="002E3602" w:rsidRDefault="00E36618" w:rsidP="00EF57BF">
      <w:pPr>
        <w:rPr>
          <w:lang w:val="uk-UA"/>
        </w:rPr>
      </w:pPr>
      <w:r w:rsidRPr="002E3602">
        <w:rPr>
          <w:lang w:val="uk-UA"/>
        </w:rPr>
        <w:t>Допоміжні речовини: лактози моногідрат, прежелатинований крохмаль, кальцію кармелоза, кукурудзяний крохмаль, тальк, магнію стеарат.</w:t>
      </w:r>
    </w:p>
    <w:p w:rsidR="00E36618" w:rsidRPr="002E3602" w:rsidRDefault="00E36618" w:rsidP="003E2EA7">
      <w:pPr>
        <w:ind w:firstLine="567"/>
        <w:jc w:val="both"/>
        <w:rPr>
          <w:lang w:val="uk-UA"/>
        </w:rPr>
      </w:pPr>
      <w:r w:rsidRPr="002E3602">
        <w:rPr>
          <w:b/>
          <w:lang w:val="uk-UA"/>
        </w:rPr>
        <w:t>3. Фармацевтична форма</w:t>
      </w:r>
    </w:p>
    <w:p w:rsidR="00E36618" w:rsidRPr="002E3602" w:rsidRDefault="00E36618" w:rsidP="003E2EA7">
      <w:pPr>
        <w:ind w:firstLine="567"/>
        <w:jc w:val="both"/>
        <w:rPr>
          <w:b/>
          <w:lang w:val="uk-UA"/>
        </w:rPr>
      </w:pPr>
      <w:r w:rsidRPr="002E3602">
        <w:rPr>
          <w:lang w:val="uk-UA"/>
        </w:rPr>
        <w:t xml:space="preserve">Таблетки. </w:t>
      </w:r>
    </w:p>
    <w:p w:rsidR="00E36618" w:rsidRPr="002E3602" w:rsidRDefault="00E36618" w:rsidP="003E2EA7">
      <w:pPr>
        <w:ind w:firstLine="567"/>
        <w:jc w:val="both"/>
        <w:rPr>
          <w:lang w:val="uk-UA"/>
        </w:rPr>
      </w:pPr>
      <w:r w:rsidRPr="002E3602">
        <w:rPr>
          <w:b/>
          <w:lang w:val="uk-UA"/>
        </w:rPr>
        <w:t xml:space="preserve">4. Фармакологічні властивості </w:t>
      </w:r>
    </w:p>
    <w:p w:rsidR="00E36618" w:rsidRPr="002E3602" w:rsidRDefault="00E36618" w:rsidP="0073117F">
      <w:pPr>
        <w:jc w:val="both"/>
        <w:rPr>
          <w:lang w:val="uk-UA"/>
        </w:rPr>
      </w:pPr>
      <w:bookmarkStart w:id="0" w:name="_Hlk150871171"/>
      <w:r w:rsidRPr="002E3602">
        <w:rPr>
          <w:b/>
          <w:i/>
          <w:lang w:val="uk-UA"/>
        </w:rPr>
        <w:t>4.1. АТС-</w:t>
      </w:r>
      <w:r w:rsidRPr="002E3602">
        <w:rPr>
          <w:b/>
          <w:i/>
          <w:lang w:val="en-US"/>
        </w:rPr>
        <w:t>vet</w:t>
      </w:r>
      <w:r w:rsidRPr="002E3602">
        <w:rPr>
          <w:b/>
          <w:i/>
          <w:lang w:val="uk-UA"/>
        </w:rPr>
        <w:t xml:space="preserve"> класифікаційний код: </w:t>
      </w:r>
      <w:r w:rsidRPr="002E3602">
        <w:rPr>
          <w:b/>
          <w:lang w:val="uk-UA"/>
        </w:rPr>
        <w:t>:</w:t>
      </w:r>
      <w:r w:rsidRPr="002E3602">
        <w:rPr>
          <w:lang w:val="uk-UA"/>
        </w:rPr>
        <w:t xml:space="preserve">  </w:t>
      </w:r>
      <w:r w:rsidRPr="002E3602">
        <w:rPr>
          <w:color w:val="0F0F0F"/>
          <w:w w:val="85"/>
        </w:rPr>
        <w:t>QG</w:t>
      </w:r>
      <w:r w:rsidRPr="002E3602">
        <w:rPr>
          <w:color w:val="0F0F0F"/>
          <w:w w:val="85"/>
          <w:lang w:val="uk-UA"/>
        </w:rPr>
        <w:t>04</w:t>
      </w:r>
      <w:r w:rsidRPr="002E3602">
        <w:rPr>
          <w:color w:val="0F0F0F"/>
          <w:w w:val="85"/>
        </w:rPr>
        <w:t>CX</w:t>
      </w:r>
      <w:r w:rsidRPr="002E3602">
        <w:rPr>
          <w:b/>
          <w:i/>
          <w:lang w:val="uk-UA"/>
        </w:rPr>
        <w:t xml:space="preserve"> - </w:t>
      </w:r>
      <w:r w:rsidRPr="002E3602">
        <w:rPr>
          <w:lang w:val="uk-UA"/>
        </w:rPr>
        <w:t>ліки, що застосовуються при доброякісній гіперплазії передміхурової  залози</w:t>
      </w:r>
    </w:p>
    <w:bookmarkEnd w:id="0"/>
    <w:p w:rsidR="00E36618" w:rsidRPr="002E3602" w:rsidRDefault="00E36618" w:rsidP="003E2EA7">
      <w:pPr>
        <w:ind w:firstLine="567"/>
        <w:jc w:val="both"/>
        <w:rPr>
          <w:b/>
          <w:bCs/>
          <w:lang w:val="uk-UA"/>
        </w:rPr>
      </w:pPr>
      <w:r w:rsidRPr="002E3602">
        <w:rPr>
          <w:b/>
          <w:bCs/>
          <w:lang w:val="uk-UA"/>
        </w:rPr>
        <w:t>4.2. Фармакодинаміка:</w:t>
      </w:r>
    </w:p>
    <w:p w:rsidR="00E36618" w:rsidRPr="002E3602" w:rsidRDefault="00E36618" w:rsidP="003E2EA7">
      <w:pPr>
        <w:ind w:firstLine="567"/>
        <w:jc w:val="both"/>
        <w:rPr>
          <w:lang w:val="uk-UA"/>
        </w:rPr>
      </w:pPr>
      <w:r w:rsidRPr="002E3602">
        <w:rPr>
          <w:lang w:val="uk-UA"/>
        </w:rPr>
        <w:t>Доброякісна гіпертрофія передміхурової залози (ДГПЗ) є природним наслідком старіння. Більше 80% собак старше 5 років хворіють. ДГПЗ - це розвиток і збільшення передміхурової залози за рахунок чоловічого гормону тестостерону. Це може призвести до численних неспецифічних клінічних ознак, таких як біль у животі, труднощі з дефекацією та сечовипусканням, кров у сечі та рухові розлади.</w:t>
      </w:r>
    </w:p>
    <w:p w:rsidR="00E36618" w:rsidRPr="002E3602" w:rsidRDefault="00E36618" w:rsidP="003E2EA7">
      <w:pPr>
        <w:ind w:firstLine="567"/>
        <w:jc w:val="both"/>
        <w:rPr>
          <w:lang w:val="uk-UA"/>
        </w:rPr>
      </w:pPr>
      <w:r w:rsidRPr="002E3602">
        <w:rPr>
          <w:lang w:val="uk-UA"/>
        </w:rPr>
        <w:t>Осатерон є стероїдним антиандрогеном, який пригнічує ефекти надлишкового виробництва чоловічого гормону (тестостерону).</w:t>
      </w:r>
    </w:p>
    <w:p w:rsidR="00E36618" w:rsidRPr="002E3602" w:rsidRDefault="00E36618" w:rsidP="003E2EA7">
      <w:pPr>
        <w:ind w:firstLine="567"/>
        <w:jc w:val="both"/>
        <w:rPr>
          <w:lang w:val="uk-UA"/>
        </w:rPr>
      </w:pPr>
      <w:r w:rsidRPr="002E3602">
        <w:rPr>
          <w:lang w:val="uk-UA"/>
        </w:rPr>
        <w:t>Осатерону ацетат є стероїдом, хімічно спорідненим прогестерону, і тому він має потужну прогестагенну та потужну антиандрогенну активність. Крім того, основний метаболіт осатерону ацетату (15</w:t>
      </w:r>
      <w:r w:rsidRPr="002E3602">
        <w:rPr>
          <w:snapToGrid w:val="0"/>
        </w:rPr>
        <w:sym w:font="Symbol" w:char="F062"/>
      </w:r>
      <w:r w:rsidRPr="002E3602">
        <w:rPr>
          <w:lang w:val="uk-UA"/>
        </w:rPr>
        <w:t>-гідроксильований - осатерону ацетат) має антиандрогенну активність. Осатерону ацетат пригнічує вплив надлишку чоловічого гормону (тестостерону) за допомогою різних механізмів. Він конкурентно запобігає зв’язуванню андрогенів з їх рецепторами передміхурової залози та блокує транспортування тестостерону в простату.</w:t>
      </w:r>
    </w:p>
    <w:p w:rsidR="00E36618" w:rsidRPr="002E3602" w:rsidRDefault="00E36618" w:rsidP="003E2EA7">
      <w:pPr>
        <w:ind w:firstLine="567"/>
        <w:jc w:val="both"/>
        <w:rPr>
          <w:lang w:val="uk-UA"/>
        </w:rPr>
      </w:pPr>
      <w:r w:rsidRPr="002E3602">
        <w:rPr>
          <w:lang w:val="uk-UA"/>
        </w:rPr>
        <w:t>Жодного негативного впливу на якість сперми не спостерігалося.</w:t>
      </w:r>
    </w:p>
    <w:p w:rsidR="00E36618" w:rsidRPr="002E3602" w:rsidRDefault="00E36618" w:rsidP="003E2EA7">
      <w:pPr>
        <w:ind w:firstLine="567"/>
        <w:jc w:val="both"/>
        <w:rPr>
          <w:b/>
          <w:lang w:val="uk-UA"/>
        </w:rPr>
      </w:pPr>
      <w:r w:rsidRPr="002E3602">
        <w:rPr>
          <w:b/>
          <w:lang w:val="uk-UA"/>
        </w:rPr>
        <w:t>4.3. Фармакокінетика:</w:t>
      </w:r>
    </w:p>
    <w:p w:rsidR="00E36618" w:rsidRPr="002E3602" w:rsidRDefault="00E36618" w:rsidP="003E2EA7">
      <w:pPr>
        <w:ind w:firstLine="567"/>
        <w:jc w:val="both"/>
        <w:rPr>
          <w:lang w:val="uk-UA"/>
        </w:rPr>
      </w:pPr>
      <w:r w:rsidRPr="002E3602">
        <w:rPr>
          <w:lang w:val="uk-UA"/>
        </w:rPr>
        <w:t>Після перорального введення з їжею собакам осатерону ацетат швидко всмоктується (Tmax приблизно 2 години) і проявляється ефект першого проходження у печінці. Після дози 0,25 мг/кг/добу середня максимальна концентрація (Cmax) у плазмі становить приблизно 60 мкг/л.</w:t>
      </w:r>
    </w:p>
    <w:p w:rsidR="00E36618" w:rsidRPr="002E3602" w:rsidRDefault="00E36618" w:rsidP="003E2EA7">
      <w:pPr>
        <w:ind w:firstLine="567"/>
        <w:jc w:val="both"/>
        <w:rPr>
          <w:lang w:val="uk-UA"/>
        </w:rPr>
      </w:pPr>
      <w:r w:rsidRPr="002E3602">
        <w:rPr>
          <w:lang w:val="uk-UA"/>
        </w:rPr>
        <w:t>Осатерону ацетат перетворюється на свій основний, 15</w:t>
      </w:r>
      <w:r w:rsidRPr="002E3602">
        <w:rPr>
          <w:snapToGrid w:val="0"/>
        </w:rPr>
        <w:sym w:font="Symbol" w:char="F062"/>
      </w:r>
      <w:r w:rsidRPr="002E3602">
        <w:rPr>
          <w:lang w:val="uk-UA"/>
        </w:rPr>
        <w:t>-гідроксильований метаболіт, який також є фармакологічно активним. Осатерону ацетат і його метаболіт зв’язуються з білками плазми (приблизно 90 % і 80 % відповідно), головним чином з альбуміном. Це зв’язування є оборотним і на нього не впливають інші речовини, які, як відомо, специфічно зв’язуються з альбуміном.</w:t>
      </w:r>
    </w:p>
    <w:p w:rsidR="00E36618" w:rsidRPr="002E3602" w:rsidRDefault="00E36618" w:rsidP="003E2EA7">
      <w:pPr>
        <w:ind w:firstLine="567"/>
        <w:jc w:val="both"/>
        <w:rPr>
          <w:lang w:val="uk-UA"/>
        </w:rPr>
      </w:pPr>
      <w:r w:rsidRPr="002E3602">
        <w:rPr>
          <w:lang w:val="uk-UA"/>
        </w:rPr>
        <w:t>Осатерон виводиться протягом 14 днів, переважно з фекаліями шляхом виділення з жовчю (60 %) і меншою мірою (25 %) із сечею. Виведення відбувається повільно із середнім періодом напіввиведення (T½) приблизно 80 годин. Після повторного застосування осатерону ацетату у дозі 0,25 мг/кг/добу протягом 7 днів коефіцієнт накопичення становить близько 3-4 без зміни швидкості всмоктування або виведення. Через 15 днів після останнього прийому середня концентрація в плазмі становить приблизно 6,5 мкг/л.</w:t>
      </w:r>
    </w:p>
    <w:p w:rsidR="00E36618" w:rsidRPr="002E3602" w:rsidRDefault="00E36618" w:rsidP="003E2EA7">
      <w:pPr>
        <w:ind w:firstLine="567"/>
        <w:jc w:val="both"/>
        <w:rPr>
          <w:b/>
          <w:lang w:val="uk-UA"/>
        </w:rPr>
      </w:pPr>
      <w:r w:rsidRPr="002E3602">
        <w:rPr>
          <w:b/>
          <w:lang w:val="uk-UA"/>
        </w:rPr>
        <w:t>5. Клінічні особливості</w:t>
      </w:r>
    </w:p>
    <w:p w:rsidR="00E36618" w:rsidRPr="002E3602" w:rsidRDefault="00E36618" w:rsidP="003E2EA7">
      <w:pPr>
        <w:ind w:firstLine="567"/>
        <w:jc w:val="both"/>
      </w:pPr>
      <w:r w:rsidRPr="002E3602">
        <w:rPr>
          <w:b/>
          <w:lang w:val="uk-UA"/>
        </w:rPr>
        <w:t>5.1 Вид тварин</w:t>
      </w:r>
    </w:p>
    <w:p w:rsidR="00E36618" w:rsidRPr="002E3602" w:rsidRDefault="00E36618" w:rsidP="003E2EA7">
      <w:pPr>
        <w:ind w:firstLine="567"/>
        <w:jc w:val="both"/>
        <w:rPr>
          <w:lang w:val="uk-UA"/>
        </w:rPr>
      </w:pPr>
      <w:r w:rsidRPr="002E3602">
        <w:rPr>
          <w:lang w:val="uk-UA"/>
        </w:rPr>
        <w:t>Собаки (самці)</w:t>
      </w:r>
    </w:p>
    <w:p w:rsidR="00E36618" w:rsidRPr="002E3602" w:rsidRDefault="00E36618" w:rsidP="003E2EA7">
      <w:pPr>
        <w:ind w:firstLine="567"/>
        <w:jc w:val="both"/>
        <w:rPr>
          <w:lang w:val="uk-UA"/>
        </w:rPr>
      </w:pPr>
      <w:r w:rsidRPr="002E3602">
        <w:rPr>
          <w:b/>
          <w:lang w:val="uk-UA"/>
        </w:rPr>
        <w:t>5.2 Показання до застосування</w:t>
      </w:r>
    </w:p>
    <w:p w:rsidR="00E36618" w:rsidRPr="002E3602" w:rsidRDefault="00E36618" w:rsidP="003E2EA7">
      <w:pPr>
        <w:rPr>
          <w:color w:val="000000"/>
        </w:rPr>
      </w:pPr>
      <w:r w:rsidRPr="002E3602">
        <w:rPr>
          <w:color w:val="000000"/>
        </w:rPr>
        <w:t>Лікування доброякісної гіпертрофії передміхурової залози у собак.</w:t>
      </w:r>
    </w:p>
    <w:p w:rsidR="00E36618" w:rsidRPr="002E3602" w:rsidRDefault="00E36618" w:rsidP="003E2EA7">
      <w:pPr>
        <w:ind w:firstLine="567"/>
        <w:jc w:val="both"/>
        <w:rPr>
          <w:lang w:val="uk-UA"/>
        </w:rPr>
      </w:pPr>
      <w:r w:rsidRPr="002E3602">
        <w:rPr>
          <w:b/>
          <w:lang w:val="uk-UA"/>
        </w:rPr>
        <w:t>5.3 Протипоказання</w:t>
      </w:r>
    </w:p>
    <w:p w:rsidR="00E36618" w:rsidRPr="002E3602" w:rsidRDefault="00E36618" w:rsidP="003E2EA7">
      <w:pPr>
        <w:ind w:firstLine="567"/>
        <w:jc w:val="both"/>
        <w:rPr>
          <w:lang w:val="uk-UA"/>
        </w:rPr>
      </w:pPr>
      <w:r w:rsidRPr="002E3602">
        <w:rPr>
          <w:lang w:val="uk-UA"/>
        </w:rPr>
        <w:t>Немає</w:t>
      </w:r>
    </w:p>
    <w:p w:rsidR="00E36618" w:rsidRPr="002E3602" w:rsidRDefault="00E36618" w:rsidP="003E2EA7">
      <w:pPr>
        <w:ind w:firstLine="567"/>
        <w:jc w:val="both"/>
        <w:rPr>
          <w:b/>
          <w:lang w:val="uk-UA"/>
        </w:rPr>
      </w:pPr>
      <w:r w:rsidRPr="002E3602">
        <w:rPr>
          <w:b/>
          <w:lang w:val="uk-UA"/>
        </w:rPr>
        <w:t>5.4 Побічна дія</w:t>
      </w:r>
    </w:p>
    <w:p w:rsidR="00E36618" w:rsidRPr="002E3602" w:rsidRDefault="00E36618" w:rsidP="003E2EA7">
      <w:pPr>
        <w:ind w:firstLine="567"/>
        <w:jc w:val="both"/>
        <w:rPr>
          <w:b/>
          <w:lang w:val="uk-UA"/>
        </w:rPr>
      </w:pPr>
    </w:p>
    <w:p w:rsidR="00E36618" w:rsidRPr="002E3602" w:rsidRDefault="00E36618" w:rsidP="003E2EA7">
      <w:pPr>
        <w:ind w:firstLine="567"/>
        <w:jc w:val="both"/>
        <w:rPr>
          <w:lang w:val="uk-UA"/>
        </w:rPr>
      </w:pPr>
    </w:p>
    <w:p w:rsidR="00E36618" w:rsidRPr="002E3602" w:rsidRDefault="00E36618" w:rsidP="002135E5">
      <w:pPr>
        <w:pStyle w:val="Heading1"/>
        <w:ind w:left="0" w:firstLine="567"/>
        <w:jc w:val="right"/>
      </w:pPr>
      <w:r w:rsidRPr="002E3602">
        <w:rPr>
          <w:b w:val="0"/>
        </w:rPr>
        <w:t>Продовження додатку 1</w:t>
      </w:r>
    </w:p>
    <w:p w:rsidR="00E36618" w:rsidRPr="002E3602" w:rsidRDefault="00E36618" w:rsidP="002135E5">
      <w:pPr>
        <w:ind w:firstLine="567"/>
        <w:jc w:val="right"/>
      </w:pPr>
      <w:r w:rsidRPr="002E3602">
        <w:t xml:space="preserve"> до реєстраційного</w:t>
      </w:r>
      <w:r w:rsidRPr="002E3602">
        <w:rPr>
          <w:lang w:val="uk-UA"/>
        </w:rPr>
        <w:t xml:space="preserve"> </w:t>
      </w:r>
      <w:r w:rsidRPr="002E3602">
        <w:t>посвідчення</w:t>
      </w:r>
      <w:r w:rsidRPr="002E3602">
        <w:rPr>
          <w:lang w:val="uk-UA"/>
        </w:rPr>
        <w:t xml:space="preserve"> АА-09888-01-25 </w:t>
      </w:r>
      <w:r w:rsidRPr="002E3602">
        <w:t xml:space="preserve"> </w:t>
      </w:r>
    </w:p>
    <w:p w:rsidR="00E36618" w:rsidRPr="002E3602" w:rsidRDefault="00E36618" w:rsidP="003E2EA7">
      <w:pPr>
        <w:ind w:firstLine="567"/>
        <w:jc w:val="both"/>
        <w:rPr>
          <w:lang w:val="uk-UA"/>
        </w:rPr>
      </w:pPr>
    </w:p>
    <w:p w:rsidR="00E36618" w:rsidRPr="002E3602" w:rsidRDefault="00E36618" w:rsidP="003E2EA7">
      <w:pPr>
        <w:ind w:firstLine="567"/>
        <w:jc w:val="both"/>
        <w:rPr>
          <w:lang w:val="uk-UA"/>
        </w:rPr>
      </w:pPr>
    </w:p>
    <w:tbl>
      <w:tblPr>
        <w:tblW w:w="94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5724"/>
      </w:tblGrid>
      <w:tr w:rsidR="00E36618" w:rsidRPr="002E3602" w:rsidTr="002612F7">
        <w:trPr>
          <w:trHeight w:val="778"/>
        </w:trPr>
        <w:tc>
          <w:tcPr>
            <w:tcW w:w="3679" w:type="dxa"/>
          </w:tcPr>
          <w:p w:rsidR="00E36618" w:rsidRPr="002E3602" w:rsidRDefault="00E36618" w:rsidP="002612F7">
            <w:pPr>
              <w:spacing w:before="60"/>
              <w:ind w:left="103"/>
              <w:rPr>
                <w:lang w:val="uk-UA"/>
              </w:rPr>
            </w:pPr>
            <w:r w:rsidRPr="002E3602">
              <w:t xml:space="preserve">Дуже </w:t>
            </w:r>
            <w:r w:rsidRPr="002E3602">
              <w:rPr>
                <w:lang w:val="uk-UA"/>
              </w:rPr>
              <w:t>часто</w:t>
            </w:r>
          </w:p>
          <w:p w:rsidR="00E36618" w:rsidRPr="002E3602" w:rsidRDefault="00E36618" w:rsidP="002612F7">
            <w:pPr>
              <w:spacing w:before="61"/>
              <w:ind w:left="103"/>
            </w:pPr>
            <w:r w:rsidRPr="002E3602">
              <w:t>(&gt;1 тварина / 10 оброблених тварин):</w:t>
            </w:r>
          </w:p>
        </w:tc>
        <w:tc>
          <w:tcPr>
            <w:tcW w:w="5724" w:type="dxa"/>
          </w:tcPr>
          <w:p w:rsidR="00E36618" w:rsidRPr="002E3602" w:rsidRDefault="00E36618" w:rsidP="002612F7">
            <w:pPr>
              <w:spacing w:before="58"/>
              <w:ind w:left="103" w:right="893"/>
              <w:rPr>
                <w:noProof/>
              </w:rPr>
            </w:pPr>
            <w:r w:rsidRPr="002E3602">
              <w:rPr>
                <w:noProof/>
              </w:rPr>
              <w:t xml:space="preserve">Підвищений апетит </w:t>
            </w:r>
            <w:r w:rsidRPr="002E3602">
              <w:rPr>
                <w:noProof/>
                <w:vertAlign w:val="superscript"/>
              </w:rPr>
              <w:t>1</w:t>
            </w:r>
          </w:p>
          <w:p w:rsidR="00E36618" w:rsidRPr="002E3602" w:rsidRDefault="00E36618" w:rsidP="002612F7">
            <w:pPr>
              <w:spacing w:before="58"/>
              <w:ind w:left="103" w:right="893"/>
              <w:rPr>
                <w:vertAlign w:val="superscript"/>
              </w:rPr>
            </w:pPr>
            <w:r w:rsidRPr="002E3602">
              <w:rPr>
                <w:noProof/>
              </w:rPr>
              <w:t>Гіпокортизолемія</w:t>
            </w:r>
            <w:r w:rsidRPr="002E3602">
              <w:rPr>
                <w:noProof/>
                <w:vertAlign w:val="superscript"/>
              </w:rPr>
              <w:t>1</w:t>
            </w:r>
          </w:p>
        </w:tc>
      </w:tr>
      <w:tr w:rsidR="00E36618" w:rsidRPr="002E3602" w:rsidTr="002612F7">
        <w:trPr>
          <w:trHeight w:val="890"/>
        </w:trPr>
        <w:tc>
          <w:tcPr>
            <w:tcW w:w="3679" w:type="dxa"/>
          </w:tcPr>
          <w:p w:rsidR="00E36618" w:rsidRPr="002E3602" w:rsidRDefault="00E36618" w:rsidP="002612F7">
            <w:pPr>
              <w:spacing w:before="63"/>
              <w:ind w:left="103"/>
              <w:rPr>
                <w:lang w:val="uk-UA"/>
              </w:rPr>
            </w:pPr>
            <w:r w:rsidRPr="002E3602">
              <w:rPr>
                <w:lang w:val="uk-UA"/>
              </w:rPr>
              <w:t>Часто</w:t>
            </w:r>
          </w:p>
          <w:p w:rsidR="00E36618" w:rsidRPr="002E3602" w:rsidRDefault="00E36618" w:rsidP="002612F7">
            <w:pPr>
              <w:spacing w:before="58"/>
              <w:ind w:left="103"/>
            </w:pPr>
            <w:r w:rsidRPr="002E3602">
              <w:t>(від 1 до 10 тварин / 100 оброблених тварин):</w:t>
            </w:r>
          </w:p>
        </w:tc>
        <w:tc>
          <w:tcPr>
            <w:tcW w:w="5724" w:type="dxa"/>
          </w:tcPr>
          <w:p w:rsidR="00E36618" w:rsidRPr="002E3602" w:rsidRDefault="00E36618" w:rsidP="002612F7">
            <w:pPr>
              <w:spacing w:before="61"/>
              <w:ind w:left="103" w:right="820"/>
            </w:pPr>
            <w:r w:rsidRPr="002E3602">
              <w:t>Поведінкові розлади (наприклад, гіперактивність, знижена активність або більш соціальна поведінка)</w:t>
            </w:r>
            <w:r w:rsidRPr="002E3602">
              <w:rPr>
                <w:vertAlign w:val="superscript"/>
              </w:rPr>
              <w:t>1</w:t>
            </w:r>
          </w:p>
        </w:tc>
      </w:tr>
      <w:tr w:rsidR="00E36618" w:rsidRPr="002E3602" w:rsidTr="002612F7">
        <w:trPr>
          <w:trHeight w:val="1369"/>
        </w:trPr>
        <w:tc>
          <w:tcPr>
            <w:tcW w:w="3679" w:type="dxa"/>
          </w:tcPr>
          <w:p w:rsidR="00E36618" w:rsidRPr="002E3602" w:rsidRDefault="00E36618" w:rsidP="002612F7">
            <w:pPr>
              <w:spacing w:before="61"/>
              <w:ind w:left="103"/>
            </w:pPr>
            <w:r w:rsidRPr="002E3602">
              <w:t>Нечасто</w:t>
            </w:r>
          </w:p>
          <w:p w:rsidR="00E36618" w:rsidRPr="002E3602" w:rsidRDefault="00E36618" w:rsidP="002612F7">
            <w:pPr>
              <w:spacing w:before="56" w:line="244" w:lineRule="auto"/>
              <w:ind w:left="103" w:right="718"/>
            </w:pPr>
            <w:r w:rsidRPr="002E3602">
              <w:t>(від 1 до 10 тварин / 1000 оброблених тварин):</w:t>
            </w:r>
          </w:p>
        </w:tc>
        <w:tc>
          <w:tcPr>
            <w:tcW w:w="5724" w:type="dxa"/>
          </w:tcPr>
          <w:p w:rsidR="00E36618" w:rsidRPr="002E3602" w:rsidRDefault="00E36618" w:rsidP="002612F7">
            <w:pPr>
              <w:spacing w:before="58" w:line="242" w:lineRule="auto"/>
              <w:ind w:left="103" w:right="820"/>
            </w:pPr>
            <w:r w:rsidRPr="002E3602">
              <w:t>Блювота та/або діарея</w:t>
            </w:r>
            <w:r w:rsidRPr="002E3602">
              <w:rPr>
                <w:vertAlign w:val="superscript"/>
              </w:rPr>
              <w:t>1</w:t>
            </w:r>
          </w:p>
          <w:p w:rsidR="00E36618" w:rsidRPr="002E3602" w:rsidRDefault="00E36618" w:rsidP="002612F7">
            <w:pPr>
              <w:spacing w:before="58" w:line="242" w:lineRule="auto"/>
              <w:ind w:left="103" w:right="820"/>
            </w:pPr>
            <w:r w:rsidRPr="002E3602">
              <w:t>Полідипсія</w:t>
            </w:r>
            <w:r w:rsidRPr="002E3602">
              <w:rPr>
                <w:vertAlign w:val="superscript"/>
              </w:rPr>
              <w:t>1</w:t>
            </w:r>
            <w:r w:rsidRPr="002E3602">
              <w:t>, летаргія</w:t>
            </w:r>
            <w:r w:rsidRPr="002E3602">
              <w:rPr>
                <w:vertAlign w:val="superscript"/>
              </w:rPr>
              <w:t>1</w:t>
            </w:r>
          </w:p>
          <w:p w:rsidR="00E36618" w:rsidRPr="002E3602" w:rsidRDefault="00E36618" w:rsidP="002612F7">
            <w:pPr>
              <w:spacing w:before="58" w:line="242" w:lineRule="auto"/>
              <w:ind w:left="103" w:right="820"/>
            </w:pPr>
            <w:r w:rsidRPr="002E3602">
              <w:t>Поліурія</w:t>
            </w:r>
            <w:r w:rsidRPr="002E3602">
              <w:rPr>
                <w:vertAlign w:val="superscript"/>
              </w:rPr>
              <w:t>1</w:t>
            </w:r>
          </w:p>
          <w:p w:rsidR="00E36618" w:rsidRPr="002E3602" w:rsidRDefault="00E36618" w:rsidP="002612F7">
            <w:pPr>
              <w:spacing w:before="58" w:line="242" w:lineRule="auto"/>
              <w:ind w:left="103" w:right="820"/>
            </w:pPr>
            <w:r w:rsidRPr="002E3602">
              <w:t>Гіперплазія молочної залози</w:t>
            </w:r>
          </w:p>
        </w:tc>
      </w:tr>
      <w:tr w:rsidR="00E36618" w:rsidRPr="002E3602" w:rsidTr="002612F7">
        <w:trPr>
          <w:trHeight w:val="1408"/>
        </w:trPr>
        <w:tc>
          <w:tcPr>
            <w:tcW w:w="3679" w:type="dxa"/>
          </w:tcPr>
          <w:p w:rsidR="00E36618" w:rsidRPr="002E3602" w:rsidRDefault="00E36618" w:rsidP="002612F7">
            <w:pPr>
              <w:spacing w:before="61"/>
              <w:ind w:left="103"/>
            </w:pPr>
            <w:r w:rsidRPr="002E3602">
              <w:t>Дуже рідко</w:t>
            </w:r>
          </w:p>
          <w:p w:rsidR="00E36618" w:rsidRPr="002E3602" w:rsidRDefault="00E36618" w:rsidP="002612F7">
            <w:pPr>
              <w:spacing w:before="56" w:line="244" w:lineRule="auto"/>
              <w:ind w:left="103" w:right="361"/>
            </w:pPr>
            <w:r w:rsidRPr="002E3602">
              <w:t>(&lt;1 тварина / 10 000 оброблених тварин, включаючи окремі повідомлення):</w:t>
            </w:r>
          </w:p>
        </w:tc>
        <w:tc>
          <w:tcPr>
            <w:tcW w:w="5724" w:type="dxa"/>
          </w:tcPr>
          <w:p w:rsidR="00E36618" w:rsidRPr="002E3602" w:rsidRDefault="00E36618" w:rsidP="002612F7">
            <w:pPr>
              <w:spacing w:before="58" w:line="242" w:lineRule="auto"/>
              <w:ind w:left="103" w:right="820"/>
              <w:rPr>
                <w:noProof/>
              </w:rPr>
            </w:pPr>
            <w:r w:rsidRPr="002E3602">
              <w:rPr>
                <w:noProof/>
              </w:rPr>
              <w:t xml:space="preserve">Зниження апетиту </w:t>
            </w:r>
            <w:r w:rsidRPr="002E3602">
              <w:rPr>
                <w:noProof/>
                <w:vertAlign w:val="superscript"/>
              </w:rPr>
              <w:t>1</w:t>
            </w:r>
          </w:p>
          <w:p w:rsidR="00E36618" w:rsidRPr="002E3602" w:rsidRDefault="00E36618" w:rsidP="002612F7">
            <w:pPr>
              <w:spacing w:before="58" w:line="242" w:lineRule="auto"/>
              <w:ind w:left="103" w:right="820"/>
              <w:rPr>
                <w:noProof/>
              </w:rPr>
            </w:pPr>
            <w:r w:rsidRPr="002E3602">
              <w:rPr>
                <w:noProof/>
              </w:rPr>
              <w:t>галакторея</w:t>
            </w:r>
            <w:r w:rsidRPr="002E3602">
              <w:rPr>
                <w:noProof/>
                <w:vertAlign w:val="superscript"/>
              </w:rPr>
              <w:t>2</w:t>
            </w:r>
          </w:p>
          <w:p w:rsidR="00E36618" w:rsidRPr="002E3602" w:rsidRDefault="00E36618" w:rsidP="002612F7">
            <w:pPr>
              <w:spacing w:before="58" w:line="242" w:lineRule="auto"/>
              <w:ind w:left="103" w:right="820"/>
            </w:pPr>
            <w:r w:rsidRPr="002E3602">
              <w:rPr>
                <w:noProof/>
              </w:rPr>
              <w:t>Зміни волосяного покриву (наприклад, випадання або модифікація волосся</w:t>
            </w:r>
            <w:r w:rsidRPr="002E3602">
              <w:rPr>
                <w:noProof/>
                <w:lang w:val="uk-UA"/>
              </w:rPr>
              <w:t>(шерсті)</w:t>
            </w:r>
            <w:r w:rsidRPr="002E3602">
              <w:rPr>
                <w:noProof/>
              </w:rPr>
              <w:t>)</w:t>
            </w:r>
            <w:r w:rsidRPr="002E3602">
              <w:rPr>
                <w:noProof/>
                <w:vertAlign w:val="superscript"/>
              </w:rPr>
              <w:t>1</w:t>
            </w:r>
          </w:p>
        </w:tc>
      </w:tr>
    </w:tbl>
    <w:p w:rsidR="00E36618" w:rsidRPr="002E3602" w:rsidRDefault="00E36618" w:rsidP="003E2EA7">
      <w:pPr>
        <w:ind w:firstLine="567"/>
        <w:jc w:val="both"/>
        <w:rPr>
          <w:bCs/>
          <w:lang w:val="uk-UA"/>
        </w:rPr>
      </w:pPr>
      <w:r w:rsidRPr="002E3602">
        <w:rPr>
          <w:bCs/>
          <w:vertAlign w:val="superscript"/>
          <w:lang w:val="uk-UA"/>
        </w:rPr>
        <w:t>1</w:t>
      </w:r>
      <w:r w:rsidRPr="002E3602">
        <w:rPr>
          <w:bCs/>
          <w:lang w:val="uk-UA"/>
        </w:rPr>
        <w:t xml:space="preserve"> Перехідний.</w:t>
      </w:r>
    </w:p>
    <w:p w:rsidR="00E36618" w:rsidRPr="002E3602" w:rsidRDefault="00E36618" w:rsidP="003E2EA7">
      <w:pPr>
        <w:ind w:firstLine="567"/>
        <w:jc w:val="both"/>
        <w:rPr>
          <w:bCs/>
          <w:lang w:val="uk-UA"/>
        </w:rPr>
      </w:pPr>
      <w:r w:rsidRPr="002E3602">
        <w:rPr>
          <w:bCs/>
          <w:vertAlign w:val="superscript"/>
          <w:lang w:val="uk-UA"/>
        </w:rPr>
        <w:t xml:space="preserve">2 </w:t>
      </w:r>
      <w:r w:rsidRPr="002E3602">
        <w:rPr>
          <w:bCs/>
          <w:lang w:val="uk-UA"/>
        </w:rPr>
        <w:t>Пов’язаний з гіперплазією молочної залози.</w:t>
      </w:r>
    </w:p>
    <w:p w:rsidR="00E36618" w:rsidRPr="002E3602" w:rsidRDefault="00E36618" w:rsidP="003E2EA7">
      <w:pPr>
        <w:ind w:firstLine="567"/>
        <w:jc w:val="both"/>
        <w:rPr>
          <w:bCs/>
          <w:lang w:val="uk-UA"/>
        </w:rPr>
      </w:pPr>
      <w:r w:rsidRPr="002E3602">
        <w:rPr>
          <w:bCs/>
          <w:lang w:val="uk-UA"/>
        </w:rPr>
        <w:t>Під час клінічних випробувань лікування ветеринарним препаратом не припинялося, і всі собаки одужали без будь-якої специфічної терапії.</w:t>
      </w:r>
    </w:p>
    <w:p w:rsidR="00E36618" w:rsidRPr="002E3602" w:rsidRDefault="00E36618" w:rsidP="003E2EA7">
      <w:pPr>
        <w:ind w:firstLine="567"/>
        <w:jc w:val="both"/>
        <w:rPr>
          <w:bCs/>
          <w:lang w:val="uk-UA"/>
        </w:rPr>
      </w:pPr>
      <w:r w:rsidRPr="002E3602">
        <w:rPr>
          <w:bCs/>
          <w:lang w:val="uk-UA"/>
        </w:rPr>
        <w:t>Важливо повідомляти про несприятливі події. Це дозволяє постійно контролювати безпеку ветеринарного лікарського засобу. Звіти слід надсилати, через ветеринара, або власнику реєстраційного посвідчення, або його місцевому представнику, або національному компетентному органу через національну систему звітності. Відповідні контактні дані дивіться у листівці-вкладці.</w:t>
      </w:r>
    </w:p>
    <w:p w:rsidR="00E36618" w:rsidRPr="002E3602" w:rsidRDefault="00E36618" w:rsidP="003E2EA7">
      <w:pPr>
        <w:ind w:firstLine="567"/>
        <w:jc w:val="both"/>
      </w:pPr>
      <w:r w:rsidRPr="002E3602">
        <w:rPr>
          <w:b/>
          <w:lang w:val="uk-UA"/>
        </w:rPr>
        <w:t>5.5 Особливі застереження при використанні</w:t>
      </w:r>
    </w:p>
    <w:p w:rsidR="00E36618" w:rsidRPr="002E3602" w:rsidRDefault="00E36618" w:rsidP="003E2EA7">
      <w:pPr>
        <w:ind w:firstLine="567"/>
        <w:jc w:val="both"/>
      </w:pPr>
      <w:r w:rsidRPr="002E3602">
        <w:t>У собак з ДГПЗ, пов’язаною з простатитом, продукт можна вводити одночасно з антимікробними засобами.</w:t>
      </w:r>
    </w:p>
    <w:p w:rsidR="00E36618" w:rsidRPr="002E3602" w:rsidRDefault="00E36618" w:rsidP="003E2EA7">
      <w:pPr>
        <w:ind w:firstLine="567"/>
        <w:jc w:val="both"/>
        <w:rPr>
          <w:lang w:val="uk-UA"/>
        </w:rPr>
      </w:pPr>
      <w:r w:rsidRPr="002E3602">
        <w:rPr>
          <w:b/>
          <w:lang w:val="uk-UA"/>
        </w:rPr>
        <w:t>5.6 Використання під час вагітності, лактації, несучості</w:t>
      </w:r>
    </w:p>
    <w:p w:rsidR="00E36618" w:rsidRPr="002E3602" w:rsidRDefault="00E36618" w:rsidP="003E2EA7">
      <w:pPr>
        <w:ind w:firstLine="567"/>
        <w:jc w:val="both"/>
        <w:rPr>
          <w:b/>
          <w:lang w:val="uk-UA"/>
        </w:rPr>
      </w:pPr>
      <w:r w:rsidRPr="002E3602">
        <w:rPr>
          <w:lang w:val="uk-UA"/>
        </w:rPr>
        <w:t xml:space="preserve">Немає обмежень. </w:t>
      </w:r>
    </w:p>
    <w:p w:rsidR="00E36618" w:rsidRPr="002E3602" w:rsidRDefault="00E36618" w:rsidP="003E2EA7">
      <w:pPr>
        <w:ind w:firstLine="567"/>
        <w:jc w:val="both"/>
        <w:rPr>
          <w:lang w:val="uk-UA"/>
        </w:rPr>
      </w:pPr>
      <w:r w:rsidRPr="002E3602">
        <w:rPr>
          <w:b/>
          <w:lang w:val="uk-UA"/>
        </w:rPr>
        <w:t>5.7 Взаємодія з іншими засобами та інші форми взаємодії</w:t>
      </w:r>
    </w:p>
    <w:p w:rsidR="00E36618" w:rsidRPr="002E3602" w:rsidRDefault="00E36618" w:rsidP="003E2EA7">
      <w:pPr>
        <w:ind w:firstLine="567"/>
        <w:jc w:val="both"/>
        <w:rPr>
          <w:b/>
          <w:lang w:val="uk-UA"/>
        </w:rPr>
      </w:pPr>
      <w:r w:rsidRPr="002E3602">
        <w:rPr>
          <w:lang w:val="uk-UA"/>
        </w:rPr>
        <w:t>Невідомі</w:t>
      </w:r>
      <w:r w:rsidRPr="002E3602">
        <w:t>.</w:t>
      </w:r>
    </w:p>
    <w:p w:rsidR="00E36618" w:rsidRPr="002E3602" w:rsidRDefault="00E36618" w:rsidP="003E2EA7">
      <w:pPr>
        <w:ind w:firstLine="567"/>
        <w:jc w:val="both"/>
      </w:pPr>
      <w:r w:rsidRPr="002E3602">
        <w:rPr>
          <w:b/>
          <w:lang w:val="uk-UA"/>
        </w:rPr>
        <w:t>5.8 Дози і способи введення тваринам різного віку</w:t>
      </w:r>
    </w:p>
    <w:p w:rsidR="00E36618" w:rsidRPr="002E3602" w:rsidRDefault="00E36618" w:rsidP="003E2EA7">
      <w:pPr>
        <w:ind w:firstLine="567"/>
        <w:jc w:val="both"/>
        <w:rPr>
          <w:lang w:val="uk-UA"/>
        </w:rPr>
      </w:pPr>
      <w:r w:rsidRPr="002E3602">
        <w:rPr>
          <w:lang w:val="uk-UA"/>
        </w:rPr>
        <w:t>Для перорального застосування.</w:t>
      </w:r>
    </w:p>
    <w:p w:rsidR="00E36618" w:rsidRPr="002E3602" w:rsidRDefault="00E36618" w:rsidP="003E2EA7">
      <w:pPr>
        <w:ind w:firstLine="567"/>
        <w:jc w:val="both"/>
        <w:rPr>
          <w:lang w:val="uk-UA"/>
        </w:rPr>
      </w:pPr>
    </w:p>
    <w:p w:rsidR="00E36618" w:rsidRPr="002E3602" w:rsidRDefault="00E36618" w:rsidP="003E2EA7">
      <w:pPr>
        <w:ind w:firstLine="567"/>
        <w:jc w:val="both"/>
        <w:rPr>
          <w:lang w:val="uk-UA"/>
        </w:rPr>
      </w:pPr>
      <w:r w:rsidRPr="002E3602">
        <w:rPr>
          <w:lang w:val="uk-UA"/>
        </w:rPr>
        <w:t>Призначайте 0,25–0,5 мг осатерону ацетату на кілограм маси тіла один раз на день протягом 7 днів наступним чином:</w:t>
      </w:r>
    </w:p>
    <w:p w:rsidR="00E36618" w:rsidRPr="002E3602" w:rsidRDefault="00E36618" w:rsidP="003E2EA7">
      <w:pPr>
        <w:ind w:firstLine="567"/>
        <w:jc w:val="both"/>
        <w:rPr>
          <w:lang w:val="uk-UA"/>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2"/>
        <w:gridCol w:w="2304"/>
        <w:gridCol w:w="2160"/>
        <w:gridCol w:w="2233"/>
      </w:tblGrid>
      <w:tr w:rsidR="00E36618" w:rsidRPr="002E3602" w:rsidTr="002612F7">
        <w:tc>
          <w:tcPr>
            <w:tcW w:w="2232" w:type="dxa"/>
            <w:shd w:val="clear" w:color="auto" w:fill="FFFFFF"/>
          </w:tcPr>
          <w:p w:rsidR="00E36618" w:rsidRPr="002E3602" w:rsidRDefault="00E36618" w:rsidP="002612F7">
            <w:pPr>
              <w:tabs>
                <w:tab w:val="right" w:pos="9072"/>
              </w:tabs>
              <w:spacing w:before="60" w:after="60" w:line="280" w:lineRule="atLeast"/>
              <w:jc w:val="center"/>
            </w:pPr>
            <w:r w:rsidRPr="002E3602">
              <w:t>Вага собаки</w:t>
            </w:r>
            <w:r w:rsidRPr="002E3602">
              <w:br/>
            </w:r>
          </w:p>
        </w:tc>
        <w:tc>
          <w:tcPr>
            <w:tcW w:w="2304" w:type="dxa"/>
            <w:shd w:val="clear" w:color="auto" w:fill="FFFFFF"/>
          </w:tcPr>
          <w:p w:rsidR="00E36618" w:rsidRPr="002E3602" w:rsidRDefault="00E36618" w:rsidP="002612F7">
            <w:pPr>
              <w:spacing w:before="60" w:after="60" w:line="280" w:lineRule="atLeast"/>
              <w:jc w:val="center"/>
            </w:pPr>
            <w:r w:rsidRPr="002E3602">
              <w:t>Сила дії таблетки для введення</w:t>
            </w:r>
          </w:p>
        </w:tc>
        <w:tc>
          <w:tcPr>
            <w:tcW w:w="2160" w:type="dxa"/>
            <w:shd w:val="clear" w:color="auto" w:fill="FFFFFF"/>
          </w:tcPr>
          <w:p w:rsidR="00E36618" w:rsidRPr="002E3602" w:rsidRDefault="00E36618" w:rsidP="002612F7">
            <w:pPr>
              <w:spacing w:before="60" w:after="60" w:line="280" w:lineRule="atLeast"/>
              <w:jc w:val="center"/>
            </w:pPr>
            <w:r w:rsidRPr="002E3602">
              <w:t xml:space="preserve">Кількість таблеток на добу </w:t>
            </w:r>
          </w:p>
        </w:tc>
        <w:tc>
          <w:tcPr>
            <w:tcW w:w="2233" w:type="dxa"/>
            <w:shd w:val="clear" w:color="auto" w:fill="FFFFFF"/>
          </w:tcPr>
          <w:p w:rsidR="00E36618" w:rsidRPr="002E3602" w:rsidRDefault="00E36618" w:rsidP="002612F7">
            <w:pPr>
              <w:spacing w:before="60" w:after="60" w:line="280" w:lineRule="atLeast"/>
              <w:jc w:val="center"/>
            </w:pPr>
            <w:r w:rsidRPr="002E3602">
              <w:t>Тривалість лікування</w:t>
            </w:r>
          </w:p>
        </w:tc>
      </w:tr>
      <w:tr w:rsidR="00E36618" w:rsidRPr="002E3602" w:rsidTr="002612F7">
        <w:trPr>
          <w:cantSplit/>
        </w:trPr>
        <w:tc>
          <w:tcPr>
            <w:tcW w:w="2232" w:type="dxa"/>
          </w:tcPr>
          <w:p w:rsidR="00E36618" w:rsidRPr="002E3602" w:rsidRDefault="00E36618" w:rsidP="002612F7">
            <w:pPr>
              <w:tabs>
                <w:tab w:val="right" w:pos="9072"/>
              </w:tabs>
              <w:spacing w:before="60" w:after="60" w:line="280" w:lineRule="atLeast"/>
              <w:jc w:val="center"/>
            </w:pPr>
            <w:r w:rsidRPr="002E3602">
              <w:rPr>
                <w:lang w:val="uk-UA"/>
              </w:rPr>
              <w:t>Від 15</w:t>
            </w:r>
            <w:r w:rsidRPr="002E3602">
              <w:t xml:space="preserve"> </w:t>
            </w:r>
            <w:r w:rsidRPr="002E3602">
              <w:rPr>
                <w:lang w:val="uk-UA"/>
              </w:rPr>
              <w:t>до30</w:t>
            </w:r>
            <w:r w:rsidRPr="002E3602">
              <w:t xml:space="preserve"> </w:t>
            </w:r>
            <w:r w:rsidRPr="002E3602">
              <w:rPr>
                <w:lang w:val="uk-UA"/>
              </w:rPr>
              <w:t>кг</w:t>
            </w:r>
            <w:r w:rsidRPr="002E3602">
              <w:t>*</w:t>
            </w:r>
          </w:p>
        </w:tc>
        <w:tc>
          <w:tcPr>
            <w:tcW w:w="2304" w:type="dxa"/>
          </w:tcPr>
          <w:p w:rsidR="00E36618" w:rsidRPr="002E3602" w:rsidRDefault="00E36618" w:rsidP="002612F7">
            <w:pPr>
              <w:spacing w:before="60" w:after="60" w:line="280" w:lineRule="atLeast"/>
              <w:jc w:val="center"/>
              <w:rPr>
                <w:lang w:val="uk-UA"/>
              </w:rPr>
            </w:pPr>
            <w:r w:rsidRPr="002E3602">
              <w:rPr>
                <w:lang w:val="nb-NO"/>
              </w:rPr>
              <w:t>7</w:t>
            </w:r>
            <w:r w:rsidRPr="002E3602">
              <w:rPr>
                <w:lang w:val="uk-UA"/>
              </w:rPr>
              <w:t>.</w:t>
            </w:r>
            <w:r w:rsidRPr="002E3602">
              <w:rPr>
                <w:lang w:val="nb-NO"/>
              </w:rPr>
              <w:t>5</w:t>
            </w:r>
            <w:r w:rsidRPr="002E3602">
              <w:rPr>
                <w:lang w:val="uk-UA"/>
              </w:rPr>
              <w:t xml:space="preserve"> мг</w:t>
            </w:r>
          </w:p>
        </w:tc>
        <w:tc>
          <w:tcPr>
            <w:tcW w:w="2160" w:type="dxa"/>
            <w:vAlign w:val="center"/>
          </w:tcPr>
          <w:p w:rsidR="00E36618" w:rsidRPr="002E3602" w:rsidRDefault="00E36618" w:rsidP="002612F7">
            <w:pPr>
              <w:spacing w:before="60" w:after="60" w:line="280" w:lineRule="atLeast"/>
              <w:jc w:val="center"/>
              <w:rPr>
                <w:lang w:val="uk-UA"/>
              </w:rPr>
            </w:pPr>
            <w:r w:rsidRPr="002E3602">
              <w:rPr>
                <w:lang w:val="nb-NO"/>
              </w:rPr>
              <w:t xml:space="preserve">1 </w:t>
            </w:r>
            <w:r w:rsidRPr="002E3602">
              <w:rPr>
                <w:lang w:val="uk-UA"/>
              </w:rPr>
              <w:t>таблетка</w:t>
            </w:r>
          </w:p>
        </w:tc>
        <w:tc>
          <w:tcPr>
            <w:tcW w:w="2233" w:type="dxa"/>
            <w:vAlign w:val="center"/>
          </w:tcPr>
          <w:p w:rsidR="00E36618" w:rsidRPr="002E3602" w:rsidRDefault="00E36618" w:rsidP="002612F7">
            <w:pPr>
              <w:spacing w:before="60" w:after="60" w:line="280" w:lineRule="atLeast"/>
              <w:jc w:val="center"/>
              <w:rPr>
                <w:lang w:val="uk-UA"/>
              </w:rPr>
            </w:pPr>
            <w:r w:rsidRPr="002E3602">
              <w:t xml:space="preserve">7 </w:t>
            </w:r>
            <w:r w:rsidRPr="002E3602">
              <w:rPr>
                <w:lang w:val="uk-UA"/>
              </w:rPr>
              <w:t>днів</w:t>
            </w:r>
          </w:p>
        </w:tc>
      </w:tr>
    </w:tbl>
    <w:p w:rsidR="00E36618" w:rsidRPr="002E3602" w:rsidRDefault="00E36618" w:rsidP="003E2EA7">
      <w:pPr>
        <w:ind w:firstLine="567"/>
        <w:jc w:val="both"/>
        <w:rPr>
          <w:vertAlign w:val="superscript"/>
          <w:lang w:val="uk-UA"/>
        </w:rPr>
      </w:pPr>
      <w:r w:rsidRPr="002E3602">
        <w:rPr>
          <w:vertAlign w:val="superscript"/>
          <w:lang w:val="uk-UA"/>
        </w:rPr>
        <w:t>*Немає даних для собак з масою тіла менше 3 кг</w:t>
      </w:r>
    </w:p>
    <w:p w:rsidR="00E36618" w:rsidRPr="002E3602" w:rsidRDefault="00E36618" w:rsidP="003E2EA7">
      <w:pPr>
        <w:ind w:firstLine="567"/>
        <w:jc w:val="both"/>
        <w:rPr>
          <w:lang w:val="uk-UA"/>
        </w:rPr>
      </w:pPr>
      <w:r w:rsidRPr="002E3602">
        <w:rPr>
          <w:lang w:val="uk-UA"/>
        </w:rPr>
        <w:t>Таблетки можна давати безпосередньо в рот або з їжею. Не можна перевищувати максимальну дозу.</w:t>
      </w:r>
    </w:p>
    <w:p w:rsidR="00E36618" w:rsidRPr="002E3602" w:rsidRDefault="00E36618" w:rsidP="003E2EA7">
      <w:pPr>
        <w:ind w:firstLine="567"/>
        <w:jc w:val="both"/>
        <w:rPr>
          <w:lang w:val="uk-UA"/>
        </w:rPr>
      </w:pPr>
      <w:r w:rsidRPr="002E3602">
        <w:rPr>
          <w:lang w:val="uk-UA"/>
        </w:rPr>
        <w:t>Початок клінічної відповіді на лікування зазвичай спостерігається протягом 2 тижнів. Клінічна відповідь зберігається щонайменше 5 місяців після лікування.</w:t>
      </w:r>
    </w:p>
    <w:p w:rsidR="00E36618" w:rsidRPr="002E3602" w:rsidRDefault="00E36618" w:rsidP="003E2EA7">
      <w:pPr>
        <w:ind w:firstLine="567"/>
        <w:jc w:val="both"/>
        <w:rPr>
          <w:lang w:val="uk-UA"/>
        </w:rPr>
      </w:pPr>
      <w:r w:rsidRPr="002E3602">
        <w:rPr>
          <w:lang w:val="uk-UA"/>
        </w:rPr>
        <w:t>Повторне обстеження ветеринаром має відбутися через 5 місяців після лікування або раніше, якщо клінічні ознаки повторюються. Рішення про відмову в цей або пізніший момент має ґрунтуватися на ветеринарному огляді з урахуванням профілю ризику та користі продукту. Якщо</w:t>
      </w:r>
    </w:p>
    <w:p w:rsidR="00E36618" w:rsidRPr="002E3602" w:rsidRDefault="00E36618" w:rsidP="003E2EA7">
      <w:pPr>
        <w:ind w:firstLine="567"/>
        <w:jc w:val="both"/>
        <w:rPr>
          <w:lang w:val="uk-UA"/>
        </w:rPr>
      </w:pPr>
    </w:p>
    <w:p w:rsidR="00E36618" w:rsidRPr="002E3602" w:rsidRDefault="00E36618" w:rsidP="002135E5">
      <w:pPr>
        <w:pStyle w:val="Heading1"/>
        <w:ind w:left="0" w:firstLine="567"/>
        <w:jc w:val="right"/>
      </w:pPr>
      <w:r w:rsidRPr="002E3602">
        <w:rPr>
          <w:b w:val="0"/>
        </w:rPr>
        <w:t>Продовження додатку 1</w:t>
      </w:r>
    </w:p>
    <w:p w:rsidR="00E36618" w:rsidRPr="002E3602" w:rsidRDefault="00E36618" w:rsidP="002135E5">
      <w:pPr>
        <w:ind w:firstLine="567"/>
        <w:jc w:val="right"/>
      </w:pPr>
      <w:r w:rsidRPr="002E3602">
        <w:t xml:space="preserve"> до реєстраційного</w:t>
      </w:r>
      <w:r w:rsidRPr="002E3602">
        <w:rPr>
          <w:lang w:val="uk-UA"/>
        </w:rPr>
        <w:t xml:space="preserve"> </w:t>
      </w:r>
      <w:r w:rsidRPr="002E3602">
        <w:t>посвідчення</w:t>
      </w:r>
      <w:r w:rsidRPr="002E3602">
        <w:rPr>
          <w:lang w:val="uk-UA"/>
        </w:rPr>
        <w:t xml:space="preserve"> АА-09888-01-25 </w:t>
      </w:r>
      <w:r w:rsidRPr="002E3602">
        <w:t xml:space="preserve"> </w:t>
      </w:r>
    </w:p>
    <w:p w:rsidR="00E36618" w:rsidRPr="002E3602" w:rsidRDefault="00E36618" w:rsidP="003E2EA7">
      <w:pPr>
        <w:ind w:firstLine="567"/>
        <w:jc w:val="both"/>
        <w:rPr>
          <w:lang w:val="uk-UA"/>
        </w:rPr>
      </w:pPr>
    </w:p>
    <w:p w:rsidR="00E36618" w:rsidRPr="002E3602" w:rsidRDefault="00E36618" w:rsidP="003E2EA7">
      <w:pPr>
        <w:ind w:firstLine="567"/>
        <w:jc w:val="both"/>
        <w:rPr>
          <w:lang w:val="uk-UA"/>
        </w:rPr>
      </w:pPr>
    </w:p>
    <w:p w:rsidR="00E36618" w:rsidRPr="002E3602" w:rsidRDefault="00E36618" w:rsidP="003E2EA7">
      <w:pPr>
        <w:ind w:firstLine="567"/>
        <w:jc w:val="both"/>
        <w:rPr>
          <w:lang w:val="uk-UA"/>
        </w:rPr>
      </w:pPr>
      <w:r w:rsidRPr="002E3602">
        <w:rPr>
          <w:lang w:val="uk-UA"/>
        </w:rPr>
        <w:t xml:space="preserve"> клінічна відповідь на лікування значно коротша, ніж очікувалося, необхідна повторна оцінка діагнозу.</w:t>
      </w:r>
    </w:p>
    <w:p w:rsidR="00E36618" w:rsidRPr="002E3602" w:rsidRDefault="00E36618" w:rsidP="003E2EA7">
      <w:pPr>
        <w:ind w:firstLine="567"/>
        <w:jc w:val="both"/>
        <w:rPr>
          <w:lang w:val="uk-UA"/>
        </w:rPr>
      </w:pPr>
      <w:r w:rsidRPr="002E3602">
        <w:rPr>
          <w:b/>
          <w:lang w:val="uk-UA"/>
        </w:rPr>
        <w:t>5.9 Передозування (симптоми, невідкладні заходи, антидоти)</w:t>
      </w:r>
    </w:p>
    <w:p w:rsidR="00E36618" w:rsidRPr="002E3602" w:rsidRDefault="00E36618" w:rsidP="003E2EA7">
      <w:pPr>
        <w:ind w:firstLine="567"/>
        <w:jc w:val="both"/>
        <w:rPr>
          <w:b/>
          <w:lang w:val="uk-UA"/>
        </w:rPr>
      </w:pPr>
      <w:r w:rsidRPr="002E3602">
        <w:rPr>
          <w:lang w:val="uk-UA"/>
        </w:rPr>
        <w:t xml:space="preserve">Дослідження передозування (до 1,25 мг/кг маси тіла протягом 10 днів, повторне через місяць) не виявило побічних ефектів, за винятком зниження концентрації кортизолу в плазмі. </w:t>
      </w:r>
    </w:p>
    <w:p w:rsidR="00E36618" w:rsidRPr="002E3602" w:rsidRDefault="00E36618" w:rsidP="003E2EA7">
      <w:pPr>
        <w:ind w:firstLine="567"/>
        <w:jc w:val="both"/>
        <w:rPr>
          <w:lang w:val="uk-UA"/>
        </w:rPr>
      </w:pPr>
      <w:r w:rsidRPr="002E3602">
        <w:rPr>
          <w:b/>
          <w:lang w:val="uk-UA"/>
        </w:rPr>
        <w:t>5.10 Спеціальні застереження</w:t>
      </w:r>
    </w:p>
    <w:p w:rsidR="00E36618" w:rsidRPr="002E3602" w:rsidRDefault="00E36618" w:rsidP="003E2EA7">
      <w:pPr>
        <w:ind w:firstLine="567"/>
        <w:jc w:val="both"/>
        <w:rPr>
          <w:lang w:val="uk-UA"/>
        </w:rPr>
      </w:pPr>
      <w:r w:rsidRPr="002E3602">
        <w:rPr>
          <w:lang w:val="uk-UA"/>
        </w:rPr>
        <w:t>Може спостерігатися тимчасове зниження концентрації кортизолу в плазмі; це може тривати протягом кількох тижнів після введення. За собаками, які перебувають у стані стресу (наприклад, після операції) або з гіпоадренокортицизмом, слід проводити відповідний моніторинг. Відповідь на тест стимуляції АКТГ також може бути пригнічений протягом кількох тижнів після введення осатерону.</w:t>
      </w:r>
    </w:p>
    <w:p w:rsidR="00E36618" w:rsidRPr="002E3602" w:rsidRDefault="00E36618" w:rsidP="003E2EA7">
      <w:pPr>
        <w:ind w:firstLine="567"/>
        <w:jc w:val="both"/>
        <w:rPr>
          <w:lang w:val="uk-UA"/>
        </w:rPr>
      </w:pPr>
      <w:r w:rsidRPr="002E3602">
        <w:rPr>
          <w:lang w:val="uk-UA"/>
        </w:rPr>
        <w:t>Використовуйте з обережністю собакам із захворюваннями печінки в анамнезі, оскільки безпека використання продукту у цих собак не була ретельно досліджена, і оскільки лікування деяких собак із захворюваннями печінки призвело до оборотного підвищення АЛТ і АЛП у клінічних дослідженнях.</w:t>
      </w:r>
    </w:p>
    <w:p w:rsidR="00E36618" w:rsidRPr="002E3602" w:rsidRDefault="00E36618" w:rsidP="003E2EA7">
      <w:pPr>
        <w:ind w:firstLine="567"/>
        <w:jc w:val="both"/>
      </w:pPr>
      <w:r w:rsidRPr="002E3602">
        <w:rPr>
          <w:b/>
          <w:lang w:val="uk-UA"/>
        </w:rPr>
        <w:t>5.11 Період виведення (каренції)</w:t>
      </w:r>
    </w:p>
    <w:p w:rsidR="00E36618" w:rsidRPr="002E3602" w:rsidRDefault="00E36618" w:rsidP="008B2A11">
      <w:pPr>
        <w:pStyle w:val="21"/>
        <w:ind w:firstLine="567"/>
        <w:rPr>
          <w:b w:val="0"/>
          <w:bCs w:val="0"/>
        </w:rPr>
      </w:pPr>
      <w:r w:rsidRPr="002E3602">
        <w:rPr>
          <w:b w:val="0"/>
          <w:bCs w:val="0"/>
        </w:rPr>
        <w:t>Препарат використовується для непродуктивних тварин.</w:t>
      </w:r>
    </w:p>
    <w:p w:rsidR="00E36618" w:rsidRPr="002E3602" w:rsidRDefault="00E36618" w:rsidP="003E2EA7">
      <w:pPr>
        <w:pStyle w:val="21"/>
        <w:ind w:firstLine="567"/>
      </w:pPr>
      <w:r w:rsidRPr="002E3602">
        <w:t>5.12 Спеціальні застереження для осіб і обслуговуючого персоналу</w:t>
      </w:r>
    </w:p>
    <w:p w:rsidR="00E36618" w:rsidRPr="002E3602" w:rsidRDefault="00E36618" w:rsidP="003E2EA7">
      <w:pPr>
        <w:ind w:firstLine="567"/>
        <w:jc w:val="both"/>
        <w:rPr>
          <w:lang w:val="uk-UA"/>
        </w:rPr>
      </w:pPr>
      <w:r w:rsidRPr="002E3602">
        <w:rPr>
          <w:lang w:val="uk-UA"/>
        </w:rPr>
        <w:t>Вимийте руки після застосування.</w:t>
      </w:r>
    </w:p>
    <w:p w:rsidR="00E36618" w:rsidRPr="002E3602" w:rsidRDefault="00E36618" w:rsidP="003E2EA7">
      <w:pPr>
        <w:ind w:firstLine="567"/>
        <w:jc w:val="both"/>
        <w:rPr>
          <w:lang w:val="uk-UA"/>
        </w:rPr>
      </w:pPr>
      <w:r w:rsidRPr="002E3602">
        <w:rPr>
          <w:lang w:val="uk-UA"/>
        </w:rPr>
        <w:t>У разі випадкового проковтування негайно зверніться до лікаря та покажіть йому листівку вкладку.</w:t>
      </w:r>
    </w:p>
    <w:p w:rsidR="00E36618" w:rsidRPr="002E3602" w:rsidRDefault="00E36618" w:rsidP="003E2EA7">
      <w:pPr>
        <w:ind w:firstLine="567"/>
        <w:jc w:val="both"/>
        <w:rPr>
          <w:lang w:val="uk-UA"/>
        </w:rPr>
      </w:pPr>
      <w:r w:rsidRPr="002E3602">
        <w:rPr>
          <w:lang w:val="uk-UA"/>
        </w:rPr>
        <w:t>Одноразова пероральна доза 40 мг осатерону ацетату у чоловіків супроводжувалася спорадичним зниженням ФСГ, ЛГ і тестостерону, оборотним через 16 днів. Клінічного ефекту не було.</w:t>
      </w:r>
    </w:p>
    <w:p w:rsidR="00E36618" w:rsidRPr="002E3602" w:rsidRDefault="00E36618" w:rsidP="00CD6431">
      <w:pPr>
        <w:ind w:firstLine="567"/>
        <w:jc w:val="both"/>
        <w:rPr>
          <w:lang w:val="uk-UA"/>
        </w:rPr>
      </w:pPr>
      <w:r w:rsidRPr="002E3602">
        <w:rPr>
          <w:lang w:val="uk-UA"/>
        </w:rPr>
        <w:t>У самок лабораторних тварин осатерону ацетат викликав серйозні побічні ефекти на репродуктивні функції. Тому жінкам дітородного віку слід уникати контакту з препаратом або надягати одноразові рукавички під час введення препарату.</w:t>
      </w:r>
    </w:p>
    <w:p w:rsidR="00E36618" w:rsidRPr="002E3602" w:rsidRDefault="00E36618" w:rsidP="003E2EA7">
      <w:r w:rsidRPr="002E3602">
        <w:rPr>
          <w:lang w:val="uk-UA"/>
        </w:rPr>
        <w:t xml:space="preserve">         </w:t>
      </w:r>
      <w:r w:rsidRPr="002E3602">
        <w:rPr>
          <w:b/>
          <w:lang w:val="uk-UA"/>
        </w:rPr>
        <w:t>6. Фармацевтичні особливості</w:t>
      </w:r>
    </w:p>
    <w:p w:rsidR="00E36618" w:rsidRPr="002E3602" w:rsidRDefault="00E36618" w:rsidP="003E2EA7">
      <w:pPr>
        <w:pStyle w:val="21"/>
        <w:ind w:firstLine="567"/>
        <w:rPr>
          <w:b w:val="0"/>
        </w:rPr>
      </w:pPr>
      <w:r w:rsidRPr="002E3602">
        <w:t>6.1 Форми несумісності (основні)</w:t>
      </w:r>
    </w:p>
    <w:p w:rsidR="00E36618" w:rsidRPr="002E3602" w:rsidRDefault="00E36618" w:rsidP="003E2EA7">
      <w:pPr>
        <w:pStyle w:val="21"/>
        <w:ind w:firstLine="567"/>
      </w:pPr>
      <w:r w:rsidRPr="002E3602">
        <w:rPr>
          <w:b w:val="0"/>
        </w:rPr>
        <w:t xml:space="preserve">Невідомі. </w:t>
      </w:r>
    </w:p>
    <w:p w:rsidR="00E36618" w:rsidRPr="002E3602" w:rsidRDefault="00E36618" w:rsidP="003E2EA7">
      <w:pPr>
        <w:ind w:firstLine="567"/>
        <w:jc w:val="both"/>
        <w:rPr>
          <w:lang w:val="uk-UA"/>
        </w:rPr>
      </w:pPr>
      <w:r w:rsidRPr="002E3602">
        <w:rPr>
          <w:b/>
          <w:lang w:val="uk-UA"/>
        </w:rPr>
        <w:t>6.2 Термін придатності</w:t>
      </w:r>
    </w:p>
    <w:p w:rsidR="00E36618" w:rsidRPr="002E3602" w:rsidRDefault="00E36618" w:rsidP="003E2EA7">
      <w:pPr>
        <w:ind w:firstLine="567"/>
        <w:jc w:val="both"/>
        <w:rPr>
          <w:b/>
          <w:lang w:val="uk-UA"/>
        </w:rPr>
      </w:pPr>
      <w:r w:rsidRPr="002E3602">
        <w:rPr>
          <w:lang w:val="uk-UA"/>
        </w:rPr>
        <w:t xml:space="preserve">3 роки. </w:t>
      </w:r>
    </w:p>
    <w:p w:rsidR="00E36618" w:rsidRPr="002E3602" w:rsidRDefault="00E36618" w:rsidP="003E2EA7">
      <w:pPr>
        <w:ind w:firstLine="567"/>
        <w:jc w:val="both"/>
        <w:rPr>
          <w:lang w:val="uk-UA"/>
        </w:rPr>
      </w:pPr>
      <w:r w:rsidRPr="002E3602">
        <w:rPr>
          <w:b/>
          <w:lang w:val="uk-UA"/>
        </w:rPr>
        <w:t>6.3 Особливі заходи зберігання</w:t>
      </w:r>
    </w:p>
    <w:p w:rsidR="00E36618" w:rsidRPr="002E3602" w:rsidRDefault="00E36618" w:rsidP="003E2EA7">
      <w:pPr>
        <w:ind w:firstLine="567"/>
        <w:jc w:val="both"/>
      </w:pPr>
      <w:r w:rsidRPr="002E3602">
        <w:t>Цей ветеринарний препарат не потребує особливих умов зберігання.</w:t>
      </w:r>
    </w:p>
    <w:p w:rsidR="00E36618" w:rsidRPr="002E3602" w:rsidRDefault="00E36618" w:rsidP="003E2EA7">
      <w:pPr>
        <w:ind w:firstLine="567"/>
        <w:jc w:val="both"/>
        <w:rPr>
          <w:lang w:val="uk-UA"/>
        </w:rPr>
      </w:pPr>
      <w:r w:rsidRPr="002E3602">
        <w:rPr>
          <w:b/>
          <w:lang w:val="uk-UA"/>
        </w:rPr>
        <w:t>6.4 Природа і склад контейнера первинного упакування</w:t>
      </w:r>
    </w:p>
    <w:p w:rsidR="00E36618" w:rsidRPr="002E3602" w:rsidRDefault="00E36618" w:rsidP="003E2EA7">
      <w:pPr>
        <w:rPr>
          <w:bCs/>
          <w:color w:val="000000"/>
        </w:rPr>
      </w:pPr>
      <w:r w:rsidRPr="002E3602">
        <w:rPr>
          <w:bCs/>
          <w:color w:val="000000"/>
        </w:rPr>
        <w:t>Картонна коробка, яка містить 1 блістер</w:t>
      </w:r>
    </w:p>
    <w:p w:rsidR="00E36618" w:rsidRPr="002E3602" w:rsidRDefault="00E36618" w:rsidP="003E2EA7">
      <w:pPr>
        <w:rPr>
          <w:bCs/>
          <w:color w:val="000000"/>
        </w:rPr>
      </w:pPr>
      <w:r w:rsidRPr="002E3602">
        <w:rPr>
          <w:bCs/>
          <w:color w:val="000000"/>
        </w:rPr>
        <w:t>В одному блістері 7 таблеток.</w:t>
      </w:r>
    </w:p>
    <w:p w:rsidR="00E36618" w:rsidRPr="002E3602" w:rsidRDefault="00E36618" w:rsidP="003E2EA7">
      <w:pPr>
        <w:ind w:firstLine="567"/>
        <w:jc w:val="both"/>
        <w:rPr>
          <w:lang w:val="uk-UA"/>
        </w:rPr>
      </w:pPr>
      <w:r w:rsidRPr="002E3602">
        <w:rPr>
          <w:b/>
          <w:lang w:val="uk-UA"/>
        </w:rPr>
        <w:t>6.5 Особливі заходи безпеки при поводженні з невикористаним препаратом або із його залишками</w:t>
      </w:r>
    </w:p>
    <w:p w:rsidR="00E36618" w:rsidRPr="002E3602" w:rsidRDefault="00E36618" w:rsidP="003E2EA7">
      <w:pPr>
        <w:ind w:firstLine="567"/>
        <w:jc w:val="both"/>
        <w:rPr>
          <w:b/>
          <w:color w:val="000000"/>
          <w:lang w:val="uk-UA"/>
        </w:rPr>
      </w:pPr>
      <w:r w:rsidRPr="002E3602">
        <w:rPr>
          <w:lang w:val="uk-UA"/>
        </w:rPr>
        <w:t xml:space="preserve">Усі невикористані матеріали та залишки препарату повинні бути знешкоджені відповідно до національних вимог. </w:t>
      </w:r>
    </w:p>
    <w:p w:rsidR="00E36618" w:rsidRPr="002E3602" w:rsidRDefault="00E36618" w:rsidP="003E2EA7">
      <w:pPr>
        <w:ind w:left="567" w:hanging="27"/>
        <w:jc w:val="both"/>
        <w:rPr>
          <w:lang w:val="uk-UA"/>
        </w:rPr>
      </w:pPr>
      <w:r w:rsidRPr="002E3602">
        <w:rPr>
          <w:b/>
          <w:color w:val="000000"/>
          <w:lang w:val="uk-UA"/>
        </w:rPr>
        <w:t>7. Назва та місцезнаходження власника реєстраційного посвідчення</w:t>
      </w:r>
    </w:p>
    <w:tbl>
      <w:tblPr>
        <w:tblW w:w="9781" w:type="dxa"/>
        <w:tblInd w:w="675" w:type="dxa"/>
        <w:tblLayout w:type="fixed"/>
        <w:tblLook w:val="0000" w:firstRow="0" w:lastRow="0" w:firstColumn="0" w:lastColumn="0" w:noHBand="0" w:noVBand="0"/>
      </w:tblPr>
      <w:tblGrid>
        <w:gridCol w:w="4820"/>
        <w:gridCol w:w="4961"/>
      </w:tblGrid>
      <w:tr w:rsidR="00E36618" w:rsidRPr="002E3602" w:rsidTr="00BE45B6">
        <w:tc>
          <w:tcPr>
            <w:tcW w:w="4820" w:type="dxa"/>
          </w:tcPr>
          <w:p w:rsidR="00E36618" w:rsidRPr="002E3602" w:rsidRDefault="00E36618" w:rsidP="00BE45B6">
            <w:pPr>
              <w:tabs>
                <w:tab w:val="left" w:pos="570"/>
              </w:tabs>
              <w:rPr>
                <w:lang w:val="uk-UA"/>
              </w:rPr>
            </w:pPr>
            <w:r w:rsidRPr="002E3602">
              <w:rPr>
                <w:lang w:val="uk-UA"/>
              </w:rPr>
              <w:t>ВІРБАК</w:t>
            </w:r>
          </w:p>
          <w:p w:rsidR="00E36618" w:rsidRPr="002E3602" w:rsidRDefault="00E36618" w:rsidP="00BE45B6">
            <w:pPr>
              <w:tabs>
                <w:tab w:val="left" w:pos="570"/>
              </w:tabs>
              <w:rPr>
                <w:lang w:val="uk-UA"/>
              </w:rPr>
            </w:pPr>
            <w:r w:rsidRPr="002E3602">
              <w:rPr>
                <w:lang w:val="uk-UA"/>
              </w:rPr>
              <w:t>1-ша авеню – 2065 м – Л.І.Д.</w:t>
            </w:r>
          </w:p>
          <w:p w:rsidR="00E36618" w:rsidRPr="002E3602" w:rsidRDefault="00E36618" w:rsidP="00BE45B6">
            <w:pPr>
              <w:tabs>
                <w:tab w:val="left" w:pos="570"/>
              </w:tabs>
              <w:rPr>
                <w:lang w:val="uk-UA"/>
              </w:rPr>
            </w:pPr>
            <w:r w:rsidRPr="002E3602">
              <w:rPr>
                <w:lang w:val="uk-UA"/>
              </w:rPr>
              <w:t xml:space="preserve">06516 КАРРОС </w:t>
            </w:r>
          </w:p>
          <w:p w:rsidR="00E36618" w:rsidRPr="002E3602" w:rsidRDefault="00E36618" w:rsidP="00BE45B6">
            <w:pPr>
              <w:tabs>
                <w:tab w:val="left" w:pos="570"/>
              </w:tabs>
              <w:rPr>
                <w:lang w:val="uk-UA"/>
              </w:rPr>
            </w:pPr>
            <w:r w:rsidRPr="002E3602">
              <w:rPr>
                <w:lang w:val="uk-UA"/>
              </w:rPr>
              <w:t>Франція</w:t>
            </w:r>
          </w:p>
        </w:tc>
        <w:tc>
          <w:tcPr>
            <w:tcW w:w="4961" w:type="dxa"/>
          </w:tcPr>
          <w:p w:rsidR="00E36618" w:rsidRPr="002E3602" w:rsidRDefault="00E36618" w:rsidP="00BE45B6">
            <w:pPr>
              <w:pStyle w:val="Header"/>
              <w:jc w:val="both"/>
              <w:rPr>
                <w:lang w:val="fr-FR"/>
              </w:rPr>
            </w:pPr>
            <w:r w:rsidRPr="002E3602">
              <w:rPr>
                <w:lang w:val="fr-FR"/>
              </w:rPr>
              <w:t xml:space="preserve">VIRBAC </w:t>
            </w:r>
          </w:p>
          <w:p w:rsidR="00E36618" w:rsidRPr="002E3602" w:rsidRDefault="00E36618" w:rsidP="00BE45B6">
            <w:pPr>
              <w:pStyle w:val="Header"/>
              <w:jc w:val="both"/>
              <w:rPr>
                <w:lang w:val="fr-FR"/>
              </w:rPr>
            </w:pPr>
            <w:r w:rsidRPr="002E3602">
              <w:rPr>
                <w:lang w:val="fr-FR"/>
              </w:rPr>
              <w:t>1ère avenue - 2065 M - L.I.D.</w:t>
            </w:r>
          </w:p>
          <w:p w:rsidR="00E36618" w:rsidRPr="002E3602" w:rsidRDefault="00E36618" w:rsidP="00BE45B6">
            <w:pPr>
              <w:pStyle w:val="Header"/>
              <w:jc w:val="both"/>
              <w:rPr>
                <w:lang w:val="fr-FR"/>
              </w:rPr>
            </w:pPr>
            <w:r w:rsidRPr="002E3602">
              <w:rPr>
                <w:lang w:val="fr-FR"/>
              </w:rPr>
              <w:t>06516 CARROS – France</w:t>
            </w:r>
          </w:p>
        </w:tc>
      </w:tr>
    </w:tbl>
    <w:p w:rsidR="00E36618" w:rsidRPr="002E3602" w:rsidRDefault="00E36618" w:rsidP="003E2EA7">
      <w:pPr>
        <w:ind w:firstLine="567"/>
        <w:jc w:val="both"/>
        <w:rPr>
          <w:lang w:val="uk-UA"/>
        </w:rPr>
      </w:pPr>
      <w:r w:rsidRPr="002E3602">
        <w:rPr>
          <w:b/>
          <w:lang w:val="uk-UA"/>
        </w:rPr>
        <w:t xml:space="preserve">8. </w:t>
      </w:r>
      <w:r w:rsidRPr="002E3602">
        <w:rPr>
          <w:b/>
          <w:color w:val="000000"/>
          <w:lang w:val="uk-UA"/>
        </w:rPr>
        <w:t>Назва та місцезнаходження виробника (виробників)</w:t>
      </w:r>
    </w:p>
    <w:tbl>
      <w:tblPr>
        <w:tblW w:w="9781" w:type="dxa"/>
        <w:tblInd w:w="675" w:type="dxa"/>
        <w:tblLayout w:type="fixed"/>
        <w:tblLook w:val="0000" w:firstRow="0" w:lastRow="0" w:firstColumn="0" w:lastColumn="0" w:noHBand="0" w:noVBand="0"/>
      </w:tblPr>
      <w:tblGrid>
        <w:gridCol w:w="4820"/>
        <w:gridCol w:w="4961"/>
      </w:tblGrid>
      <w:tr w:rsidR="00E36618" w:rsidRPr="002E3602" w:rsidTr="002612F7">
        <w:tc>
          <w:tcPr>
            <w:tcW w:w="4820" w:type="dxa"/>
          </w:tcPr>
          <w:p w:rsidR="00E36618" w:rsidRPr="002E3602" w:rsidRDefault="00E36618" w:rsidP="002612F7">
            <w:pPr>
              <w:tabs>
                <w:tab w:val="left" w:pos="570"/>
              </w:tabs>
              <w:rPr>
                <w:lang w:val="uk-UA"/>
              </w:rPr>
            </w:pPr>
            <w:r w:rsidRPr="002E3602">
              <w:rPr>
                <w:lang w:val="uk-UA"/>
              </w:rPr>
              <w:t>ВІРБАК</w:t>
            </w:r>
          </w:p>
          <w:p w:rsidR="00E36618" w:rsidRPr="002E3602" w:rsidRDefault="00E36618" w:rsidP="002612F7">
            <w:pPr>
              <w:tabs>
                <w:tab w:val="left" w:pos="570"/>
              </w:tabs>
              <w:rPr>
                <w:lang w:val="uk-UA"/>
              </w:rPr>
            </w:pPr>
            <w:r w:rsidRPr="002E3602">
              <w:rPr>
                <w:lang w:val="uk-UA"/>
              </w:rPr>
              <w:t>1-ша авеню – 2065 м – Л.І.Д.</w:t>
            </w:r>
          </w:p>
          <w:p w:rsidR="00E36618" w:rsidRPr="002E3602" w:rsidRDefault="00E36618" w:rsidP="002612F7">
            <w:pPr>
              <w:tabs>
                <w:tab w:val="left" w:pos="570"/>
              </w:tabs>
              <w:rPr>
                <w:lang w:val="uk-UA"/>
              </w:rPr>
            </w:pPr>
            <w:r w:rsidRPr="002E3602">
              <w:rPr>
                <w:lang w:val="uk-UA"/>
              </w:rPr>
              <w:t xml:space="preserve">06516 КАРРОС </w:t>
            </w:r>
          </w:p>
          <w:p w:rsidR="00E36618" w:rsidRPr="002E3602" w:rsidRDefault="00E36618" w:rsidP="002612F7">
            <w:pPr>
              <w:tabs>
                <w:tab w:val="left" w:pos="570"/>
              </w:tabs>
              <w:rPr>
                <w:lang w:val="uk-UA"/>
              </w:rPr>
            </w:pPr>
            <w:r w:rsidRPr="002E3602">
              <w:rPr>
                <w:lang w:val="uk-UA"/>
              </w:rPr>
              <w:t>Франція</w:t>
            </w:r>
          </w:p>
        </w:tc>
        <w:tc>
          <w:tcPr>
            <w:tcW w:w="4961" w:type="dxa"/>
          </w:tcPr>
          <w:p w:rsidR="00E36618" w:rsidRPr="002E3602" w:rsidRDefault="00E36618" w:rsidP="002612F7">
            <w:pPr>
              <w:pStyle w:val="Header"/>
              <w:jc w:val="both"/>
              <w:rPr>
                <w:lang w:val="fr-FR"/>
              </w:rPr>
            </w:pPr>
            <w:r w:rsidRPr="002E3602">
              <w:rPr>
                <w:lang w:val="fr-FR"/>
              </w:rPr>
              <w:t xml:space="preserve">VIRBAC </w:t>
            </w:r>
          </w:p>
          <w:p w:rsidR="00E36618" w:rsidRPr="002E3602" w:rsidRDefault="00E36618" w:rsidP="002612F7">
            <w:pPr>
              <w:pStyle w:val="Header"/>
              <w:jc w:val="both"/>
              <w:rPr>
                <w:lang w:val="fr-FR"/>
              </w:rPr>
            </w:pPr>
            <w:r w:rsidRPr="002E3602">
              <w:rPr>
                <w:lang w:val="fr-FR"/>
              </w:rPr>
              <w:t>1ère avenue - 2065 M - L.I.D.</w:t>
            </w:r>
          </w:p>
          <w:p w:rsidR="00E36618" w:rsidRPr="002E3602" w:rsidRDefault="00E36618" w:rsidP="002612F7">
            <w:pPr>
              <w:pStyle w:val="Header"/>
              <w:jc w:val="both"/>
              <w:rPr>
                <w:lang w:val="fr-FR"/>
              </w:rPr>
            </w:pPr>
            <w:r w:rsidRPr="002E3602">
              <w:rPr>
                <w:lang w:val="fr-FR"/>
              </w:rPr>
              <w:t>06516 CARROS – France</w:t>
            </w:r>
          </w:p>
        </w:tc>
      </w:tr>
    </w:tbl>
    <w:p w:rsidR="00E36618" w:rsidRPr="002E3602" w:rsidRDefault="00E36618" w:rsidP="003E2EA7">
      <w:pPr>
        <w:ind w:firstLine="567"/>
        <w:jc w:val="both"/>
      </w:pPr>
      <w:r w:rsidRPr="002E3602">
        <w:rPr>
          <w:b/>
          <w:lang w:val="uk-UA"/>
        </w:rPr>
        <w:t>9. Додаткова інформація</w:t>
      </w:r>
    </w:p>
    <w:p w:rsidR="00E36618" w:rsidRPr="002E3602" w:rsidRDefault="00E36618"/>
    <w:sectPr w:rsidR="00E36618" w:rsidRPr="002E3602" w:rsidSect="00A35346">
      <w:footerReference w:type="default" r:id="rId7"/>
      <w:pgSz w:w="11906" w:h="16838"/>
      <w:pgMar w:top="567" w:right="454" w:bottom="510" w:left="1134" w:header="708" w:footer="454"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18" w:rsidRDefault="00E36618">
      <w:r>
        <w:separator/>
      </w:r>
    </w:p>
  </w:endnote>
  <w:endnote w:type="continuationSeparator" w:id="0">
    <w:p w:rsidR="00E36618" w:rsidRDefault="00E3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18" w:rsidRDefault="00E36618">
    <w:pPr>
      <w:pStyle w:val="Footer"/>
    </w:pPr>
    <w:r>
      <w:rPr>
        <w:noProof/>
        <w:lang w:val="uk-UA" w:eastAsia="uk-UA"/>
      </w:rPr>
      <w:pict>
        <v:shapetype id="_x0000_t202" coordsize="21600,21600" o:spt="202" path="m,l,21600r21600,l21600,xe">
          <v:stroke joinstyle="miter"/>
          <v:path gradientshapeok="t" o:connecttype="rect"/>
        </v:shapetype>
        <v:shape id="Поле 1" o:spid="_x0000_s2049" type="#_x0000_t202" style="position:absolute;margin-left:0;margin-top:.05pt;width:6pt;height:13.75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XlQIAABoFAAAOAAAAZHJzL2Uyb0RvYy54bWysVF2O2yAQfq/UOyDes7YjbxJb66z2p6kq&#10;bX+kbQ9ADI5RMVAgsbdVz9JT9KlSz5AjdYA4m21fqqp+wAMMH9/MfMPF5dAJtGPGciUrnJ2lGDFZ&#10;K8rlpsIf3q8mC4ysI5ISoSSr8AOz+HL5/NlFr0s2Va0SlBkEINKWva5w65wuk8TWLeuIPVOaSdhs&#10;lOmIg6nZJNSQHtA7kUzTdJb0ylBtVM2shdXbuImXAb9pWO3eNo1lDokKAzcXRhPGtR+T5QUpN4bo&#10;ltcHGuQfWHSES7j0CHVLHEFbw/+A6nhtlFWNO6tVl6im4TULMUA0WfpbNPct0SzEAsmx+pgm+/9g&#10;6ze7dwZxCrXDSJIOSrT/tv+5/7H/jjKfnV7bEpzuNbi54VoN3tNHavWdqj9aJNVNS+SGXRmj+pYR&#10;CuzCyeTkaMSxHmTdv1YUriFbpwLQ0JjOA0IyEKBDlR6OlWGDQzUszmdQbIxq2Mnm+Wx67qklpBzP&#10;amPdS6Y65I0KG6h7wCa7O+ui6+gSuCvB6YoLESZms74RBu0IaGQVvnhW6JbE1aATuM5G13C1PcUQ&#10;0iNJ5THjdXEF+AMBv+cjCYL4UmTTPL2eFpPVbDGf5Kv8fFLM08UkzYrrYpbmRX67+uoZZHnZckqZ&#10;vOOSjeLM8r8r/qFNoqyCPFFf4eIcUheCPmV/COsQa+q/Q36fBNlxB70qeFfhxdGJlL7mLySFsEnp&#10;CBfRTp7SDymDHIz/kJWgEC+KKA83rAdA8bJZK/oAWjEKigl1hwcGjFaZzxj10KwVtp+2xDCMxCsJ&#10;evOdPRpmNNajQWQNRyvsMIrmjYsvwFYbvmkBOSpaqivQZMODYB5ZAGU/gQYM5A+Phe/w03nwenzS&#10;lr8AAAD//wMAUEsDBBQABgAIAAAAIQA9yRKb1wAAAAMBAAAPAAAAZHJzL2Rvd25yZXYueG1sTI/B&#10;bsIwEETvlfgHa5G4FYcgAU3jIErVXqumlbgu8RJHiddRbCD9+zqn9jg7q5k3+X60nbjR4BvHClbL&#10;BARx5XTDtYLvr7fHHQgfkDV2jknBD3nYF7OHHDPt7vxJtzLUIoawz1CBCaHPpPSVIYt+6Xri6F3c&#10;YDFEOdRSD3iP4baTaZJspMWGY4PBno6Gqra8WgXrj3R78u/l67E/0VO78y/thY1Si/l4eAYRaAx/&#10;zzDhR3QoItPZXVl70SmIQ8J0FZOXRnVWkG43IItc/mcvfgEAAP//AwBQSwECLQAUAAYACAAAACEA&#10;toM4kv4AAADhAQAAEwAAAAAAAAAAAAAAAAAAAAAAW0NvbnRlbnRfVHlwZXNdLnhtbFBLAQItABQA&#10;BgAIAAAAIQA4/SH/1gAAAJQBAAALAAAAAAAAAAAAAAAAAC8BAABfcmVscy8ucmVsc1BLAQItABQA&#10;BgAIAAAAIQBPC+PXlQIAABoFAAAOAAAAAAAAAAAAAAAAAC4CAABkcnMvZTJvRG9jLnhtbFBLAQIt&#10;ABQABgAIAAAAIQA9yRKb1wAAAAMBAAAPAAAAAAAAAAAAAAAAAO8EAABkcnMvZG93bnJldi54bWxQ&#10;SwUGAAAAAAQABADzAAAA8wUAAAAA&#10;" stroked="f">
          <v:fill opacity="0"/>
          <v:textbox inset="0,0,0,0">
            <w:txbxContent>
              <w:p w:rsidR="00E36618" w:rsidRDefault="00E3661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18" w:rsidRDefault="00E36618">
      <w:r>
        <w:separator/>
      </w:r>
    </w:p>
  </w:footnote>
  <w:footnote w:type="continuationSeparator" w:id="0">
    <w:p w:rsidR="00E36618" w:rsidRDefault="00E3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C50"/>
    <w:rsid w:val="00063E86"/>
    <w:rsid w:val="000921CE"/>
    <w:rsid w:val="00092E5A"/>
    <w:rsid w:val="001331DD"/>
    <w:rsid w:val="00210594"/>
    <w:rsid w:val="002135E5"/>
    <w:rsid w:val="002612F7"/>
    <w:rsid w:val="00280935"/>
    <w:rsid w:val="002B190E"/>
    <w:rsid w:val="002E18A4"/>
    <w:rsid w:val="002E3602"/>
    <w:rsid w:val="002F532A"/>
    <w:rsid w:val="002F641D"/>
    <w:rsid w:val="003718A5"/>
    <w:rsid w:val="003E2EA7"/>
    <w:rsid w:val="00460C50"/>
    <w:rsid w:val="00476636"/>
    <w:rsid w:val="004D3F22"/>
    <w:rsid w:val="005559C5"/>
    <w:rsid w:val="005A0D78"/>
    <w:rsid w:val="005A3DBA"/>
    <w:rsid w:val="00622E40"/>
    <w:rsid w:val="0073117F"/>
    <w:rsid w:val="007467ED"/>
    <w:rsid w:val="007A01FF"/>
    <w:rsid w:val="007F686A"/>
    <w:rsid w:val="008B2A11"/>
    <w:rsid w:val="00917122"/>
    <w:rsid w:val="009E21C2"/>
    <w:rsid w:val="009F031C"/>
    <w:rsid w:val="00A25A08"/>
    <w:rsid w:val="00A35346"/>
    <w:rsid w:val="00BB3F7D"/>
    <w:rsid w:val="00BD6ACC"/>
    <w:rsid w:val="00BE45B6"/>
    <w:rsid w:val="00C15B01"/>
    <w:rsid w:val="00C25395"/>
    <w:rsid w:val="00C5515E"/>
    <w:rsid w:val="00C76F67"/>
    <w:rsid w:val="00CD6431"/>
    <w:rsid w:val="00D25C16"/>
    <w:rsid w:val="00D373C4"/>
    <w:rsid w:val="00E103CB"/>
    <w:rsid w:val="00E36618"/>
    <w:rsid w:val="00E7509B"/>
    <w:rsid w:val="00EB53F5"/>
    <w:rsid w:val="00EF57BF"/>
    <w:rsid w:val="00EF6DED"/>
    <w:rsid w:val="00F51D6B"/>
    <w:rsid w:val="00FF6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A7"/>
    <w:pPr>
      <w:suppressAutoHyphens/>
    </w:pPr>
    <w:rPr>
      <w:rFonts w:ascii="Times New Roman" w:eastAsia="Times New Roman" w:hAnsi="Times New Roman"/>
      <w:sz w:val="24"/>
      <w:szCs w:val="24"/>
      <w:lang w:val="ru-RU" w:eastAsia="ar-SA"/>
    </w:rPr>
  </w:style>
  <w:style w:type="paragraph" w:styleId="Heading1">
    <w:name w:val="heading 1"/>
    <w:basedOn w:val="Normal"/>
    <w:next w:val="Normal"/>
    <w:link w:val="Heading1Char"/>
    <w:uiPriority w:val="99"/>
    <w:qFormat/>
    <w:rsid w:val="003E2EA7"/>
    <w:pPr>
      <w:keepNext/>
      <w:numPr>
        <w:numId w:val="1"/>
      </w:numPr>
      <w:jc w:val="center"/>
      <w:outlineLvl w:val="0"/>
    </w:pPr>
    <w:rPr>
      <w:b/>
      <w:bCs/>
      <w:lang w:val="uk-U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2EA7"/>
    <w:rPr>
      <w:rFonts w:ascii="Times New Roman" w:hAnsi="Times New Roman"/>
      <w:b/>
      <w:sz w:val="24"/>
      <w:lang w:val="x-none" w:eastAsia="ar-SA" w:bidi="ar-SA"/>
    </w:rPr>
  </w:style>
  <w:style w:type="character" w:styleId="PageNumber">
    <w:name w:val="page number"/>
    <w:basedOn w:val="DefaultParagraphFont"/>
    <w:uiPriority w:val="99"/>
    <w:rsid w:val="003E2EA7"/>
    <w:rPr>
      <w:rFonts w:cs="Times New Roman"/>
    </w:rPr>
  </w:style>
  <w:style w:type="paragraph" w:customStyle="1" w:styleId="21">
    <w:name w:val="Основний текст 21"/>
    <w:basedOn w:val="Normal"/>
    <w:uiPriority w:val="99"/>
    <w:rsid w:val="003E2EA7"/>
    <w:pPr>
      <w:jc w:val="both"/>
    </w:pPr>
    <w:rPr>
      <w:b/>
      <w:bCs/>
      <w:lang w:val="uk-UA"/>
    </w:rPr>
  </w:style>
  <w:style w:type="paragraph" w:styleId="Footer">
    <w:name w:val="footer"/>
    <w:basedOn w:val="Normal"/>
    <w:link w:val="FooterChar"/>
    <w:uiPriority w:val="99"/>
    <w:rsid w:val="003E2EA7"/>
    <w:pPr>
      <w:tabs>
        <w:tab w:val="center" w:pos="4819"/>
        <w:tab w:val="right" w:pos="9639"/>
      </w:tabs>
    </w:pPr>
  </w:style>
  <w:style w:type="character" w:customStyle="1" w:styleId="FooterChar">
    <w:name w:val="Footer Char"/>
    <w:basedOn w:val="DefaultParagraphFont"/>
    <w:link w:val="Footer"/>
    <w:uiPriority w:val="99"/>
    <w:locked/>
    <w:rsid w:val="003E2EA7"/>
    <w:rPr>
      <w:rFonts w:ascii="Times New Roman" w:hAnsi="Times New Roman"/>
      <w:sz w:val="24"/>
      <w:lang w:val="ru-RU" w:eastAsia="ar-SA" w:bidi="ar-SA"/>
    </w:rPr>
  </w:style>
  <w:style w:type="paragraph" w:styleId="Header">
    <w:name w:val="header"/>
    <w:basedOn w:val="Normal"/>
    <w:link w:val="HeaderChar"/>
    <w:uiPriority w:val="99"/>
    <w:rsid w:val="003E2EA7"/>
    <w:pPr>
      <w:tabs>
        <w:tab w:val="center" w:pos="4819"/>
        <w:tab w:val="right" w:pos="9639"/>
      </w:tabs>
    </w:pPr>
  </w:style>
  <w:style w:type="character" w:customStyle="1" w:styleId="HeaderChar">
    <w:name w:val="Header Char"/>
    <w:basedOn w:val="DefaultParagraphFont"/>
    <w:link w:val="Header"/>
    <w:uiPriority w:val="99"/>
    <w:locked/>
    <w:rsid w:val="003E2EA7"/>
    <w:rPr>
      <w:rFonts w:ascii="Times New Roman" w:hAnsi="Times New Roman"/>
      <w:sz w:val="24"/>
      <w:lang w:val="ru-RU" w:eastAsia="ar-SA" w:bidi="ar-SA"/>
    </w:rPr>
  </w:style>
  <w:style w:type="paragraph" w:styleId="BalloonText">
    <w:name w:val="Balloon Text"/>
    <w:basedOn w:val="Normal"/>
    <w:link w:val="BalloonTextChar"/>
    <w:uiPriority w:val="99"/>
    <w:semiHidden/>
    <w:rsid w:val="001331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1DD"/>
    <w:rPr>
      <w:rFonts w:ascii="Tahoma" w:hAnsi="Tahoma"/>
      <w:sz w:val="16"/>
      <w:lang w:val="ru-RU" w:eastAsia="ar-SA" w:bidi="ar-SA"/>
    </w:rPr>
  </w:style>
  <w:style w:type="character" w:styleId="CommentReference">
    <w:name w:val="annotation reference"/>
    <w:basedOn w:val="DefaultParagraphFont"/>
    <w:uiPriority w:val="99"/>
    <w:semiHidden/>
    <w:rsid w:val="005A0D78"/>
    <w:rPr>
      <w:rFonts w:cs="Times New Roman"/>
      <w:sz w:val="16"/>
    </w:rPr>
  </w:style>
  <w:style w:type="paragraph" w:styleId="CommentText">
    <w:name w:val="annotation text"/>
    <w:basedOn w:val="Normal"/>
    <w:link w:val="CommentTextChar"/>
    <w:uiPriority w:val="99"/>
    <w:semiHidden/>
    <w:rsid w:val="005A0D78"/>
    <w:rPr>
      <w:sz w:val="20"/>
      <w:szCs w:val="20"/>
    </w:rPr>
  </w:style>
  <w:style w:type="character" w:customStyle="1" w:styleId="CommentTextChar">
    <w:name w:val="Comment Text Char"/>
    <w:basedOn w:val="DefaultParagraphFont"/>
    <w:link w:val="CommentText"/>
    <w:uiPriority w:val="99"/>
    <w:semiHidden/>
    <w:locked/>
    <w:rsid w:val="005A0D78"/>
    <w:rPr>
      <w:rFonts w:ascii="Times New Roman" w:hAnsi="Times New Roman"/>
      <w:sz w:val="20"/>
      <w:lang w:val="ru-RU" w:eastAsia="ar-SA" w:bidi="ar-SA"/>
    </w:rPr>
  </w:style>
  <w:style w:type="paragraph" w:styleId="CommentSubject">
    <w:name w:val="annotation subject"/>
    <w:basedOn w:val="CommentText"/>
    <w:next w:val="CommentText"/>
    <w:link w:val="CommentSubjectChar"/>
    <w:uiPriority w:val="99"/>
    <w:semiHidden/>
    <w:rsid w:val="005A0D78"/>
    <w:rPr>
      <w:b/>
      <w:bCs/>
    </w:rPr>
  </w:style>
  <w:style w:type="character" w:customStyle="1" w:styleId="CommentSubjectChar">
    <w:name w:val="Comment Subject Char"/>
    <w:basedOn w:val="CommentTextChar"/>
    <w:link w:val="CommentSubject"/>
    <w:uiPriority w:val="99"/>
    <w:semiHidden/>
    <w:locked/>
    <w:rsid w:val="005A0D78"/>
    <w:rPr>
      <w:rFonts w:ascii="Times New Roman" w:hAnsi="Times New Roman"/>
      <w:b/>
      <w:sz w:val="20"/>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4</Pages>
  <Words>5140</Words>
  <Characters>2931</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Borovko</dc:creator>
  <cp:keywords/>
  <dc:description/>
  <cp:lastModifiedBy>Vezdenko</cp:lastModifiedBy>
  <cp:revision>16</cp:revision>
  <cp:lastPrinted>2025-04-15T14:16:00Z</cp:lastPrinted>
  <dcterms:created xsi:type="dcterms:W3CDTF">2025-04-15T10:20:00Z</dcterms:created>
  <dcterms:modified xsi:type="dcterms:W3CDTF">2025-10-24T11:43:00Z</dcterms:modified>
</cp:coreProperties>
</file>