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AB" w:rsidRPr="00944DE6" w:rsidRDefault="00B25773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44DE6">
        <w:rPr>
          <w:b/>
          <w:lang w:val="uk-UA"/>
        </w:rPr>
        <w:t>Коротка характеристика препарату</w:t>
      </w:r>
    </w:p>
    <w:p w:rsidR="002308AB" w:rsidRPr="00944DE6" w:rsidRDefault="002308AB">
      <w:pPr>
        <w:rPr>
          <w:sz w:val="32"/>
          <w:szCs w:val="32"/>
          <w:lang w:val="uk-UA"/>
        </w:rPr>
      </w:pPr>
    </w:p>
    <w:p w:rsidR="002308AB" w:rsidRPr="00944DE6" w:rsidRDefault="00B25773">
      <w:pPr>
        <w:tabs>
          <w:tab w:val="left" w:pos="567"/>
          <w:tab w:val="left" w:pos="2148"/>
        </w:tabs>
        <w:ind w:firstLine="540"/>
        <w:rPr>
          <w:b/>
          <w:lang w:val="uk-UA"/>
        </w:rPr>
      </w:pPr>
      <w:r w:rsidRPr="00944DE6">
        <w:rPr>
          <w:b/>
          <w:lang w:val="uk-UA"/>
        </w:rPr>
        <w:t xml:space="preserve">1. </w:t>
      </w:r>
      <w:r w:rsidRPr="00944DE6">
        <w:rPr>
          <w:b/>
        </w:rPr>
        <w:t>Назва</w:t>
      </w:r>
    </w:p>
    <w:p w:rsidR="002308AB" w:rsidRPr="00944DE6" w:rsidRDefault="00B25773">
      <w:pPr>
        <w:tabs>
          <w:tab w:val="left" w:pos="567"/>
        </w:tabs>
        <w:ind w:firstLine="540"/>
        <w:rPr>
          <w:bCs/>
          <w:lang w:val="uk-UA"/>
        </w:rPr>
      </w:pPr>
      <w:r w:rsidRPr="00944DE6">
        <w:rPr>
          <w:lang w:val="uk-UA"/>
        </w:rPr>
        <w:t>ЕНРОФЛОКВЕТ 10% для ін’єкцій</w:t>
      </w:r>
    </w:p>
    <w:p w:rsidR="002308AB" w:rsidRPr="00944DE6" w:rsidRDefault="00B25773">
      <w:pPr>
        <w:tabs>
          <w:tab w:val="left" w:pos="567"/>
        </w:tabs>
        <w:ind w:firstLine="540"/>
        <w:rPr>
          <w:b/>
          <w:lang w:val="uk-UA"/>
        </w:rPr>
      </w:pPr>
      <w:r w:rsidRPr="00944DE6">
        <w:rPr>
          <w:b/>
        </w:rPr>
        <w:t xml:space="preserve">2. </w:t>
      </w:r>
      <w:r w:rsidRPr="00944DE6">
        <w:rPr>
          <w:b/>
          <w:lang w:val="uk-UA"/>
        </w:rPr>
        <w:t>С</w:t>
      </w:r>
      <w:r w:rsidRPr="00944DE6">
        <w:rPr>
          <w:b/>
        </w:rPr>
        <w:t>клад</w:t>
      </w:r>
    </w:p>
    <w:p w:rsidR="002308AB" w:rsidRPr="00944DE6" w:rsidRDefault="00B25773">
      <w:pPr>
        <w:ind w:firstLine="540"/>
        <w:jc w:val="both"/>
        <w:rPr>
          <w:lang w:val="uk-UA"/>
        </w:rPr>
      </w:pPr>
      <w:r w:rsidRPr="00944DE6">
        <w:rPr>
          <w:lang w:val="uk-UA"/>
        </w:rPr>
        <w:t xml:space="preserve">1 мл препарату містить діючу речовину: </w:t>
      </w:r>
    </w:p>
    <w:p w:rsidR="002308AB" w:rsidRPr="00944DE6" w:rsidRDefault="00B25773">
      <w:pPr>
        <w:ind w:firstLine="540"/>
        <w:jc w:val="both"/>
        <w:rPr>
          <w:lang w:val="uk-UA"/>
        </w:rPr>
      </w:pPr>
      <w:r w:rsidRPr="00944DE6">
        <w:rPr>
          <w:lang w:val="uk-UA"/>
        </w:rPr>
        <w:t xml:space="preserve">енрофлоксацин </w:t>
      </w:r>
      <w:r w:rsidRPr="00944DE6">
        <w:rPr>
          <w:lang w:val="uk-UA"/>
        </w:rPr>
        <w:tab/>
      </w:r>
      <w:r w:rsidRPr="00944DE6">
        <w:rPr>
          <w:lang w:val="uk-UA"/>
        </w:rPr>
        <w:tab/>
        <w:t>– 100,0 мг.</w:t>
      </w:r>
    </w:p>
    <w:p w:rsidR="002308AB" w:rsidRPr="00944DE6" w:rsidRDefault="00B25773">
      <w:pPr>
        <w:ind w:firstLine="540"/>
        <w:jc w:val="both"/>
        <w:rPr>
          <w:bCs/>
          <w:lang w:val="uk-UA" w:eastAsia="en-US"/>
        </w:rPr>
      </w:pPr>
      <w:r w:rsidRPr="00944DE6">
        <w:rPr>
          <w:lang w:val="uk-UA"/>
        </w:rPr>
        <w:t>Допоміжні речовини: глюконолактон, пропіленгліколь, кислота оцтова, вода для ін’єкцій.</w:t>
      </w:r>
    </w:p>
    <w:p w:rsidR="002308AB" w:rsidRPr="00944DE6" w:rsidRDefault="00B25773">
      <w:pPr>
        <w:tabs>
          <w:tab w:val="left" w:pos="567"/>
        </w:tabs>
        <w:spacing w:before="40"/>
        <w:ind w:firstLine="540"/>
        <w:rPr>
          <w:b/>
          <w:lang w:val="uk-UA"/>
        </w:rPr>
      </w:pPr>
      <w:r w:rsidRPr="00944DE6">
        <w:rPr>
          <w:b/>
        </w:rPr>
        <w:t>3. Фармацевтична форма</w:t>
      </w:r>
    </w:p>
    <w:p w:rsidR="002308AB" w:rsidRPr="00944DE6" w:rsidRDefault="00B25773">
      <w:pPr>
        <w:tabs>
          <w:tab w:val="left" w:pos="567"/>
        </w:tabs>
        <w:spacing w:before="40"/>
        <w:ind w:firstLine="540"/>
        <w:rPr>
          <w:lang w:val="uk-UA"/>
        </w:rPr>
      </w:pPr>
      <w:r w:rsidRPr="00944DE6">
        <w:rPr>
          <w:lang w:val="uk-UA"/>
        </w:rPr>
        <w:t xml:space="preserve">Розчин </w:t>
      </w:r>
      <w:r w:rsidRPr="00944DE6">
        <w:rPr>
          <w:bCs/>
        </w:rPr>
        <w:t>для ін’єкцій</w:t>
      </w:r>
      <w:r w:rsidRPr="00944DE6">
        <w:rPr>
          <w:bCs/>
          <w:lang w:val="uk-UA"/>
        </w:rPr>
        <w:t>.</w:t>
      </w:r>
    </w:p>
    <w:p w:rsidR="002308AB" w:rsidRPr="00944DE6" w:rsidRDefault="00B25773">
      <w:pPr>
        <w:tabs>
          <w:tab w:val="left" w:pos="567"/>
        </w:tabs>
        <w:spacing w:before="40"/>
        <w:ind w:firstLine="540"/>
        <w:rPr>
          <w:b/>
          <w:lang w:val="uk-UA"/>
        </w:rPr>
      </w:pPr>
      <w:r w:rsidRPr="00944DE6">
        <w:rPr>
          <w:b/>
          <w:lang w:val="uk-UA"/>
        </w:rPr>
        <w:t>4. Фармакологічні властивості</w:t>
      </w:r>
    </w:p>
    <w:p w:rsidR="002308AB" w:rsidRPr="00944DE6" w:rsidRDefault="00B25773">
      <w:pPr>
        <w:tabs>
          <w:tab w:val="left" w:pos="567"/>
        </w:tabs>
        <w:spacing w:before="40"/>
        <w:ind w:firstLine="540"/>
        <w:jc w:val="both"/>
        <w:rPr>
          <w:b/>
          <w:i/>
          <w:lang w:val="uk-UA"/>
        </w:rPr>
      </w:pPr>
      <w:r w:rsidRPr="00944DE6">
        <w:rPr>
          <w:b/>
          <w:i/>
        </w:rPr>
        <w:t>ATC</w:t>
      </w:r>
      <w:r w:rsidRPr="00944DE6">
        <w:rPr>
          <w:b/>
          <w:i/>
          <w:lang w:val="uk-UA"/>
        </w:rPr>
        <w:t xml:space="preserve"> </w:t>
      </w:r>
      <w:r w:rsidRPr="00944DE6">
        <w:rPr>
          <w:b/>
          <w:i/>
        </w:rPr>
        <w:t>vet</w:t>
      </w:r>
      <w:r w:rsidRPr="00944DE6">
        <w:rPr>
          <w:b/>
          <w:i/>
          <w:lang w:val="uk-UA"/>
        </w:rPr>
        <w:t xml:space="preserve"> класифікаційний код </w:t>
      </w:r>
      <w:r w:rsidRPr="00944DE6">
        <w:rPr>
          <w:b/>
          <w:i/>
        </w:rPr>
        <w:t>QJ</w:t>
      </w:r>
      <w:r w:rsidRPr="00944DE6">
        <w:rPr>
          <w:b/>
          <w:i/>
          <w:lang w:val="uk-UA"/>
        </w:rPr>
        <w:t xml:space="preserve">01 – антибактеріальні ветеринарні препарати для системного застосування. </w:t>
      </w:r>
      <w:r w:rsidRPr="00944DE6">
        <w:rPr>
          <w:b/>
          <w:i/>
        </w:rPr>
        <w:t>QJ</w:t>
      </w:r>
      <w:r w:rsidRPr="00944DE6">
        <w:rPr>
          <w:b/>
          <w:i/>
          <w:lang w:val="uk-UA"/>
        </w:rPr>
        <w:t>01МА90 – Енрофлоксацин.</w:t>
      </w:r>
    </w:p>
    <w:p w:rsidR="002308AB" w:rsidRPr="00944DE6" w:rsidRDefault="00B25773">
      <w:pPr>
        <w:ind w:firstLine="540"/>
        <w:jc w:val="both"/>
        <w:rPr>
          <w:lang w:val="uk-UA"/>
        </w:rPr>
      </w:pPr>
      <w:r w:rsidRPr="00944DE6">
        <w:rPr>
          <w:lang w:val="uk-UA"/>
        </w:rPr>
        <w:t>Енрофлоксацин належить до антибіотиків групи фторхінолонів. Механізм його дії пов’язаний з пригніченням субодиниці А ДНК-гірази (топоізомераза ІІ) грамнегативних бактерій, що блокує процес суперспіралізації молекули ДНК. У грампозитивних бактерій цей процес впливає на топоізомеразу IV, а не на топоізомеразу ІІ. За цих умов блокуються транскрипція та рекомбінаційні процеси у ДНК бактерії.</w:t>
      </w:r>
    </w:p>
    <w:p w:rsidR="002308AB" w:rsidRPr="00944DE6" w:rsidRDefault="00B25773">
      <w:pPr>
        <w:widowControl w:val="0"/>
        <w:shd w:val="clear" w:color="auto" w:fill="FFFFFF"/>
        <w:tabs>
          <w:tab w:val="left" w:pos="426"/>
        </w:tabs>
        <w:spacing w:line="274" w:lineRule="exact"/>
        <w:ind w:firstLine="540"/>
        <w:jc w:val="both"/>
        <w:rPr>
          <w:lang w:val="uk-UA"/>
        </w:rPr>
      </w:pPr>
      <w:r w:rsidRPr="00944DE6">
        <w:rPr>
          <w:lang w:val="uk-UA"/>
        </w:rPr>
        <w:t>Препарат володіє бактерицидною дією проти грампозитивних (</w:t>
      </w:r>
      <w:r w:rsidRPr="00944DE6">
        <w:rPr>
          <w:i/>
          <w:lang w:val="uk-UA"/>
        </w:rPr>
        <w:t>Staphylococcus spp., Streptococcus spp., Clostridium spp., Listeria monocytogenes, Corynebacterium spp.</w:t>
      </w:r>
      <w:r w:rsidRPr="00944DE6">
        <w:rPr>
          <w:lang w:val="uk-UA"/>
        </w:rPr>
        <w:t xml:space="preserve"> та інші) і грамнегативних (</w:t>
      </w:r>
      <w:r w:rsidRPr="00944DE6">
        <w:rPr>
          <w:i/>
          <w:lang w:val="uk-UA"/>
        </w:rPr>
        <w:t>E. сoli, Salmonella spp., Klebsiella spp., Proteus spp., Pasteurella spp., Bordetella spp</w:t>
      </w:r>
      <w:r w:rsidRPr="00944DE6">
        <w:rPr>
          <w:lang w:val="uk-UA"/>
        </w:rPr>
        <w:t>. та інші) мікроорганізмів, а також діє проти мікоплазм (</w:t>
      </w:r>
      <w:r w:rsidRPr="00944DE6">
        <w:rPr>
          <w:i/>
          <w:iCs/>
          <w:color w:val="1F1F1F"/>
          <w:lang w:val="uk-UA"/>
        </w:rPr>
        <w:t xml:space="preserve">Mycoplasma gallisepticum, M. synoviae, M. hyosynoviae, </w:t>
      </w:r>
      <w:r w:rsidRPr="00944DE6">
        <w:rPr>
          <w:i/>
          <w:iCs/>
          <w:color w:val="1F1F1F"/>
          <w:spacing w:val="-2"/>
          <w:lang w:val="uk-UA"/>
        </w:rPr>
        <w:t xml:space="preserve">M. hyopneumoniae, </w:t>
      </w:r>
      <w:r w:rsidRPr="00944DE6">
        <w:rPr>
          <w:i/>
          <w:iCs/>
          <w:color w:val="1F1F1F"/>
          <w:lang w:val="uk-UA"/>
        </w:rPr>
        <w:t>M. meleagridis,  M. iowae</w:t>
      </w:r>
      <w:r w:rsidRPr="00944DE6">
        <w:rPr>
          <w:iCs/>
          <w:color w:val="1F1F1F"/>
          <w:lang w:val="uk-UA"/>
        </w:rPr>
        <w:t>)</w:t>
      </w:r>
      <w:r w:rsidRPr="00944DE6">
        <w:rPr>
          <w:lang w:val="uk-UA"/>
        </w:rPr>
        <w:t>.</w:t>
      </w:r>
    </w:p>
    <w:p w:rsidR="002308AB" w:rsidRPr="00944DE6" w:rsidRDefault="00B25773">
      <w:pPr>
        <w:ind w:firstLine="540"/>
        <w:jc w:val="both"/>
        <w:rPr>
          <w:lang w:val="uk-UA"/>
        </w:rPr>
      </w:pPr>
      <w:r w:rsidRPr="00944DE6">
        <w:rPr>
          <w:lang w:val="uk-UA" w:eastAsia="uk-UA"/>
        </w:rPr>
        <w:t xml:space="preserve">Після парентерального застосування </w:t>
      </w:r>
      <w:r w:rsidRPr="00944DE6">
        <w:rPr>
          <w:lang w:val="uk-UA"/>
        </w:rPr>
        <w:t xml:space="preserve">енрофлоксацин швидко і повністю абсорбується з місця ін’єкції та розподіляється в організмі </w:t>
      </w:r>
      <w:r w:rsidRPr="00944DE6">
        <w:rPr>
          <w:color w:val="000000"/>
          <w:lang w:val="uk-UA"/>
        </w:rPr>
        <w:t>тварин. Ч</w:t>
      </w:r>
      <w:r w:rsidRPr="00944DE6">
        <w:rPr>
          <w:color w:val="000000"/>
          <w:lang w:val="uk-UA" w:eastAsia="uk-UA"/>
        </w:rPr>
        <w:t>ерез</w:t>
      </w:r>
      <w:r w:rsidRPr="00944DE6">
        <w:rPr>
          <w:lang w:val="uk-UA" w:eastAsia="uk-UA"/>
        </w:rPr>
        <w:t xml:space="preserve"> 1-2 години після введення його активна концентрація у більшості тканин (легені, печінка, нирки, шкіра, кістки та лимфотична система) досягає у 2-3 рази більшої концентрації, ніж у плазмі крові. </w:t>
      </w:r>
      <w:r w:rsidRPr="00944DE6">
        <w:rPr>
          <w:lang w:val="uk-UA"/>
        </w:rPr>
        <w:t xml:space="preserve">Після підшкірного введення максимальна концентрація енрофлоксацину в плазмі крові утримується протягом 6 годин. Період напіввиведення становить від 2 до 6 годин, залежно від виду тварин. </w:t>
      </w:r>
    </w:p>
    <w:p w:rsidR="001036A2" w:rsidRPr="00944DE6" w:rsidRDefault="001036A2" w:rsidP="001036A2">
      <w:pPr>
        <w:ind w:firstLine="540"/>
        <w:jc w:val="both"/>
        <w:rPr>
          <w:lang w:val="uk-UA"/>
        </w:rPr>
      </w:pPr>
      <w:r w:rsidRPr="00944DE6">
        <w:rPr>
          <w:lang w:val="uk-UA"/>
        </w:rPr>
        <w:t>Після підшкірного введення телятам енрофлоксацину у дозі 5,0 мг/кг маси тіла максимальна концентрація препарату в плазмі крові становить 2,0 мкг/мл і визначається через 1 годину після введення. Подальша динаміка демонструє зниження рівня енрофлоксацину до 1,5 мкг/мл через 8 годин, до 1,1 мкг/мл — через 12 годин, і до 0,35 мкг/мл — через 24 години. Через 36 годин після введення препарат у плазмі крові не визначається.</w:t>
      </w:r>
    </w:p>
    <w:p w:rsidR="001036A2" w:rsidRPr="00944DE6" w:rsidRDefault="001036A2" w:rsidP="001036A2">
      <w:pPr>
        <w:ind w:firstLine="540"/>
        <w:jc w:val="both"/>
        <w:rPr>
          <w:lang w:val="uk-UA"/>
        </w:rPr>
      </w:pPr>
      <w:r w:rsidRPr="00944DE6">
        <w:rPr>
          <w:lang w:val="uk-UA"/>
        </w:rPr>
        <w:t>За внутрішньом’язового введення свиням енрофлоксацину в дозі 2,5 мг/кг маси тіла середній період його напіввиведення становить 12,06±0,68 год, тоді як середній час перебування препарату в системному кровотоці дорівнює 17,15±1,04 год. Максимальна концентрація енрофлоксацину в плазмі сягає 1,17±0,23 мкг/мл, а час досягнення пікового рівня становить 1,81±0,23 год. Препарат виявляється у тканинах нирок і печінки протягом 10 діб після введення в концентраціях від 0,012 до 0,017 мкг/г, тоді як у інших органах не визначається.</w:t>
      </w:r>
    </w:p>
    <w:p w:rsidR="002308AB" w:rsidRPr="00944DE6" w:rsidRDefault="00B25773">
      <w:pPr>
        <w:widowControl w:val="0"/>
        <w:shd w:val="clear" w:color="auto" w:fill="FFFFFF"/>
        <w:tabs>
          <w:tab w:val="left" w:pos="426"/>
        </w:tabs>
        <w:spacing w:line="274" w:lineRule="exact"/>
        <w:ind w:firstLine="540"/>
        <w:jc w:val="both"/>
        <w:rPr>
          <w:lang w:val="uk-UA"/>
        </w:rPr>
      </w:pPr>
      <w:r w:rsidRPr="00944DE6">
        <w:rPr>
          <w:lang w:val="uk-UA"/>
        </w:rPr>
        <w:t>Виводиться енрофлоксацин з організму переважно в незміненому вигляді, частково метаболізується у ципрофлоксацин і виділяється з сечею і жовчю.</w:t>
      </w:r>
    </w:p>
    <w:p w:rsidR="002308AB" w:rsidRPr="00944DE6" w:rsidRDefault="00B25773">
      <w:pPr>
        <w:tabs>
          <w:tab w:val="left" w:pos="567"/>
        </w:tabs>
        <w:spacing w:before="40"/>
        <w:ind w:firstLine="540"/>
        <w:rPr>
          <w:b/>
          <w:lang w:val="uk-UA"/>
        </w:rPr>
      </w:pPr>
      <w:r w:rsidRPr="00944DE6">
        <w:rPr>
          <w:b/>
          <w:lang w:val="uk-UA"/>
        </w:rPr>
        <w:t>5. Клінічні особливості</w:t>
      </w:r>
    </w:p>
    <w:p w:rsidR="002308AB" w:rsidRPr="00944DE6" w:rsidRDefault="00B25773">
      <w:pPr>
        <w:widowControl w:val="0"/>
        <w:ind w:firstLine="540"/>
        <w:jc w:val="both"/>
        <w:rPr>
          <w:b/>
          <w:lang w:val="uk-UA"/>
        </w:rPr>
      </w:pPr>
      <w:r w:rsidRPr="00944DE6">
        <w:rPr>
          <w:b/>
          <w:lang w:val="uk-UA"/>
        </w:rPr>
        <w:lastRenderedPageBreak/>
        <w:t>5.1 Вид тварин</w:t>
      </w:r>
    </w:p>
    <w:p w:rsidR="002308AB" w:rsidRPr="00944DE6" w:rsidRDefault="00B25773">
      <w:pPr>
        <w:widowControl w:val="0"/>
        <w:ind w:firstLine="540"/>
        <w:jc w:val="both"/>
        <w:rPr>
          <w:lang w:val="uk-UA"/>
        </w:rPr>
      </w:pPr>
      <w:r w:rsidRPr="00944DE6">
        <w:rPr>
          <w:color w:val="000000"/>
          <w:lang w:val="uk-UA"/>
        </w:rPr>
        <w:t>Велика рогата худоба, свині.</w:t>
      </w:r>
    </w:p>
    <w:p w:rsidR="002308AB" w:rsidRPr="00944DE6" w:rsidRDefault="00B25773">
      <w:pPr>
        <w:pStyle w:val="32"/>
        <w:numPr>
          <w:ilvl w:val="2"/>
          <w:numId w:val="1"/>
        </w:numPr>
        <w:spacing w:after="0"/>
        <w:ind w:left="0" w:firstLine="540"/>
        <w:rPr>
          <w:b/>
          <w:bCs/>
          <w:sz w:val="24"/>
          <w:szCs w:val="24"/>
        </w:rPr>
      </w:pPr>
      <w:r w:rsidRPr="00944DE6">
        <w:rPr>
          <w:b/>
          <w:bCs/>
          <w:sz w:val="24"/>
          <w:szCs w:val="24"/>
        </w:rPr>
        <w:t>Показання до застосування</w:t>
      </w:r>
    </w:p>
    <w:p w:rsidR="0042100B" w:rsidRPr="00944DE6" w:rsidRDefault="0042100B">
      <w:pPr>
        <w:ind w:firstLine="540"/>
        <w:jc w:val="both"/>
      </w:pPr>
      <w:r w:rsidRPr="00944DE6">
        <w:t xml:space="preserve">Велика рогата худоба: лікування тварин, хворих на колісептицемію (спричинену </w:t>
      </w:r>
      <w:r w:rsidRPr="00944DE6">
        <w:rPr>
          <w:i/>
        </w:rPr>
        <w:t>Escherichia coli</w:t>
      </w:r>
      <w:r w:rsidRPr="00944DE6">
        <w:t xml:space="preserve">), гострий мастит (спричинений </w:t>
      </w:r>
      <w:r w:rsidRPr="00944DE6">
        <w:rPr>
          <w:i/>
        </w:rPr>
        <w:t>Escherichia coli</w:t>
      </w:r>
      <w:r w:rsidRPr="00944DE6">
        <w:t xml:space="preserve">), а також </w:t>
      </w:r>
      <w:r w:rsidR="002A7A29" w:rsidRPr="00944DE6">
        <w:rPr>
          <w:lang w:val="uk-UA"/>
        </w:rPr>
        <w:t>за</w:t>
      </w:r>
      <w:r w:rsidR="002A7A29" w:rsidRPr="00944DE6">
        <w:t xml:space="preserve"> </w:t>
      </w:r>
      <w:r w:rsidRPr="00944DE6">
        <w:t>захворюван</w:t>
      </w:r>
      <w:r w:rsidR="002A7A29" w:rsidRPr="00944DE6">
        <w:rPr>
          <w:lang w:val="uk-UA"/>
        </w:rPr>
        <w:t>ь</w:t>
      </w:r>
      <w:r w:rsidRPr="00944DE6">
        <w:t xml:space="preserve"> органів дихання (що спричинені </w:t>
      </w:r>
      <w:r w:rsidRPr="00944DE6">
        <w:rPr>
          <w:i/>
        </w:rPr>
        <w:t>Pasteurella multocida, Mannheimia haemolytica</w:t>
      </w:r>
      <w:r w:rsidRPr="00944DE6">
        <w:t xml:space="preserve"> та </w:t>
      </w:r>
      <w:r w:rsidRPr="00944DE6">
        <w:rPr>
          <w:i/>
        </w:rPr>
        <w:t>Mycoplasma spp</w:t>
      </w:r>
      <w:r w:rsidRPr="00944DE6">
        <w:t xml:space="preserve">.), травного каналу (що спричинені </w:t>
      </w:r>
      <w:r w:rsidRPr="00944DE6">
        <w:rPr>
          <w:i/>
        </w:rPr>
        <w:t>Escherichia coli</w:t>
      </w:r>
      <w:r w:rsidRPr="00944DE6">
        <w:t xml:space="preserve">), викликаних мікроорганізмами, чутливими до енрофлоксацину. </w:t>
      </w:r>
    </w:p>
    <w:p w:rsidR="0042100B" w:rsidRPr="00944DE6" w:rsidRDefault="0042100B">
      <w:pPr>
        <w:ind w:firstLine="540"/>
        <w:jc w:val="both"/>
        <w:rPr>
          <w:lang w:val="uk-UA"/>
        </w:rPr>
      </w:pPr>
      <w:r w:rsidRPr="00944DE6">
        <w:t xml:space="preserve">Свині: лікування тварин, хворих на колісептицемію (спричинену </w:t>
      </w:r>
      <w:r w:rsidRPr="00944DE6">
        <w:rPr>
          <w:i/>
        </w:rPr>
        <w:t>Escherichia coli</w:t>
      </w:r>
      <w:r w:rsidRPr="00944DE6">
        <w:t xml:space="preserve">), післяродовий синдром, дисгалактію, синдром метрит-мастит-агалактії (спричинені </w:t>
      </w:r>
      <w:r w:rsidRPr="00944DE6">
        <w:rPr>
          <w:i/>
        </w:rPr>
        <w:t>Escherichia coli</w:t>
      </w:r>
      <w:r w:rsidRPr="00944DE6">
        <w:t xml:space="preserve"> ta </w:t>
      </w:r>
      <w:r w:rsidRPr="00944DE6">
        <w:rPr>
          <w:i/>
        </w:rPr>
        <w:t>Klebsiella spp</w:t>
      </w:r>
      <w:r w:rsidRPr="00944DE6">
        <w:t xml:space="preserve">.), a також </w:t>
      </w:r>
      <w:r w:rsidR="002A7A29" w:rsidRPr="00944DE6">
        <w:rPr>
          <w:lang w:val="uk-UA"/>
        </w:rPr>
        <w:t>за</w:t>
      </w:r>
      <w:r w:rsidR="002A7A29" w:rsidRPr="00944DE6">
        <w:t xml:space="preserve"> захворюван</w:t>
      </w:r>
      <w:r w:rsidR="002A7A29" w:rsidRPr="00944DE6">
        <w:rPr>
          <w:lang w:val="uk-UA"/>
        </w:rPr>
        <w:t>ь</w:t>
      </w:r>
      <w:r w:rsidRPr="00944DE6">
        <w:t xml:space="preserve"> органів дихання (спричинені </w:t>
      </w:r>
      <w:r w:rsidRPr="00944DE6">
        <w:rPr>
          <w:i/>
        </w:rPr>
        <w:t>Pasteurella multocida, Mycoplasma spp</w:t>
      </w:r>
      <w:r w:rsidRPr="00944DE6">
        <w:t xml:space="preserve">. i </w:t>
      </w:r>
      <w:r w:rsidRPr="00944DE6">
        <w:rPr>
          <w:i/>
        </w:rPr>
        <w:t>Actinobacillus pleuropneumoniae</w:t>
      </w:r>
      <w:r w:rsidRPr="00944DE6">
        <w:t xml:space="preserve">) та травного каналу (спричинені </w:t>
      </w:r>
      <w:r w:rsidRPr="00944DE6">
        <w:rPr>
          <w:i/>
        </w:rPr>
        <w:t>Escherichia coli</w:t>
      </w:r>
      <w:r w:rsidRPr="00944DE6">
        <w:t xml:space="preserve">), органів сечовивідної системи (спричинені </w:t>
      </w:r>
      <w:r w:rsidRPr="00944DE6">
        <w:rPr>
          <w:i/>
        </w:rPr>
        <w:t>Escherichia coli</w:t>
      </w:r>
      <w:r w:rsidRPr="00944DE6">
        <w:t>), викликаних мікроорганізмами, чутливими до енрофлоксацину.</w:t>
      </w:r>
    </w:p>
    <w:p w:rsidR="002308AB" w:rsidRPr="00944DE6" w:rsidRDefault="00B25773">
      <w:pPr>
        <w:widowControl w:val="0"/>
        <w:shd w:val="clear" w:color="auto" w:fill="FFFFFF"/>
        <w:ind w:firstLine="540"/>
        <w:jc w:val="both"/>
        <w:rPr>
          <w:b/>
          <w:lang w:val="uk-UA"/>
        </w:rPr>
      </w:pPr>
      <w:r w:rsidRPr="00944DE6">
        <w:rPr>
          <w:b/>
          <w:lang w:val="uk-UA"/>
        </w:rPr>
        <w:t>5.3 Протипоказання</w:t>
      </w:r>
    </w:p>
    <w:p w:rsidR="002308AB" w:rsidRPr="00944DE6" w:rsidRDefault="00B25773">
      <w:pPr>
        <w:ind w:firstLine="540"/>
        <w:jc w:val="both"/>
        <w:rPr>
          <w:lang w:val="uk-UA"/>
        </w:rPr>
      </w:pPr>
      <w:r w:rsidRPr="00944DE6">
        <w:rPr>
          <w:lang w:val="uk-UA"/>
        </w:rPr>
        <w:t>Підвищена чутливість до енрофлоксацину</w:t>
      </w:r>
      <w:r w:rsidR="006966D0" w:rsidRPr="00944DE6">
        <w:rPr>
          <w:color w:val="FF0000"/>
          <w:lang w:val="uk-UA"/>
        </w:rPr>
        <w:t xml:space="preserve"> </w:t>
      </w:r>
      <w:r w:rsidR="006966D0" w:rsidRPr="00944DE6">
        <w:rPr>
          <w:lang w:val="uk-UA"/>
        </w:rPr>
        <w:t>або до будь-якої з допоміжних речовин</w:t>
      </w:r>
      <w:r w:rsidRPr="00944DE6">
        <w:rPr>
          <w:lang w:val="uk-UA"/>
        </w:rPr>
        <w:t>.</w:t>
      </w:r>
    </w:p>
    <w:p w:rsidR="002308AB" w:rsidRPr="00944DE6" w:rsidRDefault="00B25773">
      <w:pPr>
        <w:ind w:firstLine="540"/>
        <w:jc w:val="both"/>
        <w:rPr>
          <w:lang w:val="uk-UA"/>
        </w:rPr>
      </w:pPr>
      <w:r w:rsidRPr="00944DE6">
        <w:rPr>
          <w:lang w:val="uk-UA"/>
        </w:rPr>
        <w:t>Не призначати тваринам із клінічними ознаками захворювань центральної нервової системи, опорно-рухової системи або ушкодження хрящів суглобів</w:t>
      </w:r>
      <w:r w:rsidRPr="00944DE6">
        <w:rPr>
          <w:spacing w:val="-4"/>
          <w:lang w:val="uk-UA"/>
        </w:rPr>
        <w:t>.</w:t>
      </w:r>
    </w:p>
    <w:p w:rsidR="002308AB" w:rsidRPr="00944DE6" w:rsidRDefault="00B25773">
      <w:pPr>
        <w:ind w:firstLine="540"/>
        <w:jc w:val="both"/>
        <w:rPr>
          <w:lang w:val="uk-UA"/>
        </w:rPr>
      </w:pPr>
      <w:r w:rsidRPr="00944DE6">
        <w:rPr>
          <w:lang w:val="uk-UA"/>
        </w:rPr>
        <w:t>Не застосовувати одночасно з препаратами тетрациклінового ряду, макролідами (еритроміцином), хлорамфеніколом, теофіліном.</w:t>
      </w:r>
    </w:p>
    <w:p w:rsidR="002308AB" w:rsidRPr="00944DE6" w:rsidRDefault="00B25773">
      <w:pPr>
        <w:ind w:firstLine="540"/>
        <w:jc w:val="both"/>
        <w:rPr>
          <w:lang w:val="uk-UA"/>
        </w:rPr>
      </w:pPr>
      <w:r w:rsidRPr="00944DE6">
        <w:rPr>
          <w:lang w:val="uk-UA"/>
        </w:rPr>
        <w:t>Не застосовувати одночасно з імунодепресантом циклоспорином чи його аналогами.</w:t>
      </w:r>
    </w:p>
    <w:p w:rsidR="002308AB" w:rsidRPr="00944DE6" w:rsidRDefault="00B25773">
      <w:pPr>
        <w:ind w:firstLine="540"/>
        <w:jc w:val="both"/>
        <w:rPr>
          <w:lang w:val="uk-UA"/>
        </w:rPr>
      </w:pPr>
      <w:r w:rsidRPr="00944DE6">
        <w:rPr>
          <w:lang w:val="uk-UA"/>
        </w:rPr>
        <w:t>Не застосовувати при виявленні штамів патогенних бактерій, резистентних до хінолонів.</w:t>
      </w:r>
    </w:p>
    <w:p w:rsidR="002308AB" w:rsidRPr="00944DE6" w:rsidRDefault="00B25773">
      <w:pPr>
        <w:ind w:firstLine="540"/>
        <w:jc w:val="both"/>
        <w:rPr>
          <w:lang w:val="uk-UA"/>
        </w:rPr>
      </w:pPr>
      <w:r w:rsidRPr="00944DE6">
        <w:rPr>
          <w:lang w:val="uk-UA"/>
        </w:rPr>
        <w:t>Не застосовувати для профілактики.</w:t>
      </w:r>
    </w:p>
    <w:p w:rsidR="002308AB" w:rsidRPr="00944DE6" w:rsidRDefault="00B25773">
      <w:pPr>
        <w:widowControl w:val="0"/>
        <w:ind w:firstLine="540"/>
        <w:jc w:val="both"/>
        <w:rPr>
          <w:b/>
          <w:lang w:val="uk-UA"/>
        </w:rPr>
      </w:pPr>
      <w:r w:rsidRPr="00944DE6">
        <w:rPr>
          <w:b/>
        </w:rPr>
        <w:t>5.</w:t>
      </w:r>
      <w:r w:rsidRPr="00944DE6">
        <w:rPr>
          <w:b/>
          <w:lang w:val="uk-UA"/>
        </w:rPr>
        <w:t>4</w:t>
      </w:r>
      <w:r w:rsidRPr="00944DE6">
        <w:rPr>
          <w:b/>
        </w:rPr>
        <w:t xml:space="preserve"> </w:t>
      </w:r>
      <w:r w:rsidRPr="00944DE6">
        <w:rPr>
          <w:b/>
          <w:lang w:val="uk-UA"/>
        </w:rPr>
        <w:t>Побічна</w:t>
      </w:r>
      <w:r w:rsidRPr="00944DE6">
        <w:rPr>
          <w:b/>
        </w:rPr>
        <w:t xml:space="preserve"> дія</w:t>
      </w:r>
    </w:p>
    <w:p w:rsidR="002308AB" w:rsidRPr="00944DE6" w:rsidRDefault="00B25773">
      <w:pPr>
        <w:widowControl w:val="0"/>
        <w:ind w:firstLine="540"/>
        <w:jc w:val="both"/>
        <w:rPr>
          <w:lang w:val="uk-UA"/>
        </w:rPr>
      </w:pPr>
      <w:r w:rsidRPr="00944DE6">
        <w:t>У місці ін'єкції у тварин можливе тимчасове незначне запалення, яке не потребує лікування</w:t>
      </w:r>
      <w:r w:rsidRPr="00944DE6">
        <w:rPr>
          <w:lang w:val="uk-UA"/>
        </w:rPr>
        <w:t xml:space="preserve"> та зникає на 5-7 добу.</w:t>
      </w:r>
    </w:p>
    <w:p w:rsidR="00BE2A85" w:rsidRPr="00944DE6" w:rsidRDefault="00BE2A85" w:rsidP="00BE2A85">
      <w:pPr>
        <w:pStyle w:val="12"/>
        <w:ind w:firstLine="567"/>
        <w:jc w:val="both"/>
        <w:rPr>
          <w:sz w:val="24"/>
          <w:szCs w:val="24"/>
          <w:lang w:val="uk-UA"/>
        </w:rPr>
      </w:pPr>
      <w:r w:rsidRPr="00944DE6">
        <w:rPr>
          <w:sz w:val="24"/>
          <w:szCs w:val="24"/>
          <w:lang w:val="uk-UA"/>
        </w:rPr>
        <w:t>У дуже рідкісних випадках можуть виникнути розлади травного каналу (наприклад, діарея). Ці ознаки, як правило, не виражені та швидко минають.</w:t>
      </w:r>
    </w:p>
    <w:p w:rsidR="00BE2A85" w:rsidRPr="00944DE6" w:rsidRDefault="00BE2A85" w:rsidP="00BE2A85">
      <w:pPr>
        <w:pStyle w:val="12"/>
        <w:ind w:firstLine="567"/>
        <w:jc w:val="both"/>
        <w:rPr>
          <w:sz w:val="24"/>
          <w:szCs w:val="24"/>
          <w:lang w:val="uk-UA"/>
        </w:rPr>
      </w:pPr>
      <w:r w:rsidRPr="00944DE6">
        <w:rPr>
          <w:sz w:val="24"/>
          <w:szCs w:val="24"/>
          <w:lang w:val="uk-UA"/>
        </w:rPr>
        <w:t>Фторхінолони можуть викликати артропатію та кульгавість у молодих тварин, яка виникає внаслідок пошкодження суглобових хрящів.</w:t>
      </w:r>
    </w:p>
    <w:p w:rsidR="002308AB" w:rsidRPr="00944DE6" w:rsidRDefault="00B25773">
      <w:pPr>
        <w:widowControl w:val="0"/>
        <w:ind w:firstLine="540"/>
        <w:jc w:val="both"/>
        <w:rPr>
          <w:b/>
          <w:lang w:val="uk-UA"/>
        </w:rPr>
      </w:pPr>
      <w:r w:rsidRPr="00944DE6">
        <w:rPr>
          <w:b/>
          <w:lang w:val="uk-UA"/>
        </w:rPr>
        <w:t>5.5 Особливі застереження при використанні</w:t>
      </w:r>
    </w:p>
    <w:p w:rsidR="002308AB" w:rsidRPr="00944DE6" w:rsidRDefault="00B25773">
      <w:pPr>
        <w:pStyle w:val="12"/>
        <w:ind w:firstLine="540"/>
        <w:jc w:val="both"/>
        <w:rPr>
          <w:sz w:val="24"/>
          <w:szCs w:val="24"/>
          <w:lang w:val="uk-UA"/>
        </w:rPr>
      </w:pPr>
      <w:r w:rsidRPr="00944DE6">
        <w:rPr>
          <w:sz w:val="24"/>
          <w:szCs w:val="24"/>
          <w:lang w:val="uk-UA"/>
        </w:rPr>
        <w:t xml:space="preserve">Використання препарату повинно базуватись на тестуванні чутливості </w:t>
      </w:r>
      <w:r w:rsidR="006966D0" w:rsidRPr="00944DE6">
        <w:rPr>
          <w:sz w:val="24"/>
          <w:szCs w:val="24"/>
          <w:lang w:val="uk-UA"/>
        </w:rPr>
        <w:t>мікроорганізмів-збудників захворювання</w:t>
      </w:r>
      <w:r w:rsidRPr="00944DE6">
        <w:rPr>
          <w:sz w:val="24"/>
          <w:szCs w:val="24"/>
          <w:lang w:val="uk-UA"/>
        </w:rPr>
        <w:t xml:space="preserve"> до енрофлоксацину.</w:t>
      </w:r>
    </w:p>
    <w:p w:rsidR="002308AB" w:rsidRPr="00944DE6" w:rsidRDefault="00B25773">
      <w:pPr>
        <w:pStyle w:val="12"/>
        <w:ind w:firstLine="540"/>
        <w:jc w:val="both"/>
        <w:rPr>
          <w:sz w:val="24"/>
          <w:szCs w:val="24"/>
          <w:lang w:val="uk-UA"/>
        </w:rPr>
      </w:pPr>
      <w:r w:rsidRPr="00944DE6">
        <w:rPr>
          <w:sz w:val="24"/>
          <w:szCs w:val="24"/>
          <w:lang w:val="uk-UA"/>
        </w:rPr>
        <w:t>Як і інші фторхінолони, цей препарат, не слід вживати при легких формах ін’єкцій, оскільки існує можливість виникнення резистентності до енрофлоксацину.</w:t>
      </w:r>
    </w:p>
    <w:p w:rsidR="002308AB" w:rsidRPr="00944DE6" w:rsidRDefault="00B25773">
      <w:pPr>
        <w:pStyle w:val="12"/>
        <w:ind w:firstLine="540"/>
        <w:jc w:val="both"/>
        <w:rPr>
          <w:sz w:val="24"/>
          <w:szCs w:val="24"/>
          <w:lang w:val="uk-UA"/>
        </w:rPr>
      </w:pPr>
      <w:r w:rsidRPr="00944DE6">
        <w:rPr>
          <w:sz w:val="24"/>
          <w:szCs w:val="24"/>
          <w:lang w:val="uk-UA"/>
        </w:rPr>
        <w:t>Якщо одужання не наступає через три доби від початку лікування, слід замінити антибіотик.</w:t>
      </w:r>
    </w:p>
    <w:p w:rsidR="002308AB" w:rsidRPr="00944DE6" w:rsidRDefault="00B25773">
      <w:pPr>
        <w:widowControl w:val="0"/>
        <w:ind w:firstLine="540"/>
        <w:jc w:val="both"/>
        <w:rPr>
          <w:b/>
          <w:lang w:val="uk-UA"/>
        </w:rPr>
      </w:pPr>
      <w:r w:rsidRPr="00944DE6">
        <w:rPr>
          <w:b/>
          <w:lang w:val="uk-UA"/>
        </w:rPr>
        <w:t>5.6 Використання під час вагітності, ла</w:t>
      </w:r>
      <w:r w:rsidRPr="00944DE6">
        <w:rPr>
          <w:b/>
        </w:rPr>
        <w:t>ктації</w:t>
      </w:r>
      <w:r w:rsidRPr="00944DE6">
        <w:rPr>
          <w:b/>
          <w:lang w:val="uk-UA"/>
        </w:rPr>
        <w:t>, несучості</w:t>
      </w:r>
    </w:p>
    <w:p w:rsidR="006966D0" w:rsidRPr="00944DE6" w:rsidRDefault="00A30EE7" w:rsidP="00A30EE7">
      <w:pPr>
        <w:pStyle w:val="12"/>
        <w:ind w:firstLine="567"/>
        <w:jc w:val="both"/>
        <w:rPr>
          <w:sz w:val="24"/>
          <w:szCs w:val="24"/>
          <w:lang w:val="uk-UA"/>
        </w:rPr>
      </w:pPr>
      <w:r w:rsidRPr="00944DE6">
        <w:rPr>
          <w:sz w:val="24"/>
          <w:szCs w:val="24"/>
          <w:lang w:val="uk-UA"/>
        </w:rPr>
        <w:t xml:space="preserve">Доведено безпечність застосування енрофлоксацину тільним коровам протягом 1-ї чверті тільності, застосування препарату на більш пізніх термінах тільності має базуватись на оцінці користі/ризику відповідальним ветеринарним лікарем. </w:t>
      </w:r>
    </w:p>
    <w:p w:rsidR="006966D0" w:rsidRPr="00944DE6" w:rsidRDefault="00A30EE7" w:rsidP="00A30EE7">
      <w:pPr>
        <w:pStyle w:val="12"/>
        <w:ind w:firstLine="567"/>
        <w:jc w:val="both"/>
        <w:rPr>
          <w:sz w:val="24"/>
          <w:szCs w:val="24"/>
          <w:lang w:val="uk-UA"/>
        </w:rPr>
      </w:pPr>
      <w:r w:rsidRPr="00944DE6">
        <w:rPr>
          <w:sz w:val="24"/>
          <w:szCs w:val="24"/>
          <w:lang w:val="uk-UA"/>
        </w:rPr>
        <w:t xml:space="preserve">Безпека застосування препарату свиням під час вагітності не вивчена, застосування під час вагітності має базуватися на оцінці каристі/ризику відповідальним ветеринарним лікарем. </w:t>
      </w:r>
    </w:p>
    <w:p w:rsidR="00A30EE7" w:rsidRPr="00944DE6" w:rsidRDefault="00A30EE7" w:rsidP="00A30EE7">
      <w:pPr>
        <w:pStyle w:val="12"/>
        <w:ind w:firstLine="567"/>
        <w:jc w:val="both"/>
        <w:rPr>
          <w:sz w:val="24"/>
          <w:szCs w:val="24"/>
          <w:lang w:val="uk-UA"/>
        </w:rPr>
      </w:pPr>
      <w:r w:rsidRPr="00944DE6">
        <w:rPr>
          <w:sz w:val="24"/>
          <w:szCs w:val="24"/>
          <w:lang w:val="uk-UA"/>
        </w:rPr>
        <w:t>Препарат можна застосовувати під час лактації.</w:t>
      </w:r>
    </w:p>
    <w:p w:rsidR="002308AB" w:rsidRPr="00944DE6" w:rsidRDefault="00B25773">
      <w:pPr>
        <w:widowControl w:val="0"/>
        <w:ind w:firstLine="540"/>
        <w:jc w:val="both"/>
        <w:rPr>
          <w:b/>
          <w:lang w:val="uk-UA"/>
        </w:rPr>
      </w:pPr>
      <w:r w:rsidRPr="00944DE6">
        <w:rPr>
          <w:b/>
          <w:lang w:val="uk-UA"/>
        </w:rPr>
        <w:t>5.7 Взаємодія з іншими засобами та інші форми взаємодії</w:t>
      </w:r>
    </w:p>
    <w:p w:rsidR="002308AB" w:rsidRPr="00944DE6" w:rsidRDefault="00B25773">
      <w:pPr>
        <w:widowControl w:val="0"/>
        <w:ind w:firstLine="540"/>
        <w:jc w:val="both"/>
        <w:rPr>
          <w:b/>
          <w:lang w:val="uk-UA"/>
        </w:rPr>
      </w:pPr>
      <w:r w:rsidRPr="00944DE6">
        <w:rPr>
          <w:lang w:val="uk-UA"/>
        </w:rPr>
        <w:t>Не застосовувати одночасно з препаратами тетрациклінового ряду, макролідами (еритроміцином), хлорамфеніколом, теофіліном, нестероїдними протизапальними препаратами</w:t>
      </w:r>
      <w:r w:rsidRPr="00944DE6">
        <w:t>.</w:t>
      </w:r>
      <w:r w:rsidR="006966D0" w:rsidRPr="00944DE6">
        <w:rPr>
          <w:lang w:val="uk-UA"/>
        </w:rPr>
        <w:t xml:space="preserve"> Не застосовувати одночасно з імунодепресантом циклоспорином чи його </w:t>
      </w:r>
      <w:r w:rsidR="006966D0" w:rsidRPr="00944DE6">
        <w:rPr>
          <w:lang w:val="uk-UA"/>
        </w:rPr>
        <w:lastRenderedPageBreak/>
        <w:t>аналогами.</w:t>
      </w:r>
      <w:r w:rsidR="006353AA" w:rsidRPr="00944DE6">
        <w:rPr>
          <w:lang w:val="uk-UA"/>
        </w:rPr>
        <w:t xml:space="preserve"> При одночасному застосуванні енрофлоксацину з препаратами, що містять магній та алюміній, абсорбція енрофлоксацину знижується.</w:t>
      </w:r>
    </w:p>
    <w:p w:rsidR="002308AB" w:rsidRPr="00944DE6" w:rsidRDefault="00B25773">
      <w:pPr>
        <w:widowControl w:val="0"/>
        <w:ind w:firstLine="540"/>
        <w:jc w:val="both"/>
        <w:rPr>
          <w:b/>
          <w:lang w:val="uk-UA"/>
        </w:rPr>
      </w:pPr>
      <w:r w:rsidRPr="00944DE6">
        <w:rPr>
          <w:b/>
        </w:rPr>
        <w:t>5.</w:t>
      </w:r>
      <w:r w:rsidRPr="00944DE6">
        <w:rPr>
          <w:b/>
          <w:lang w:val="uk-UA"/>
        </w:rPr>
        <w:t>8</w:t>
      </w:r>
      <w:r w:rsidRPr="00944DE6">
        <w:rPr>
          <w:b/>
        </w:rPr>
        <w:t xml:space="preserve"> Дози і способи введення тваринам різного віку</w:t>
      </w:r>
    </w:p>
    <w:p w:rsidR="002308AB" w:rsidRPr="00944DE6" w:rsidRDefault="00B25773">
      <w:pPr>
        <w:ind w:firstLine="540"/>
        <w:rPr>
          <w:lang w:val="uk-UA"/>
        </w:rPr>
      </w:pPr>
      <w:r w:rsidRPr="00944DE6">
        <w:rPr>
          <w:lang w:val="uk-UA"/>
        </w:rPr>
        <w:t>Підшкірно у доз</w:t>
      </w:r>
      <w:r w:rsidR="006966D0" w:rsidRPr="00944DE6">
        <w:rPr>
          <w:lang w:val="uk-UA"/>
        </w:rPr>
        <w:t>ах</w:t>
      </w:r>
      <w:r w:rsidRPr="00944DE6">
        <w:rPr>
          <w:lang w:val="uk-UA"/>
        </w:rPr>
        <w:t>:</w:t>
      </w:r>
    </w:p>
    <w:p w:rsidR="00A30EE7" w:rsidRPr="00944DE6" w:rsidRDefault="00A30EE7" w:rsidP="00A30EE7">
      <w:pPr>
        <w:ind w:firstLine="567"/>
        <w:jc w:val="both"/>
        <w:rPr>
          <w:lang w:val="uk-UA"/>
        </w:rPr>
      </w:pPr>
      <w:r w:rsidRPr="00944DE6">
        <w:rPr>
          <w:lang w:val="uk-UA"/>
        </w:rPr>
        <w:t xml:space="preserve">велика рогата худоба – 5 мл препарату на </w:t>
      </w:r>
      <w:smartTag w:uri="urn:schemas-microsoft-com:office:smarttags" w:element="metricconverter">
        <w:smartTagPr>
          <w:attr w:name="ProductID" w:val="100 кг"/>
        </w:smartTagPr>
        <w:r w:rsidRPr="00944DE6">
          <w:rPr>
            <w:lang w:val="uk-UA"/>
          </w:rPr>
          <w:t>100 кг</w:t>
        </w:r>
      </w:smartTag>
      <w:r w:rsidRPr="00944DE6">
        <w:rPr>
          <w:lang w:val="uk-UA"/>
        </w:rPr>
        <w:t xml:space="preserve"> маси тіла </w:t>
      </w:r>
      <w:r w:rsidR="006966D0" w:rsidRPr="00944DE6">
        <w:rPr>
          <w:lang w:val="uk-UA"/>
        </w:rPr>
        <w:t xml:space="preserve">(що еквівалентно 5 мг енрофлоксацину на </w:t>
      </w:r>
      <w:smartTag w:uri="urn:schemas-microsoft-com:office:smarttags" w:element="metricconverter">
        <w:smartTagPr>
          <w:attr w:name="ProductID" w:val="1 кг"/>
        </w:smartTagPr>
        <w:r w:rsidR="006966D0" w:rsidRPr="00944DE6">
          <w:rPr>
            <w:lang w:val="uk-UA"/>
          </w:rPr>
          <w:t>1 кг</w:t>
        </w:r>
      </w:smartTag>
      <w:r w:rsidR="006966D0" w:rsidRPr="00944DE6">
        <w:rPr>
          <w:lang w:val="uk-UA"/>
        </w:rPr>
        <w:t xml:space="preserve"> маси тіла) </w:t>
      </w:r>
      <w:r w:rsidRPr="00944DE6">
        <w:rPr>
          <w:lang w:val="uk-UA"/>
        </w:rPr>
        <w:t xml:space="preserve">один раз на добу.  </w:t>
      </w:r>
    </w:p>
    <w:p w:rsidR="002308AB" w:rsidRPr="00944DE6" w:rsidRDefault="00B25773">
      <w:pPr>
        <w:ind w:firstLine="540"/>
        <w:rPr>
          <w:lang w:val="uk-UA"/>
        </w:rPr>
      </w:pPr>
      <w:r w:rsidRPr="00944DE6">
        <w:rPr>
          <w:lang w:val="uk-UA"/>
        </w:rPr>
        <w:t>Внутрішньом'язово у дозах:</w:t>
      </w:r>
    </w:p>
    <w:p w:rsidR="002308AB" w:rsidRPr="00944DE6" w:rsidRDefault="00B25773">
      <w:pPr>
        <w:ind w:firstLine="540"/>
        <w:jc w:val="both"/>
        <w:rPr>
          <w:lang w:val="uk-UA"/>
        </w:rPr>
      </w:pPr>
      <w:r w:rsidRPr="00944DE6">
        <w:rPr>
          <w:lang w:val="uk-UA"/>
        </w:rPr>
        <w:t xml:space="preserve">свині – 2,5 мл препарату на 100 кг маси тіла </w:t>
      </w:r>
      <w:r w:rsidR="006966D0" w:rsidRPr="00944DE6">
        <w:rPr>
          <w:lang w:val="uk-UA"/>
        </w:rPr>
        <w:t>(що еквівалентно 2,5 мг енрофлоксацину на 1 кг маси тіла)</w:t>
      </w:r>
      <w:r w:rsidRPr="00944DE6">
        <w:rPr>
          <w:lang w:val="uk-UA"/>
        </w:rPr>
        <w:t>один раз на добу</w:t>
      </w:r>
      <w:r w:rsidR="00CE0187" w:rsidRPr="00944DE6">
        <w:rPr>
          <w:lang w:val="uk-UA"/>
        </w:rPr>
        <w:t>.</w:t>
      </w:r>
      <w:r w:rsidRPr="00944DE6">
        <w:rPr>
          <w:lang w:val="uk-UA"/>
        </w:rPr>
        <w:t xml:space="preserve"> </w:t>
      </w:r>
    </w:p>
    <w:p w:rsidR="002308AB" w:rsidRPr="00944DE6" w:rsidRDefault="00B25773">
      <w:pPr>
        <w:ind w:firstLine="540"/>
        <w:rPr>
          <w:lang w:val="uk-UA"/>
        </w:rPr>
      </w:pPr>
      <w:r w:rsidRPr="00944DE6">
        <w:rPr>
          <w:lang w:val="uk-UA"/>
        </w:rPr>
        <w:t>Курс лікування – 3 доби, а при сальмонельозі – 5 діб.</w:t>
      </w:r>
    </w:p>
    <w:p w:rsidR="002308AB" w:rsidRPr="00944DE6" w:rsidRDefault="00B25773">
      <w:pPr>
        <w:ind w:firstLine="540"/>
        <w:jc w:val="both"/>
        <w:rPr>
          <w:lang w:val="uk-UA"/>
        </w:rPr>
      </w:pPr>
      <w:r w:rsidRPr="00944DE6">
        <w:rPr>
          <w:lang w:val="uk-UA"/>
        </w:rPr>
        <w:t xml:space="preserve">В одне місце можна вводити не більше 10 мл – для великої рогатої худоби, 2,5 мл –– для свиней. </w:t>
      </w:r>
    </w:p>
    <w:p w:rsidR="002308AB" w:rsidRPr="00944DE6" w:rsidRDefault="00B25773">
      <w:pPr>
        <w:widowControl w:val="0"/>
        <w:ind w:firstLine="540"/>
        <w:jc w:val="both"/>
        <w:rPr>
          <w:b/>
          <w:lang w:val="uk-UA"/>
        </w:rPr>
      </w:pPr>
      <w:r w:rsidRPr="00944DE6">
        <w:rPr>
          <w:b/>
        </w:rPr>
        <w:t>5.</w:t>
      </w:r>
      <w:r w:rsidRPr="00944DE6">
        <w:rPr>
          <w:b/>
          <w:lang w:val="uk-UA"/>
        </w:rPr>
        <w:t>9</w:t>
      </w:r>
      <w:r w:rsidRPr="00944DE6">
        <w:rPr>
          <w:b/>
        </w:rPr>
        <w:t xml:space="preserve"> Передозування (симптоми, невідкладні заходи, антидоти)</w:t>
      </w:r>
    </w:p>
    <w:p w:rsidR="002308AB" w:rsidRPr="00944DE6" w:rsidRDefault="00B25773">
      <w:pPr>
        <w:widowControl w:val="0"/>
        <w:ind w:firstLine="540"/>
        <w:jc w:val="both"/>
      </w:pPr>
      <w:r w:rsidRPr="00944DE6">
        <w:t xml:space="preserve">У місці ін'єкції у тварин можливе тимчасове незначне запалення, яке не потребує лікування. </w:t>
      </w:r>
    </w:p>
    <w:p w:rsidR="002308AB" w:rsidRPr="00944DE6" w:rsidRDefault="00B25773">
      <w:pPr>
        <w:widowControl w:val="0"/>
        <w:ind w:firstLine="540"/>
        <w:jc w:val="both"/>
        <w:rPr>
          <w:b/>
        </w:rPr>
      </w:pPr>
      <w:r w:rsidRPr="00944DE6">
        <w:rPr>
          <w:b/>
        </w:rPr>
        <w:t>5.</w:t>
      </w:r>
      <w:r w:rsidRPr="00944DE6">
        <w:rPr>
          <w:b/>
          <w:lang w:val="uk-UA"/>
        </w:rPr>
        <w:t>10</w:t>
      </w:r>
      <w:r w:rsidRPr="00944DE6">
        <w:rPr>
          <w:b/>
        </w:rPr>
        <w:t xml:space="preserve"> Спеціальні застереження</w:t>
      </w:r>
    </w:p>
    <w:p w:rsidR="002308AB" w:rsidRPr="00944DE6" w:rsidRDefault="00B25773">
      <w:pPr>
        <w:widowControl w:val="0"/>
        <w:ind w:firstLine="540"/>
        <w:jc w:val="both"/>
      </w:pPr>
      <w:r w:rsidRPr="00944DE6">
        <w:rPr>
          <w:lang w:val="uk-UA"/>
        </w:rPr>
        <w:t>Немає.</w:t>
      </w:r>
    </w:p>
    <w:p w:rsidR="002308AB" w:rsidRPr="00944DE6" w:rsidRDefault="00B25773">
      <w:pPr>
        <w:widowControl w:val="0"/>
        <w:ind w:firstLine="540"/>
        <w:jc w:val="both"/>
        <w:rPr>
          <w:b/>
          <w:lang w:val="uk-UA"/>
        </w:rPr>
      </w:pPr>
      <w:r w:rsidRPr="00944DE6">
        <w:rPr>
          <w:b/>
        </w:rPr>
        <w:t>5.1</w:t>
      </w:r>
      <w:r w:rsidRPr="00944DE6">
        <w:rPr>
          <w:b/>
          <w:lang w:val="uk-UA"/>
        </w:rPr>
        <w:t>1</w:t>
      </w:r>
      <w:r w:rsidRPr="00944DE6">
        <w:rPr>
          <w:b/>
        </w:rPr>
        <w:t xml:space="preserve"> Період виведення (каренції)</w:t>
      </w:r>
    </w:p>
    <w:p w:rsidR="002308AB" w:rsidRPr="00944DE6" w:rsidRDefault="00B25773">
      <w:pPr>
        <w:pStyle w:val="12"/>
        <w:ind w:firstLine="540"/>
        <w:jc w:val="both"/>
        <w:rPr>
          <w:sz w:val="24"/>
          <w:szCs w:val="24"/>
          <w:lang w:val="uk-UA"/>
        </w:rPr>
      </w:pPr>
      <w:r w:rsidRPr="00944DE6">
        <w:rPr>
          <w:sz w:val="24"/>
          <w:szCs w:val="24"/>
          <w:lang w:val="uk-UA"/>
        </w:rPr>
        <w:t>Забій тва</w:t>
      </w:r>
      <w:r w:rsidR="00917718" w:rsidRPr="00944DE6">
        <w:rPr>
          <w:sz w:val="24"/>
          <w:szCs w:val="24"/>
          <w:lang w:val="uk-UA"/>
        </w:rPr>
        <w:t>рин на м’ясо дозволяють через 12</w:t>
      </w:r>
      <w:r w:rsidRPr="00944DE6">
        <w:rPr>
          <w:sz w:val="24"/>
          <w:szCs w:val="24"/>
          <w:lang w:val="uk-UA"/>
        </w:rPr>
        <w:t xml:space="preserve"> діб після останнього застосування препарату. Споживання молока людьми дозволяють через 5 діб після останнього застосування препарату. Отримане, до зазначеного терміну, м'ясо та молоко утилізують або згодовують непродуктивним тваринам, залежно від висновку лікаря ветеринарної медицини.</w:t>
      </w:r>
    </w:p>
    <w:p w:rsidR="002308AB" w:rsidRPr="00944DE6" w:rsidRDefault="00B25773">
      <w:pPr>
        <w:ind w:firstLine="540"/>
        <w:rPr>
          <w:b/>
          <w:lang w:val="uk-UA"/>
        </w:rPr>
      </w:pPr>
      <w:r w:rsidRPr="00944DE6">
        <w:rPr>
          <w:b/>
        </w:rPr>
        <w:t>5.1</w:t>
      </w:r>
      <w:r w:rsidRPr="00944DE6">
        <w:rPr>
          <w:b/>
          <w:lang w:val="uk-UA"/>
        </w:rPr>
        <w:t>2</w:t>
      </w:r>
      <w:r w:rsidRPr="00944DE6">
        <w:rPr>
          <w:b/>
        </w:rPr>
        <w:t xml:space="preserve"> Спеціальні застереження для осіб і обслуговуючого персоналу</w:t>
      </w:r>
    </w:p>
    <w:p w:rsidR="002308AB" w:rsidRPr="00944DE6" w:rsidRDefault="00B25773">
      <w:pPr>
        <w:ind w:firstLine="540"/>
        <w:jc w:val="both"/>
      </w:pPr>
      <w:r w:rsidRPr="00944DE6">
        <w:rPr>
          <w:lang w:val="uk-UA"/>
        </w:rPr>
        <w:t>Дотримуватись  правил роботи  з ветеринарними препаратами.</w:t>
      </w:r>
    </w:p>
    <w:p w:rsidR="002308AB" w:rsidRPr="00944DE6" w:rsidRDefault="00B25773">
      <w:pPr>
        <w:widowControl w:val="0"/>
        <w:ind w:firstLine="540"/>
        <w:jc w:val="both"/>
        <w:rPr>
          <w:b/>
          <w:lang w:val="uk-UA"/>
        </w:rPr>
      </w:pPr>
      <w:r w:rsidRPr="00944DE6">
        <w:rPr>
          <w:b/>
        </w:rPr>
        <w:t>6. Ф</w:t>
      </w:r>
      <w:r w:rsidRPr="00944DE6">
        <w:rPr>
          <w:b/>
          <w:lang w:val="uk-UA"/>
        </w:rPr>
        <w:t>армацевтичні особливості</w:t>
      </w:r>
    </w:p>
    <w:p w:rsidR="002308AB" w:rsidRPr="00944DE6" w:rsidRDefault="00B25773">
      <w:pPr>
        <w:pStyle w:val="32"/>
        <w:spacing w:after="0"/>
        <w:ind w:left="0" w:firstLine="540"/>
        <w:rPr>
          <w:b/>
          <w:bCs/>
          <w:sz w:val="24"/>
          <w:szCs w:val="24"/>
        </w:rPr>
      </w:pPr>
      <w:r w:rsidRPr="00944DE6">
        <w:rPr>
          <w:b/>
          <w:bCs/>
          <w:sz w:val="24"/>
          <w:szCs w:val="24"/>
        </w:rPr>
        <w:t>6.1 Форми несумісності (основні)</w:t>
      </w:r>
    </w:p>
    <w:p w:rsidR="002308AB" w:rsidRPr="00944DE6" w:rsidRDefault="00B25773">
      <w:pPr>
        <w:widowControl w:val="0"/>
        <w:ind w:firstLine="540"/>
        <w:jc w:val="both"/>
        <w:rPr>
          <w:b/>
        </w:rPr>
      </w:pPr>
      <w:r w:rsidRPr="00944DE6">
        <w:rPr>
          <w:lang w:val="uk-UA"/>
        </w:rPr>
        <w:t>Не застосовувати одночасно з препаратами тетрациклінового ряду, макролідами (еритроміцином), хлорамфеніколом, теофіліном, нестероїдними протизапальними препаратами</w:t>
      </w:r>
      <w:r w:rsidRPr="00944DE6">
        <w:t>.</w:t>
      </w:r>
    </w:p>
    <w:p w:rsidR="002308AB" w:rsidRPr="00944DE6" w:rsidRDefault="00B25773">
      <w:pPr>
        <w:widowControl w:val="0"/>
        <w:ind w:firstLine="540"/>
        <w:jc w:val="both"/>
        <w:rPr>
          <w:b/>
          <w:lang w:val="uk-UA"/>
        </w:rPr>
      </w:pPr>
      <w:r w:rsidRPr="00944DE6">
        <w:rPr>
          <w:b/>
          <w:lang w:val="uk-UA"/>
        </w:rPr>
        <w:t>6.2 Термін придатності</w:t>
      </w:r>
    </w:p>
    <w:p w:rsidR="002308AB" w:rsidRPr="00944DE6" w:rsidRDefault="00B25773">
      <w:pPr>
        <w:widowControl w:val="0"/>
        <w:ind w:firstLine="540"/>
        <w:jc w:val="both"/>
        <w:rPr>
          <w:lang w:val="uk-UA"/>
        </w:rPr>
      </w:pPr>
      <w:r w:rsidRPr="00944DE6">
        <w:rPr>
          <w:color w:val="000000"/>
          <w:spacing w:val="-2"/>
          <w:lang w:val="uk-UA"/>
        </w:rPr>
        <w:t>2 роки.</w:t>
      </w:r>
      <w:r w:rsidRPr="00944DE6">
        <w:rPr>
          <w:lang w:val="uk-UA"/>
        </w:rPr>
        <w:t xml:space="preserve"> </w:t>
      </w:r>
    </w:p>
    <w:p w:rsidR="002308AB" w:rsidRPr="00944DE6" w:rsidRDefault="00B25773">
      <w:pPr>
        <w:widowControl w:val="0"/>
        <w:ind w:firstLine="540"/>
        <w:jc w:val="both"/>
        <w:rPr>
          <w:rStyle w:val="FontStyle14"/>
          <w:lang w:eastAsia="uk-UA"/>
        </w:rPr>
      </w:pPr>
      <w:r w:rsidRPr="00944DE6">
        <w:rPr>
          <w:lang w:val="uk-UA"/>
        </w:rPr>
        <w:t>Термін придатності після першого відбору препарату — 14 діб, за</w:t>
      </w:r>
      <w:r w:rsidRPr="00944DE6">
        <w:t xml:space="preserve"> умов зберігання в темному місці </w:t>
      </w:r>
      <w:r w:rsidRPr="00944DE6">
        <w:rPr>
          <w:lang w:val="uk-UA"/>
        </w:rPr>
        <w:t>за</w:t>
      </w:r>
      <w:r w:rsidRPr="00944DE6">
        <w:t xml:space="preserve"> температури від 0 до 5</w:t>
      </w:r>
      <w:r w:rsidRPr="00944DE6">
        <w:rPr>
          <w:lang w:val="uk-UA"/>
        </w:rPr>
        <w:t xml:space="preserve"> </w:t>
      </w:r>
      <w:r w:rsidRPr="00944DE6">
        <w:rPr>
          <w:vertAlign w:val="superscript"/>
        </w:rPr>
        <w:t>0</w:t>
      </w:r>
      <w:r w:rsidRPr="00944DE6">
        <w:t>С.</w:t>
      </w:r>
    </w:p>
    <w:p w:rsidR="002308AB" w:rsidRPr="00944DE6" w:rsidRDefault="00B25773">
      <w:pPr>
        <w:widowControl w:val="0"/>
        <w:ind w:firstLine="540"/>
        <w:jc w:val="both"/>
        <w:rPr>
          <w:b/>
        </w:rPr>
      </w:pPr>
      <w:r w:rsidRPr="00944DE6">
        <w:rPr>
          <w:b/>
        </w:rPr>
        <w:t>6.3</w:t>
      </w:r>
      <w:r w:rsidRPr="00944DE6">
        <w:rPr>
          <w:b/>
          <w:lang w:val="uk-UA"/>
        </w:rPr>
        <w:t xml:space="preserve"> </w:t>
      </w:r>
      <w:r w:rsidRPr="00944DE6">
        <w:rPr>
          <w:b/>
        </w:rPr>
        <w:t>Особливі за</w:t>
      </w:r>
      <w:r w:rsidRPr="00944DE6">
        <w:rPr>
          <w:b/>
          <w:lang w:val="uk-UA"/>
        </w:rPr>
        <w:t>ходи</w:t>
      </w:r>
      <w:r w:rsidRPr="00944DE6">
        <w:rPr>
          <w:b/>
        </w:rPr>
        <w:t xml:space="preserve"> зберігання</w:t>
      </w:r>
    </w:p>
    <w:p w:rsidR="002308AB" w:rsidRPr="00944DE6" w:rsidRDefault="00B25773">
      <w:pPr>
        <w:widowControl w:val="0"/>
        <w:ind w:firstLine="540"/>
        <w:jc w:val="both"/>
        <w:rPr>
          <w:lang w:val="uk-UA"/>
        </w:rPr>
      </w:pPr>
      <w:r w:rsidRPr="00944DE6">
        <w:rPr>
          <w:lang w:val="uk-UA"/>
        </w:rPr>
        <w:t>Сухе темне, недоступне для дітей місце за температури від 5 до 25 °С.</w:t>
      </w:r>
    </w:p>
    <w:p w:rsidR="002308AB" w:rsidRPr="00944DE6" w:rsidRDefault="00B25773">
      <w:pPr>
        <w:widowControl w:val="0"/>
        <w:ind w:firstLine="540"/>
        <w:jc w:val="both"/>
        <w:rPr>
          <w:b/>
        </w:rPr>
      </w:pPr>
      <w:r w:rsidRPr="00944DE6">
        <w:rPr>
          <w:b/>
        </w:rPr>
        <w:t>6.4 Природа і склад контейнера первинного пакування</w:t>
      </w:r>
    </w:p>
    <w:p w:rsidR="002308AB" w:rsidRPr="00944DE6" w:rsidRDefault="00B25773">
      <w:pPr>
        <w:pStyle w:val="32"/>
        <w:spacing w:after="0"/>
        <w:ind w:left="0" w:firstLine="540"/>
        <w:jc w:val="both"/>
        <w:rPr>
          <w:sz w:val="24"/>
          <w:szCs w:val="24"/>
          <w:lang w:val="uk-UA"/>
        </w:rPr>
      </w:pPr>
      <w:r w:rsidRPr="00944DE6">
        <w:rPr>
          <w:sz w:val="24"/>
          <w:szCs w:val="24"/>
          <w:lang w:val="uk-UA"/>
        </w:rPr>
        <w:t>Флакони з нейтрального скла марки НС-1, НС-2, УСП-1 закриті гумовими корками під алюмінієву обкатку по 10; 20; 50; 100 та  200 мл. Вторинна упаковка – картонна коробка</w:t>
      </w:r>
    </w:p>
    <w:p w:rsidR="002308AB" w:rsidRPr="00944DE6" w:rsidRDefault="00B25773">
      <w:pPr>
        <w:pStyle w:val="32"/>
        <w:spacing w:after="0"/>
        <w:ind w:left="0" w:firstLine="540"/>
        <w:jc w:val="both"/>
        <w:rPr>
          <w:b/>
          <w:bCs/>
          <w:sz w:val="24"/>
          <w:szCs w:val="24"/>
        </w:rPr>
      </w:pPr>
      <w:r w:rsidRPr="00944DE6">
        <w:rPr>
          <w:b/>
          <w:bCs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:rsidR="002308AB" w:rsidRPr="00944DE6" w:rsidRDefault="00B25773">
      <w:pPr>
        <w:ind w:firstLine="540"/>
        <w:jc w:val="both"/>
        <w:rPr>
          <w:lang w:val="uk-UA"/>
        </w:rPr>
      </w:pPr>
      <w:r w:rsidRPr="00944DE6">
        <w:t xml:space="preserve">Порожню упаковку та залишки невикористаного препарату потрібно </w:t>
      </w:r>
      <w:r w:rsidRPr="00944DE6">
        <w:rPr>
          <w:lang w:val="uk-UA"/>
        </w:rPr>
        <w:t>утилізувати</w:t>
      </w:r>
      <w:r w:rsidRPr="00944DE6">
        <w:t xml:space="preserve"> згідно </w:t>
      </w:r>
      <w:r w:rsidRPr="00944DE6">
        <w:rPr>
          <w:lang w:val="uk-UA"/>
        </w:rPr>
        <w:t xml:space="preserve">з </w:t>
      </w:r>
      <w:r w:rsidRPr="00944DE6">
        <w:t>чинним законодавств</w:t>
      </w:r>
      <w:r w:rsidRPr="00944DE6">
        <w:rPr>
          <w:lang w:val="uk-UA"/>
        </w:rPr>
        <w:t>ом</w:t>
      </w:r>
      <w:r w:rsidRPr="00944DE6">
        <w:t>.</w:t>
      </w:r>
    </w:p>
    <w:p w:rsidR="002308AB" w:rsidRPr="00944DE6" w:rsidRDefault="00B25773">
      <w:pPr>
        <w:ind w:firstLine="540"/>
        <w:jc w:val="both"/>
        <w:rPr>
          <w:b/>
          <w:lang w:val="uk-UA"/>
        </w:rPr>
      </w:pPr>
      <w:r w:rsidRPr="00944DE6">
        <w:rPr>
          <w:b/>
          <w:lang w:val="uk-UA"/>
        </w:rPr>
        <w:t>7. Назва та місцезнаходження власника реєстраційного посвідчення</w:t>
      </w:r>
    </w:p>
    <w:p w:rsidR="002308AB" w:rsidRPr="00944DE6" w:rsidRDefault="00B25773">
      <w:pPr>
        <w:ind w:firstLine="540"/>
      </w:pPr>
      <w:r w:rsidRPr="00944DE6">
        <w:t xml:space="preserve">Товариство з обмеженою відповідальністю “Ветсинтез” </w:t>
      </w:r>
      <w:r w:rsidRPr="00944DE6">
        <w:tab/>
        <w:t xml:space="preserve">                  </w:t>
      </w:r>
      <w:r w:rsidRPr="00944DE6">
        <w:tab/>
      </w:r>
      <w:r w:rsidRPr="00944DE6">
        <w:tab/>
      </w:r>
    </w:p>
    <w:p w:rsidR="002308AB" w:rsidRPr="00944DE6" w:rsidRDefault="00B25773">
      <w:pPr>
        <w:ind w:firstLine="540"/>
        <w:jc w:val="both"/>
        <w:rPr>
          <w:lang w:val="uk-UA"/>
        </w:rPr>
      </w:pPr>
      <w:r w:rsidRPr="00944DE6">
        <w:t>61001, м. Харків, вул. Бобанича Тараса, 30, Україна</w:t>
      </w:r>
    </w:p>
    <w:p w:rsidR="002308AB" w:rsidRPr="00944DE6" w:rsidRDefault="00B25773">
      <w:pPr>
        <w:ind w:firstLine="540"/>
        <w:jc w:val="both"/>
        <w:rPr>
          <w:b/>
          <w:lang w:val="uk-UA"/>
        </w:rPr>
      </w:pPr>
      <w:r w:rsidRPr="00944DE6">
        <w:rPr>
          <w:b/>
          <w:lang w:val="uk-UA"/>
        </w:rPr>
        <w:t>8. Назва та місцезнаходження виробника (виробників)</w:t>
      </w:r>
    </w:p>
    <w:p w:rsidR="002308AB" w:rsidRPr="00944DE6" w:rsidRDefault="00B25773">
      <w:pPr>
        <w:ind w:firstLine="540"/>
      </w:pPr>
      <w:r w:rsidRPr="00944DE6">
        <w:t xml:space="preserve">Товариство з обмеженою відповідальністю “Ветсинтез” </w:t>
      </w:r>
      <w:r w:rsidRPr="00944DE6">
        <w:tab/>
        <w:t xml:space="preserve">                  </w:t>
      </w:r>
      <w:r w:rsidRPr="00944DE6">
        <w:tab/>
      </w:r>
      <w:r w:rsidRPr="00944DE6">
        <w:tab/>
      </w:r>
    </w:p>
    <w:p w:rsidR="002308AB" w:rsidRPr="00944DE6" w:rsidRDefault="00B25773">
      <w:pPr>
        <w:ind w:firstLine="540"/>
        <w:jc w:val="both"/>
        <w:rPr>
          <w:lang w:val="uk-UA"/>
        </w:rPr>
      </w:pPr>
      <w:r w:rsidRPr="00944DE6">
        <w:t>61001, м. Харків, вул. Бобанича Тараса, 30, Україна</w:t>
      </w:r>
    </w:p>
    <w:p w:rsidR="002308AB" w:rsidRDefault="00B25773">
      <w:pPr>
        <w:ind w:firstLine="540"/>
        <w:jc w:val="both"/>
        <w:rPr>
          <w:b/>
        </w:rPr>
      </w:pPr>
      <w:r w:rsidRPr="00944DE6">
        <w:rPr>
          <w:b/>
          <w:lang w:val="uk-UA"/>
        </w:rPr>
        <w:t>9. Додаткова інформація</w:t>
      </w:r>
      <w:bookmarkStart w:id="0" w:name="_GoBack"/>
      <w:bookmarkEnd w:id="0"/>
    </w:p>
    <w:p w:rsidR="002308AB" w:rsidRDefault="002308AB"/>
    <w:sectPr w:rsidR="002308AB" w:rsidSect="003357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6D0" w:rsidRDefault="006966D0">
      <w:r>
        <w:separator/>
      </w:r>
    </w:p>
  </w:endnote>
  <w:endnote w:type="continuationSeparator" w:id="0">
    <w:p w:rsidR="006966D0" w:rsidRDefault="0069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532172"/>
      <w:docPartObj>
        <w:docPartGallery w:val="Page Numbers (Bottom of Page)"/>
        <w:docPartUnique/>
      </w:docPartObj>
    </w:sdtPr>
    <w:sdtContent>
      <w:p w:rsidR="00944DE6" w:rsidRDefault="00944DE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44DE6" w:rsidRDefault="00944DE6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805301"/>
      <w:docPartObj>
        <w:docPartGallery w:val="Page Numbers (Bottom of Page)"/>
        <w:docPartUnique/>
      </w:docPartObj>
    </w:sdtPr>
    <w:sdtContent>
      <w:p w:rsidR="00944DE6" w:rsidRDefault="00944DE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44DE6" w:rsidRDefault="00944DE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6D0" w:rsidRDefault="006966D0">
      <w:r>
        <w:separator/>
      </w:r>
    </w:p>
  </w:footnote>
  <w:footnote w:type="continuationSeparator" w:id="0">
    <w:p w:rsidR="006966D0" w:rsidRDefault="00696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7D6" w:rsidRDefault="003357D6" w:rsidP="003357D6">
    <w:pPr>
      <w:pStyle w:val="af2"/>
      <w:jc w:val="right"/>
      <w:rPr>
        <w:lang w:val="uk-UA"/>
      </w:rPr>
    </w:pPr>
    <w:r>
      <w:rPr>
        <w:lang w:val="uk-UA"/>
      </w:rPr>
      <w:t>Продовження до додатку 1</w:t>
    </w:r>
  </w:p>
  <w:p w:rsidR="003357D6" w:rsidRDefault="003357D6" w:rsidP="003357D6">
    <w:pPr>
      <w:pStyle w:val="af2"/>
      <w:jc w:val="right"/>
    </w:pPr>
    <w:r>
      <w:rPr>
        <w:lang w:val="uk-UA"/>
      </w:rPr>
      <w:t>до реєстраційного посвідчення АВ-01012-01-10</w:t>
    </w:r>
  </w:p>
  <w:p w:rsidR="003357D6" w:rsidRDefault="003357D6" w:rsidP="003357D6">
    <w:pPr>
      <w:pStyle w:val="af2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7D6" w:rsidRDefault="003357D6" w:rsidP="003357D6">
    <w:pPr>
      <w:pStyle w:val="af2"/>
      <w:jc w:val="right"/>
      <w:rPr>
        <w:lang w:val="uk-UA"/>
      </w:rPr>
    </w:pPr>
    <w:r>
      <w:rPr>
        <w:lang w:val="uk-UA"/>
      </w:rPr>
      <w:t>Додаток 1</w:t>
    </w:r>
  </w:p>
  <w:p w:rsidR="003357D6" w:rsidRDefault="003357D6" w:rsidP="003357D6">
    <w:pPr>
      <w:pStyle w:val="af2"/>
      <w:jc w:val="right"/>
    </w:pPr>
    <w:r>
      <w:rPr>
        <w:lang w:val="uk-UA"/>
      </w:rPr>
      <w:t>до реєстраційного посвідчення АВ-01012-01-10</w:t>
    </w:r>
  </w:p>
  <w:p w:rsidR="003357D6" w:rsidRDefault="003357D6">
    <w:pPr>
      <w:pStyle w:val="af2"/>
    </w:pPr>
  </w:p>
  <w:p w:rsidR="003357D6" w:rsidRDefault="003357D6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BED"/>
    <w:multiLevelType w:val="multilevel"/>
    <w:tmpl w:val="6CACA1E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2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AB"/>
    <w:rsid w:val="00081173"/>
    <w:rsid w:val="001036A2"/>
    <w:rsid w:val="002308AB"/>
    <w:rsid w:val="00271044"/>
    <w:rsid w:val="002A7A29"/>
    <w:rsid w:val="003357D6"/>
    <w:rsid w:val="0042100B"/>
    <w:rsid w:val="004603F6"/>
    <w:rsid w:val="004E42AC"/>
    <w:rsid w:val="005D0193"/>
    <w:rsid w:val="006353AA"/>
    <w:rsid w:val="006966D0"/>
    <w:rsid w:val="006D476E"/>
    <w:rsid w:val="00727BAC"/>
    <w:rsid w:val="00917718"/>
    <w:rsid w:val="00944DE6"/>
    <w:rsid w:val="009A77F9"/>
    <w:rsid w:val="00A130B4"/>
    <w:rsid w:val="00A30EE7"/>
    <w:rsid w:val="00B12B2B"/>
    <w:rsid w:val="00B25773"/>
    <w:rsid w:val="00BE2A85"/>
    <w:rsid w:val="00CE0187"/>
    <w:rsid w:val="00F02D82"/>
    <w:rsid w:val="00FD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B5477F9D-05C2-46CE-A0F2-5B7BAF83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80" w:after="4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pPr>
      <w:keepNext/>
      <w:keepLines/>
      <w:spacing w:before="480" w:after="480"/>
      <w:outlineLvl w:val="2"/>
    </w:pPr>
    <w:rPr>
      <w:b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eastAsiaTheme="majorEastAsia" w:cstheme="majorBidi"/>
      <w:b/>
      <w:color w:val="000000" w:themeColor="text1"/>
      <w:sz w:val="28"/>
      <w:szCs w:val="40"/>
    </w:rPr>
  </w:style>
  <w:style w:type="paragraph" w:customStyle="1" w:styleId="aff1">
    <w:name w:val="Курсачи"/>
    <w:basedOn w:val="a"/>
    <w:link w:val="aff2"/>
    <w:qFormat/>
    <w:rPr>
      <w:sz w:val="28"/>
    </w:rPr>
  </w:style>
  <w:style w:type="character" w:customStyle="1" w:styleId="aff2">
    <w:name w:val="Курсачи Знак"/>
    <w:basedOn w:val="a0"/>
    <w:link w:val="aff1"/>
    <w:rPr>
      <w:sz w:val="28"/>
    </w:rPr>
  </w:style>
  <w:style w:type="character" w:customStyle="1" w:styleId="20">
    <w:name w:val="Заголовок 2 Знак"/>
    <w:basedOn w:val="a0"/>
    <w:link w:val="2"/>
    <w:uiPriority w:val="9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rPr>
      <w:rFonts w:eastAsia="Times New Roman"/>
      <w:b/>
      <w:sz w:val="28"/>
      <w:szCs w:val="28"/>
      <w:lang w:val="uk-UA" w:eastAsia="ru-RU"/>
    </w:rPr>
  </w:style>
  <w:style w:type="paragraph" w:customStyle="1" w:styleId="aff3">
    <w:name w:val="Таблиця"/>
    <w:basedOn w:val="a"/>
    <w:qFormat/>
    <w:pPr>
      <w:spacing w:line="256" w:lineRule="auto"/>
    </w:pPr>
    <w:rPr>
      <w:rFonts w:cstheme="minorBidi"/>
      <w:bCs/>
      <w:sz w:val="28"/>
      <w:lang w:val="uk-UA"/>
      <w14:ligatures w14:val="standardContextual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Pr>
      <w:rFonts w:eastAsia="Times New Roman"/>
      <w:sz w:val="16"/>
      <w:szCs w:val="16"/>
      <w:lang w:eastAsia="ru-RU"/>
    </w:rPr>
  </w:style>
  <w:style w:type="character" w:styleId="aff4">
    <w:name w:val="Emphasis"/>
    <w:uiPriority w:val="20"/>
    <w:qFormat/>
    <w:rPr>
      <w:i/>
      <w:iCs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12">
    <w:name w:val="Обычный1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310">
    <w:name w:val="Основной текст с отступом 31"/>
    <w:pPr>
      <w:widowControl w:val="0"/>
      <w:spacing w:after="120" w:line="240" w:lineRule="auto"/>
      <w:ind w:left="283"/>
    </w:pPr>
    <w:rPr>
      <w:rFonts w:eastAsia="Times New Roman"/>
      <w:sz w:val="16"/>
      <w:szCs w:val="16"/>
      <w:lang w:eastAsia="ar-SA"/>
    </w:rPr>
  </w:style>
  <w:style w:type="character" w:styleId="aff5">
    <w:name w:val="annotation reference"/>
    <w:basedOn w:val="a0"/>
    <w:uiPriority w:val="99"/>
    <w:semiHidden/>
    <w:unhideWhenUsed/>
    <w:rsid w:val="00A130B4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A130B4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A130B4"/>
    <w:rPr>
      <w:rFonts w:eastAsia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A130B4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A130B4"/>
    <w:rPr>
      <w:rFonts w:eastAsia="Times New Roman"/>
      <w:b/>
      <w:bCs/>
      <w:sz w:val="20"/>
      <w:szCs w:val="20"/>
      <w:lang w:eastAsia="ru-RU"/>
    </w:rPr>
  </w:style>
  <w:style w:type="paragraph" w:styleId="affa">
    <w:name w:val="Balloon Text"/>
    <w:basedOn w:val="a"/>
    <w:link w:val="affb"/>
    <w:uiPriority w:val="99"/>
    <w:semiHidden/>
    <w:unhideWhenUsed/>
    <w:rsid w:val="00A130B4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A130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F9C32-648A-46A4-8ACB-4AD9FC4D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Vasyl</cp:lastModifiedBy>
  <cp:revision>18</cp:revision>
  <dcterms:created xsi:type="dcterms:W3CDTF">2025-04-22T07:18:00Z</dcterms:created>
  <dcterms:modified xsi:type="dcterms:W3CDTF">2025-10-24T12:12:00Z</dcterms:modified>
</cp:coreProperties>
</file>