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66C8" w:rsidRDefault="00EA2DC1">
      <w:pPr>
        <w:jc w:val="right"/>
        <w:rPr>
          <w:lang w:val="uk-UA"/>
        </w:rPr>
      </w:pPr>
      <w:r>
        <w:rPr>
          <w:lang w:val="uk-UA"/>
        </w:rPr>
        <w:t>Додаток 1</w:t>
      </w:r>
    </w:p>
    <w:p w:rsidR="002766C8" w:rsidRDefault="00EA2DC1">
      <w:pPr>
        <w:tabs>
          <w:tab w:val="left" w:pos="0"/>
        </w:tabs>
        <w:jc w:val="right"/>
        <w:rPr>
          <w:lang w:val="uk-UA"/>
        </w:rPr>
      </w:pPr>
      <w:r>
        <w:rPr>
          <w:lang w:val="uk-UA"/>
        </w:rPr>
        <w:t>до реєстраційного посвідчення AA-</w:t>
      </w:r>
    </w:p>
    <w:p w:rsidR="002766C8" w:rsidRDefault="002766C8">
      <w:pPr>
        <w:tabs>
          <w:tab w:val="left" w:pos="0"/>
        </w:tabs>
        <w:jc w:val="right"/>
        <w:rPr>
          <w:b/>
          <w:bCs/>
          <w:lang w:val="uk-UA"/>
        </w:rPr>
      </w:pPr>
    </w:p>
    <w:p w:rsidR="002766C8" w:rsidRDefault="002766C8">
      <w:pPr>
        <w:tabs>
          <w:tab w:val="left" w:pos="0"/>
        </w:tabs>
        <w:jc w:val="right"/>
        <w:rPr>
          <w:b/>
          <w:bCs/>
          <w:lang w:val="uk-UA"/>
        </w:rPr>
      </w:pPr>
    </w:p>
    <w:p w:rsidR="002766C8" w:rsidRDefault="00EA2DC1">
      <w:pPr>
        <w:tabs>
          <w:tab w:val="left" w:pos="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Коротка характеристика препарату</w:t>
      </w:r>
    </w:p>
    <w:p w:rsidR="002766C8" w:rsidRDefault="002766C8">
      <w:pPr>
        <w:jc w:val="both"/>
        <w:rPr>
          <w:lang w:val="uk-UA"/>
        </w:rPr>
      </w:pPr>
    </w:p>
    <w:p w:rsidR="002766C8" w:rsidRDefault="00EA2DC1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1. Назва </w:t>
      </w:r>
    </w:p>
    <w:p w:rsidR="002766C8" w:rsidRDefault="00EA2DC1">
      <w:pPr>
        <w:ind w:firstLine="567"/>
        <w:jc w:val="both"/>
        <w:rPr>
          <w:lang w:val="uk-UA"/>
        </w:rPr>
      </w:pPr>
      <w:bookmarkStart w:id="0" w:name="_Hlk54787500"/>
      <w:r>
        <w:rPr>
          <w:lang w:val="uk-UA"/>
        </w:rPr>
        <w:t>Мільбегард</w:t>
      </w:r>
      <w:r>
        <w:rPr>
          <w:vertAlign w:val="superscript"/>
          <w:lang w:val="uk-UA"/>
        </w:rPr>
        <w:t>®</w:t>
      </w:r>
      <w:r>
        <w:rPr>
          <w:lang w:val="uk-UA"/>
        </w:rPr>
        <w:t xml:space="preserve"> Дуо для собак</w:t>
      </w:r>
    </w:p>
    <w:bookmarkEnd w:id="0"/>
    <w:p w:rsidR="002766C8" w:rsidRDefault="00EA2DC1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 Склад 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100 г препарату містять діючі речовини (г):</w:t>
      </w:r>
    </w:p>
    <w:p w:rsidR="002766C8" w:rsidRDefault="00EA2DC1">
      <w:pPr>
        <w:ind w:firstLine="567"/>
        <w:jc w:val="both"/>
        <w:rPr>
          <w:lang w:val="uk-UA" w:eastAsia="ru-RU"/>
        </w:rPr>
      </w:pPr>
      <w:bookmarkStart w:id="1" w:name="_Hlk104804737"/>
      <w:r>
        <w:rPr>
          <w:lang w:val="uk-UA" w:eastAsia="ru-RU"/>
        </w:rPr>
        <w:t>мільбеміцину оксим – 1,79;</w:t>
      </w:r>
    </w:p>
    <w:p w:rsidR="002766C8" w:rsidRDefault="00EA2DC1">
      <w:pPr>
        <w:ind w:firstLine="567"/>
        <w:jc w:val="both"/>
        <w:rPr>
          <w:lang w:val="uk-UA" w:eastAsia="en-US"/>
        </w:rPr>
      </w:pPr>
      <w:r>
        <w:rPr>
          <w:lang w:val="uk-UA" w:eastAsia="en-US"/>
        </w:rPr>
        <w:t>празіквантел – 17,86.</w:t>
      </w:r>
    </w:p>
    <w:p w:rsidR="002766C8" w:rsidRDefault="00EA2DC1">
      <w:pPr>
        <w:ind w:firstLine="567"/>
        <w:jc w:val="both"/>
        <w:rPr>
          <w:lang w:val="uk-UA" w:eastAsia="ru-RU"/>
        </w:rPr>
      </w:pPr>
      <w:r>
        <w:rPr>
          <w:lang w:val="uk-UA" w:eastAsia="en-US"/>
        </w:rPr>
        <w:t>Допоміжні речовини: п</w:t>
      </w:r>
      <w:r>
        <w:rPr>
          <w:lang w:val="uk-UA" w:eastAsia="ru-RU"/>
        </w:rPr>
        <w:t>овідон, натрію кроскармелоза, лактози моногідрат, ароматизатор курячий штучний, дріжджі, целюлоза мікрокристалічна, кремнію діоксид колоїдний безводний, магнію стеарат.</w:t>
      </w:r>
    </w:p>
    <w:p w:rsidR="002766C8" w:rsidRDefault="00EA2DC1">
      <w:pPr>
        <w:ind w:firstLine="567"/>
        <w:jc w:val="both"/>
        <w:rPr>
          <w:b/>
          <w:bCs/>
          <w:lang w:val="uk-UA"/>
        </w:rPr>
      </w:pPr>
      <w:bookmarkStart w:id="2" w:name="_Hlk159513570"/>
      <w:bookmarkEnd w:id="1"/>
      <w:r>
        <w:rPr>
          <w:b/>
          <w:bCs/>
          <w:lang w:val="uk-UA"/>
        </w:rPr>
        <w:t>3. Фармацевтична форма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Жувальні таблетки.</w:t>
      </w:r>
    </w:p>
    <w:p w:rsidR="002766C8" w:rsidRPr="00D27D28" w:rsidRDefault="00EA2DC1">
      <w:pPr>
        <w:keepNext/>
        <w:keepLines/>
        <w:widowControl w:val="0"/>
        <w:tabs>
          <w:tab w:val="left" w:pos="963"/>
        </w:tabs>
        <w:ind w:firstLine="567"/>
        <w:jc w:val="both"/>
        <w:outlineLvl w:val="1"/>
        <w:rPr>
          <w:b/>
          <w:bCs/>
          <w:lang w:val="uk-UA"/>
        </w:rPr>
      </w:pPr>
      <w:bookmarkStart w:id="3" w:name="_Hlk159513586"/>
      <w:bookmarkEnd w:id="2"/>
      <w:r>
        <w:rPr>
          <w:b/>
          <w:bCs/>
          <w:lang w:val="uk-UA"/>
        </w:rPr>
        <w:t>4. Фармакологічні властивості</w:t>
      </w:r>
    </w:p>
    <w:p w:rsidR="002766C8" w:rsidRDefault="00EA2DC1">
      <w:pPr>
        <w:keepNext/>
        <w:keepLines/>
        <w:widowControl w:val="0"/>
        <w:tabs>
          <w:tab w:val="left" w:pos="963"/>
        </w:tabs>
        <w:ind w:firstLine="567"/>
        <w:jc w:val="both"/>
        <w:outlineLvl w:val="1"/>
        <w:rPr>
          <w:b/>
          <w:bCs/>
          <w:i/>
          <w:iCs/>
          <w:snapToGrid w:val="0"/>
          <w:lang w:val="uk-UA" w:eastAsia="en-US"/>
        </w:rPr>
      </w:pPr>
      <w:r w:rsidRPr="002F4D23">
        <w:rPr>
          <w:b/>
          <w:bCs/>
          <w:i/>
          <w:iCs/>
          <w:snapToGrid w:val="0"/>
          <w:lang w:val="en-US" w:eastAsia="en-US"/>
        </w:rPr>
        <w:t>ATCvet</w:t>
      </w:r>
      <w:r w:rsidRPr="002F4D23">
        <w:rPr>
          <w:b/>
          <w:bCs/>
          <w:i/>
          <w:iCs/>
          <w:lang w:val="uk-UA"/>
        </w:rPr>
        <w:t xml:space="preserve"> </w:t>
      </w:r>
      <w:r w:rsidRPr="002F4D23">
        <w:rPr>
          <w:b/>
          <w:bCs/>
          <w:i/>
          <w:iCs/>
          <w:snapToGrid w:val="0"/>
          <w:lang w:val="uk-UA" w:eastAsia="en-US"/>
        </w:rPr>
        <w:t>класифікаційний код:</w:t>
      </w:r>
      <w:r w:rsidRPr="002F4D23">
        <w:rPr>
          <w:b/>
          <w:bCs/>
          <w:i/>
          <w:iCs/>
          <w:snapToGrid w:val="0"/>
          <w:lang w:val="en-US" w:eastAsia="en-US"/>
        </w:rPr>
        <w:t>QP</w:t>
      </w:r>
      <w:r w:rsidRPr="002F4D23">
        <w:rPr>
          <w:b/>
          <w:bCs/>
          <w:i/>
          <w:iCs/>
          <w:snapToGrid w:val="0"/>
          <w:lang w:val="uk-UA" w:eastAsia="en-US"/>
        </w:rPr>
        <w:t>54, ендектоциди (</w:t>
      </w:r>
      <w:r w:rsidRPr="002F4D23">
        <w:rPr>
          <w:b/>
          <w:bCs/>
          <w:i/>
          <w:iCs/>
          <w:snapToGrid w:val="0"/>
          <w:lang w:val="en-US" w:eastAsia="en-US"/>
        </w:rPr>
        <w:t>QP</w:t>
      </w:r>
      <w:r w:rsidRPr="002F4D23">
        <w:rPr>
          <w:b/>
          <w:bCs/>
          <w:i/>
          <w:iCs/>
          <w:snapToGrid w:val="0"/>
          <w:lang w:val="uk-UA" w:eastAsia="en-US"/>
        </w:rPr>
        <w:t>54АВ51, мільбеміцин, комбінації).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Міл</w:t>
      </w:r>
      <w:r w:rsidR="002F4D23">
        <w:rPr>
          <w:lang w:val="uk-UA"/>
        </w:rPr>
        <w:t>ь</w:t>
      </w:r>
      <w:r>
        <w:rPr>
          <w:lang w:val="uk-UA"/>
        </w:rPr>
        <w:t>беміцин</w:t>
      </w:r>
      <w:r w:rsidRPr="002F4D23">
        <w:rPr>
          <w:lang w:val="uk-UA"/>
        </w:rPr>
        <w:t>у</w:t>
      </w:r>
      <w:r>
        <w:rPr>
          <w:lang w:val="uk-UA"/>
        </w:rPr>
        <w:t xml:space="preserve"> оксим належить до групи макроциклічних лактонів, виділених в результаті ферментації </w:t>
      </w:r>
      <w:r>
        <w:rPr>
          <w:i/>
          <w:iCs/>
          <w:lang w:val="uk-UA"/>
        </w:rPr>
        <w:t>Streptomyces hygroscopicus</w:t>
      </w:r>
      <w:r>
        <w:rPr>
          <w:lang w:val="uk-UA"/>
        </w:rPr>
        <w:t xml:space="preserve">, типу </w:t>
      </w:r>
      <w:r>
        <w:rPr>
          <w:i/>
          <w:iCs/>
          <w:lang w:val="uk-UA"/>
        </w:rPr>
        <w:t>Aureolacrimosus</w:t>
      </w:r>
      <w:r>
        <w:rPr>
          <w:lang w:val="uk-UA"/>
        </w:rPr>
        <w:t xml:space="preserve">, активний щодо личинок та імаго нематод, які паразитують у травному каналі собак, а також щодо личинок нематод </w:t>
      </w:r>
      <w:r>
        <w:rPr>
          <w:i/>
          <w:iCs/>
          <w:lang w:val="uk-UA"/>
        </w:rPr>
        <w:t>Dirofilaria immitis</w:t>
      </w:r>
      <w:r>
        <w:rPr>
          <w:lang w:val="uk-UA"/>
        </w:rPr>
        <w:t>.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Механізм дії міл</w:t>
      </w:r>
      <w:r w:rsidR="002F4D23">
        <w:rPr>
          <w:lang w:val="uk-UA"/>
        </w:rPr>
        <w:t>ь</w:t>
      </w:r>
      <w:r>
        <w:rPr>
          <w:lang w:val="uk-UA"/>
        </w:rPr>
        <w:t>беміцину зумовлений підвищенням проникності клітинних мембран для іонів хлору (Cl), через глутамат-керовані хлоридні іонні канали (споріднені з ГАМК- і гліциновими рецепторами хребетних), що призводить до поляризації мембран клітин нервової і мʼязової тканини, паралічу і загибелі паразита.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>Празіквантел є похідним ацильованого піразинізохіноліну. Празіквантел активний щодо цестод і трематод. Підвищуючи проникність клітинних мембран паразита для іонів кальцію (приплив Са2+), спричиняє деполяризацію мембран, скорочення мускулатури і руйнування тегументу, що призводить до загибелі паразита і сприяє його виведенню з організму тварин.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 xml:space="preserve">Празіквантел, після перорального застосування у собак, швидко досягає пікового рівня вихідної речовини у плазмі крові (1918 мкг/л). Tmax становить близько 30 хв і коливається від 15 хв до 10 годин. Концентрації в плазмі швидко знижуються (t1/2 близько 1,72 години). Спостерігається значний ефект першого проходження через печінку з дуже швидкою і майже повною печінковою біотрансформацією, головним чином до моногідроксильованих (також деяких ди- і тригідроксильованих) похідних, які переважно кон'юговані з глюкуронідом та/або сульфатом перед виведенням. Зв'язування з плазмою крові становить близько 80%. Виведення швидке і повне (близько 90% за 2 доби); основний шлях елімінації - нирковий. </w:t>
      </w:r>
    </w:p>
    <w:p w:rsidR="002766C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>Після перорального застосування мілбеміцину оксиму собакам пікові рівні у плазмі крові досягають 773 мкг/л і спостерігаються приблизно через 1,25 години. Tmax становить від 45 хвилин до 10 годин, плазмові концентрації знижуються з періодом напіввиведення неметаболізованого мілбеміцину оксиму від 1 до 5 діб. Біодоступність</w:t>
      </w:r>
      <w:r>
        <w:rPr>
          <w:lang w:val="uk-UA"/>
        </w:rPr>
        <w:t xml:space="preserve"> становить близько 80%. На додаток до відносно високих концентрацій у печінці, існує деяка концентрація в жировій тканині, що відображає його ліпофільність.</w:t>
      </w:r>
    </w:p>
    <w:p w:rsidR="002766C8" w:rsidRDefault="00EA2DC1">
      <w:pPr>
        <w:ind w:firstLine="567"/>
        <w:jc w:val="both"/>
        <w:rPr>
          <w:b/>
          <w:bCs/>
          <w:lang w:val="uk-UA"/>
        </w:rPr>
      </w:pPr>
      <w:bookmarkStart w:id="4" w:name="_Hlk159513668"/>
      <w:bookmarkEnd w:id="3"/>
      <w:r>
        <w:rPr>
          <w:b/>
          <w:bCs/>
          <w:lang w:val="uk-UA"/>
        </w:rPr>
        <w:t>5. Клінічні особливості</w:t>
      </w:r>
    </w:p>
    <w:p w:rsidR="002766C8" w:rsidRDefault="00EA2DC1">
      <w:pPr>
        <w:widowControl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5.1 Вид тварин</w:t>
      </w:r>
    </w:p>
    <w:p w:rsidR="002766C8" w:rsidRDefault="00EA2DC1">
      <w:pPr>
        <w:ind w:firstLine="567"/>
        <w:jc w:val="both"/>
        <w:rPr>
          <w:lang w:val="uk-UA"/>
        </w:rPr>
      </w:pPr>
      <w:bookmarkStart w:id="5" w:name="_Hlk54788310"/>
      <w:r>
        <w:rPr>
          <w:lang w:val="uk-UA"/>
        </w:rPr>
        <w:t>Собаки</w:t>
      </w:r>
      <w:bookmarkEnd w:id="5"/>
      <w:r>
        <w:rPr>
          <w:lang w:val="uk-UA"/>
        </w:rPr>
        <w:t>.</w:t>
      </w:r>
    </w:p>
    <w:p w:rsidR="002766C8" w:rsidRDefault="00EA2DC1">
      <w:pPr>
        <w:pStyle w:val="31"/>
        <w:ind w:firstLine="567"/>
      </w:pPr>
      <w:bookmarkStart w:id="6" w:name="_Hlk159513708"/>
      <w:bookmarkEnd w:id="4"/>
      <w:r>
        <w:t>5.2 Показання до застосування</w:t>
      </w:r>
    </w:p>
    <w:p w:rsidR="002766C8" w:rsidRPr="00D27D28" w:rsidRDefault="00EA2DC1">
      <w:pPr>
        <w:pStyle w:val="31"/>
        <w:tabs>
          <w:tab w:val="left" w:pos="709"/>
        </w:tabs>
        <w:ind w:firstLine="567"/>
        <w:rPr>
          <w:b w:val="0"/>
          <w:bCs w:val="0"/>
        </w:rPr>
      </w:pPr>
      <w:r w:rsidRPr="00D27D28">
        <w:rPr>
          <w:b w:val="0"/>
          <w:bCs w:val="0"/>
        </w:rPr>
        <w:t xml:space="preserve">Препарат застосовують для лікування собак та профілактики змішаних інвазій, спричинених дорослими цестодами - </w:t>
      </w:r>
      <w:r w:rsidRPr="00D27D28">
        <w:rPr>
          <w:b w:val="0"/>
          <w:bCs w:val="0"/>
          <w:i/>
          <w:iCs/>
        </w:rPr>
        <w:t xml:space="preserve">Dipylidium caninum, Taenia spp., Echinococcus spp., Mesocestoides spp.; </w:t>
      </w:r>
      <w:r w:rsidRPr="00D27D28">
        <w:rPr>
          <w:b w:val="0"/>
          <w:bCs w:val="0"/>
        </w:rPr>
        <w:t xml:space="preserve">нематодами - </w:t>
      </w:r>
      <w:r w:rsidRPr="00D27D28">
        <w:rPr>
          <w:b w:val="0"/>
          <w:bCs w:val="0"/>
          <w:i/>
          <w:iCs/>
        </w:rPr>
        <w:t>Ancylostoma caninum, Toxocara canis, Toxascaris leonina, Trichuris vulpis, Crenosoma vulpis</w:t>
      </w:r>
      <w:r w:rsidRPr="00D27D28">
        <w:rPr>
          <w:b w:val="0"/>
          <w:bCs w:val="0"/>
        </w:rPr>
        <w:t xml:space="preserve"> (знижує інтенсивність зараження), </w:t>
      </w:r>
      <w:r w:rsidRPr="00D27D28">
        <w:rPr>
          <w:b w:val="0"/>
          <w:bCs w:val="0"/>
          <w:i/>
          <w:iCs/>
        </w:rPr>
        <w:t>Angiostrongylus vasorum</w:t>
      </w:r>
      <w:r w:rsidRPr="00D27D28">
        <w:rPr>
          <w:b w:val="0"/>
          <w:bCs w:val="0"/>
        </w:rPr>
        <w:t xml:space="preserve"> (знижує інтенсивність зараження статевонезрілими дорослими (L5) та дорослими стадіями паразитів; див. специфічні схеми лікування та профілактики захворювань у розділі «5.8 Дози і способи введення тваринам різного </w:t>
      </w:r>
      <w:r w:rsidRPr="00D27D28">
        <w:rPr>
          <w:b w:val="0"/>
          <w:bCs w:val="0"/>
        </w:rPr>
        <w:lastRenderedPageBreak/>
        <w:t xml:space="preserve">віку»), </w:t>
      </w:r>
      <w:r w:rsidRPr="00D27D28">
        <w:rPr>
          <w:b w:val="0"/>
          <w:bCs w:val="0"/>
          <w:i/>
          <w:iCs/>
        </w:rPr>
        <w:t>Thelazia callipaeda</w:t>
      </w:r>
      <w:r w:rsidRPr="00D27D28">
        <w:rPr>
          <w:b w:val="0"/>
          <w:bCs w:val="0"/>
        </w:rPr>
        <w:t xml:space="preserve"> (див. спеціальну схему лікування у розділі у розділі «5.8 Дози і способи введення тваринам різного віку»). </w:t>
      </w:r>
    </w:p>
    <w:p w:rsidR="002766C8" w:rsidRPr="00D27D28" w:rsidRDefault="00EA2DC1">
      <w:pPr>
        <w:pStyle w:val="31"/>
        <w:tabs>
          <w:tab w:val="left" w:pos="709"/>
        </w:tabs>
        <w:ind w:firstLine="567"/>
        <w:rPr>
          <w:b w:val="0"/>
          <w:bCs w:val="0"/>
        </w:rPr>
      </w:pPr>
      <w:r w:rsidRPr="00D27D28">
        <w:rPr>
          <w:b w:val="0"/>
          <w:bCs w:val="0"/>
        </w:rPr>
        <w:t>Препарат також застосовується для профілактики дирофіляріозу (</w:t>
      </w:r>
      <w:r w:rsidRPr="00D27D28">
        <w:rPr>
          <w:b w:val="0"/>
          <w:bCs w:val="0"/>
          <w:i/>
          <w:iCs/>
        </w:rPr>
        <w:t>Dirofilaria immitis</w:t>
      </w:r>
      <w:r w:rsidRPr="00D27D28">
        <w:rPr>
          <w:b w:val="0"/>
          <w:bCs w:val="0"/>
        </w:rPr>
        <w:t>), якщо показано супутнє лікування проти цестод.</w:t>
      </w:r>
    </w:p>
    <w:p w:rsidR="002766C8" w:rsidRPr="00D27D28" w:rsidRDefault="00EA2DC1">
      <w:pPr>
        <w:pStyle w:val="31"/>
        <w:tabs>
          <w:tab w:val="left" w:pos="709"/>
        </w:tabs>
        <w:ind w:firstLine="567"/>
      </w:pPr>
      <w:bookmarkStart w:id="7" w:name="_Hlk159513789"/>
      <w:bookmarkEnd w:id="6"/>
      <w:r w:rsidRPr="00D27D28">
        <w:t>5.3 Протипоказання</w:t>
      </w:r>
    </w:p>
    <w:p w:rsidR="002766C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>Не застосовувати за підвищеної чутливості</w:t>
      </w:r>
      <w:r>
        <w:rPr>
          <w:lang w:val="uk-UA"/>
        </w:rPr>
        <w:t xml:space="preserve"> до діючих речовин або до будь-якої з допоміжних речовин.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Мільбегард</w:t>
      </w:r>
      <w:r>
        <w:rPr>
          <w:vertAlign w:val="superscript"/>
          <w:lang w:val="uk-UA"/>
        </w:rPr>
        <w:t>®</w:t>
      </w:r>
      <w:r>
        <w:rPr>
          <w:lang w:val="uk-UA"/>
        </w:rPr>
        <w:t xml:space="preserve"> Дуо  2,5 мг/25 мг: не застосовувати цуценятам віком до 2 тижнів та/або масою тіла менше 0,5 кг.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Мільбегард</w:t>
      </w:r>
      <w:r>
        <w:rPr>
          <w:vertAlign w:val="superscript"/>
          <w:lang w:val="uk-UA"/>
        </w:rPr>
        <w:t>®</w:t>
      </w:r>
      <w:r>
        <w:rPr>
          <w:lang w:val="uk-UA"/>
        </w:rPr>
        <w:t xml:space="preserve"> Дуо  12,5 мг/125 мг: не застосовувати собакам масою тіла менше 2,5 кг.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>Мільбегард</w:t>
      </w:r>
      <w:r>
        <w:rPr>
          <w:vertAlign w:val="superscript"/>
          <w:lang w:val="uk-UA"/>
        </w:rPr>
        <w:t>®</w:t>
      </w:r>
      <w:r>
        <w:rPr>
          <w:lang w:val="uk-UA"/>
        </w:rPr>
        <w:t xml:space="preserve"> Дуо  25 мг/250 мг: не застосовувати собакам масою тіла менше 5 кг.</w:t>
      </w:r>
    </w:p>
    <w:p w:rsidR="002766C8" w:rsidRDefault="00EA2DC1">
      <w:pPr>
        <w:ind w:firstLine="567"/>
        <w:jc w:val="both"/>
        <w:rPr>
          <w:b/>
          <w:bCs/>
          <w:lang w:val="uk-UA"/>
        </w:rPr>
      </w:pPr>
      <w:bookmarkStart w:id="8" w:name="_Hlk159513841"/>
      <w:bookmarkEnd w:id="7"/>
      <w:r>
        <w:rPr>
          <w:b/>
          <w:bCs/>
          <w:lang w:val="uk-UA"/>
        </w:rPr>
        <w:t xml:space="preserve">5.4 Побічна дія </w:t>
      </w:r>
    </w:p>
    <w:p w:rsidR="002766C8" w:rsidRDefault="00EA2DC1">
      <w:pPr>
        <w:ind w:firstLine="567"/>
        <w:jc w:val="both"/>
        <w:rPr>
          <w:highlight w:val="yellow"/>
          <w:lang w:val="uk-UA"/>
        </w:rPr>
      </w:pPr>
      <w:r w:rsidRPr="00D27D28">
        <w:rPr>
          <w:lang w:val="uk-UA"/>
        </w:rPr>
        <w:t>Після застосування препарату в рекомендованих дозах, дуже рідко (&lt;1 тварина / 10 000 пролікованих тварин, включаючи поодинокі повідомлення) може спостерігатись реакція гіперчутливості, системні розлади (млявість, анорексія), неврологічні ознаки (м'язовий тремор, атаксія, судоми), розлади з боку травного каналу (блювання</w:t>
      </w:r>
      <w:r>
        <w:rPr>
          <w:lang w:val="uk-UA"/>
        </w:rPr>
        <w:t>, слинотеча, діарея).</w:t>
      </w:r>
    </w:p>
    <w:p w:rsidR="002766C8" w:rsidRDefault="00EA2DC1">
      <w:pPr>
        <w:ind w:firstLine="567"/>
        <w:jc w:val="both"/>
        <w:rPr>
          <w:b/>
          <w:bCs/>
          <w:lang w:val="uk-UA"/>
        </w:rPr>
      </w:pPr>
      <w:bookmarkStart w:id="9" w:name="_Hlk159513876"/>
      <w:bookmarkEnd w:id="8"/>
      <w:r>
        <w:rPr>
          <w:b/>
          <w:bCs/>
          <w:lang w:val="uk-UA"/>
        </w:rPr>
        <w:t>5.5 Особливі застереження  при використанні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 xml:space="preserve">У регіонах з ризиком захворювання на дирофіляріоз або у </w:t>
      </w:r>
      <w:r w:rsidRPr="007032B8">
        <w:rPr>
          <w:lang w:val="uk-UA"/>
        </w:rPr>
        <w:t>випадах,</w:t>
      </w:r>
      <w:bookmarkStart w:id="10" w:name="_GoBack"/>
      <w:bookmarkEnd w:id="10"/>
      <w:r>
        <w:rPr>
          <w:lang w:val="uk-UA"/>
        </w:rPr>
        <w:t xml:space="preserve"> коли собака завозиться або вивозиться з району ризику, необхідно порадитись із лікарем ветеринарної медицини перед застосуванням препарату для виключення захворювання. У випадку діагностування дирофіляріозу (</w:t>
      </w:r>
      <w:r>
        <w:rPr>
          <w:i/>
          <w:iCs/>
          <w:lang w:val="uk-UA"/>
        </w:rPr>
        <w:t>Dirofilaria immitis</w:t>
      </w:r>
      <w:r>
        <w:rPr>
          <w:lang w:val="uk-UA"/>
        </w:rPr>
        <w:t>) перед застосуванням препарату тварині рекомендують застосувати спочатку препарати проти дорослих гельмінтів.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 xml:space="preserve">Лікування собак з великою кількістю циркулюючих мікрофілярій іноді може призвести до появи реакцій гіперчутливості, таких як блідість слизових оболонок, блювання, тремтіння, утруднене дихання або надмірне слиновиділення. Ці реакції пов'язані з вивільненням білків з мертвих або вмираючих мікрофілярій і не є прямою токсичною дією препарату. Тому не рекомендується застосовувати препарат собакам, які страждають на мікрофіляріоз. </w:t>
      </w:r>
    </w:p>
    <w:p w:rsidR="002766C8" w:rsidRDefault="00EA2DC1">
      <w:pPr>
        <w:ind w:firstLine="567"/>
        <w:jc w:val="both"/>
        <w:rPr>
          <w:lang w:val="uk-UA"/>
        </w:rPr>
      </w:pPr>
      <w:r>
        <w:rPr>
          <w:lang w:val="uk-UA"/>
        </w:rPr>
        <w:t xml:space="preserve">Дослідження на сильно виснажених собаках або тваринах з серйозними порушеннями функції нирок або печінки не проводилися. Таким тваринам препарат рекомендується застосовувати тільки після оцінки співвідношення користь/ризик, проведеної відповідальним лікарем ветеринарної медицини. 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 xml:space="preserve">Дослідження з мільбеміцину оксимом вказують на те, що межа безпеки у змішаних MDR1 </w:t>
      </w:r>
      <w:r w:rsidRPr="00D27D28">
        <w:rPr>
          <w:lang w:val="uk-UA"/>
        </w:rPr>
        <w:br/>
        <w:t>(-/-) собак породи коллі або споріднених порід є нижчою, порівняно з незмішаною популяцією. У цих собак слід суворо дотримуватися рекомендованої дози. Переносимість препарату цуценятами цих порід не досліджували. Клінічні ознаки передозування у собак породи коллі подібні до тих, що спостерігаються у загальній популяції собак за передозування.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 xml:space="preserve">У собак віком до 4 тижнів зараження трематодами є нетиповим, тому лікування тварин віком до 4 тижнів комбінованим препаратом може не знадобитися. 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>Таблетки ароматизовані. Щоб уникнути випадкового споживання таблеток, зберігайте їх в недоступному для тварин місці.</w:t>
      </w:r>
    </w:p>
    <w:p w:rsidR="002766C8" w:rsidRPr="00D27D28" w:rsidRDefault="00EA2DC1">
      <w:pPr>
        <w:ind w:firstLine="567"/>
        <w:jc w:val="both"/>
        <w:rPr>
          <w:b/>
          <w:bCs/>
          <w:lang w:val="uk-UA"/>
        </w:rPr>
      </w:pPr>
      <w:bookmarkStart w:id="11" w:name="_Hlk159513999"/>
      <w:bookmarkEnd w:id="9"/>
      <w:r w:rsidRPr="00D27D28">
        <w:rPr>
          <w:b/>
          <w:bCs/>
          <w:lang w:val="uk-UA"/>
        </w:rPr>
        <w:t>5.6 Застосування під час вагітності, лактації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>Нешкідливість застосування цього ветеринарного лікарського засобу у період вагітності та лактації клінічно підтверджена, тому препарат можна застосовувати у період вагітності та лактації, а також у племінному собаківництві.</w:t>
      </w:r>
    </w:p>
    <w:p w:rsidR="002766C8" w:rsidRPr="00D27D28" w:rsidRDefault="00EA2DC1">
      <w:pPr>
        <w:ind w:firstLine="567"/>
        <w:jc w:val="both"/>
        <w:rPr>
          <w:b/>
          <w:bCs/>
          <w:lang w:val="uk-UA"/>
        </w:rPr>
      </w:pPr>
      <w:bookmarkStart w:id="12" w:name="_Hlk159514038"/>
      <w:bookmarkEnd w:id="11"/>
      <w:r w:rsidRPr="00D27D28">
        <w:rPr>
          <w:b/>
          <w:bCs/>
          <w:lang w:val="uk-UA"/>
        </w:rPr>
        <w:t>5.7 Взаємодія з іншими засобами та інші форми взаємодії</w:t>
      </w:r>
    </w:p>
    <w:p w:rsidR="002766C8" w:rsidRPr="00D27D28" w:rsidRDefault="00EA2DC1">
      <w:pPr>
        <w:ind w:firstLine="567"/>
        <w:jc w:val="both"/>
        <w:rPr>
          <w:lang w:val="uk-UA"/>
        </w:rPr>
      </w:pPr>
      <w:r w:rsidRPr="00D27D28">
        <w:rPr>
          <w:lang w:val="uk-UA"/>
        </w:rPr>
        <w:t>Одночасне застосування препаратів, що містять мільбеміцину оксим</w:t>
      </w:r>
      <w:r>
        <w:rPr>
          <w:lang w:val="uk-UA"/>
        </w:rPr>
        <w:t xml:space="preserve"> і празіквантел, із селамектином переноситься добре. Не спостерігалося жодних </w:t>
      </w:r>
      <w:r w:rsidRPr="00D27D28">
        <w:rPr>
          <w:lang w:val="uk-UA"/>
        </w:rPr>
        <w:t>взаємодій у разі застосування рекомендованої дози макроциклічного лактону селамектину під час лікування препаратом, що містить мільбеміцину оксим та празіквантел у рекомендованій дозі. За відсутності подальших досліджень слід дотримуватися обережності у разі одночасного застосування препаратів, що містять мільбеміцину оксим і празіквантел, та інших макроциклічних лактонів. Крім того, таких досліджень за участю репродуктивних тварин не проводили.</w:t>
      </w:r>
    </w:p>
    <w:p w:rsidR="002766C8" w:rsidRPr="00D27D28" w:rsidRDefault="00EA2DC1">
      <w:pPr>
        <w:ind w:firstLine="567"/>
        <w:jc w:val="both"/>
        <w:rPr>
          <w:b/>
          <w:bCs/>
          <w:lang w:val="uk-UA"/>
        </w:rPr>
      </w:pPr>
      <w:bookmarkStart w:id="13" w:name="_Hlk159514099"/>
      <w:bookmarkEnd w:id="12"/>
      <w:r w:rsidRPr="00D27D28">
        <w:rPr>
          <w:b/>
          <w:bCs/>
          <w:lang w:val="uk-UA"/>
        </w:rPr>
        <w:t>5.8 Дози і способи введення тваринам різного віку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bookmarkStart w:id="14" w:name="_Hlk54787818"/>
      <w:r w:rsidRPr="00D27D28">
        <w:rPr>
          <w:lang w:val="uk-UA"/>
        </w:rPr>
        <w:t>Препарат застосовують собакам одноразово разом з кормом або після нього.</w:t>
      </w:r>
    </w:p>
    <w:p w:rsidR="002766C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D27D28">
        <w:rPr>
          <w:lang w:val="uk-UA"/>
        </w:rPr>
        <w:t>Мінімальна рекомендована терапевтична доза становить: 0,5 мг мільбеміцину</w:t>
      </w:r>
      <w:r>
        <w:rPr>
          <w:lang w:val="uk-UA"/>
        </w:rPr>
        <w:t xml:space="preserve"> оксиму та 5 мг </w:t>
      </w:r>
      <w:r>
        <w:rPr>
          <w:lang w:val="uk-UA"/>
        </w:rPr>
        <w:lastRenderedPageBreak/>
        <w:t xml:space="preserve">празіквантелу на кг маси тіла. </w:t>
      </w:r>
    </w:p>
    <w:p w:rsidR="002766C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Тварин слід зважувати для забезпечення точного дозування. Таблетки з розділювальною борозною, що дозволяє ділити їх навпіл. Залежно від маси тіла собаки, дозування виглядає наступним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18"/>
        <w:gridCol w:w="2618"/>
      </w:tblGrid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Маса тіла, кг</w:t>
            </w:r>
          </w:p>
        </w:tc>
        <w:tc>
          <w:tcPr>
            <w:tcW w:w="2618" w:type="dxa"/>
          </w:tcPr>
          <w:p w:rsidR="002766C8" w:rsidRDefault="00EA2DC1">
            <w:pPr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Мільбегард</w:t>
            </w:r>
            <w:r>
              <w:rPr>
                <w:vertAlign w:val="superscript"/>
                <w:lang w:val="uk-UA"/>
              </w:rPr>
              <w:t>®</w:t>
            </w:r>
            <w:r>
              <w:rPr>
                <w:b/>
                <w:bCs/>
                <w:lang w:val="uk-UA"/>
              </w:rPr>
              <w:t xml:space="preserve"> Дуо  </w:t>
            </w:r>
          </w:p>
          <w:p w:rsidR="002766C8" w:rsidRDefault="00EA2DC1">
            <w:pPr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2,5 мг/25 мг для собак масою тіла від 0,5 кг</w:t>
            </w:r>
          </w:p>
        </w:tc>
        <w:tc>
          <w:tcPr>
            <w:tcW w:w="2618" w:type="dxa"/>
          </w:tcPr>
          <w:p w:rsidR="002766C8" w:rsidRDefault="00EA2DC1">
            <w:pPr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Мільбегард</w:t>
            </w:r>
            <w:r>
              <w:rPr>
                <w:vertAlign w:val="superscript"/>
                <w:lang w:val="uk-UA"/>
              </w:rPr>
              <w:t>®</w:t>
            </w:r>
            <w:r>
              <w:rPr>
                <w:b/>
                <w:bCs/>
                <w:lang w:val="uk-UA"/>
              </w:rPr>
              <w:t xml:space="preserve"> Дуо  </w:t>
            </w:r>
          </w:p>
          <w:p w:rsidR="002766C8" w:rsidRDefault="00EA2DC1">
            <w:pPr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12,5 мг/125 мг для собак масою тіла від 2,5 кг</w:t>
            </w:r>
          </w:p>
        </w:tc>
        <w:tc>
          <w:tcPr>
            <w:tcW w:w="2618" w:type="dxa"/>
          </w:tcPr>
          <w:p w:rsidR="002766C8" w:rsidRDefault="00EA2DC1">
            <w:pPr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Мільбегард</w:t>
            </w:r>
            <w:r>
              <w:rPr>
                <w:vertAlign w:val="superscript"/>
                <w:lang w:val="uk-UA"/>
              </w:rPr>
              <w:t>®</w:t>
            </w:r>
            <w:r>
              <w:rPr>
                <w:b/>
                <w:bCs/>
                <w:lang w:val="uk-UA"/>
              </w:rPr>
              <w:t xml:space="preserve"> Дуо  </w:t>
            </w:r>
          </w:p>
          <w:p w:rsidR="002766C8" w:rsidRDefault="00EA2DC1">
            <w:pPr>
              <w:tabs>
                <w:tab w:val="left" w:pos="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 мг/250 мг для собак масою тіла від 5 кг</w:t>
            </w: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0.5 - 1 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1/2 таблетки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&gt;1 – 5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таблетка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2.5 - 5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таблетка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1/2 таблетки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&gt;5-10 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 таблетки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таблетка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&gt;5-25 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таблетка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1/2 таблетки</w:t>
            </w: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&gt;25-50 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 таблетки</w:t>
            </w: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таблетка</w:t>
            </w:r>
          </w:p>
        </w:tc>
      </w:tr>
      <w:tr w:rsidR="002766C8">
        <w:trPr>
          <w:jc w:val="center"/>
        </w:trPr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&gt;50-100 </w:t>
            </w: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2618" w:type="dxa"/>
          </w:tcPr>
          <w:p w:rsidR="002766C8" w:rsidRDefault="002766C8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2618" w:type="dxa"/>
          </w:tcPr>
          <w:p w:rsidR="002766C8" w:rsidRDefault="00EA2DC1">
            <w:pPr>
              <w:widowControl w:val="0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 таблетки</w:t>
            </w:r>
          </w:p>
        </w:tc>
      </w:tr>
    </w:tbl>
    <w:p w:rsidR="002766C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У разі необхідності одночасної профілактики дирофіляріозу (</w:t>
      </w:r>
      <w:r>
        <w:rPr>
          <w:i/>
          <w:iCs/>
          <w:lang w:val="uk-UA"/>
        </w:rPr>
        <w:t>Dirofilaria immitis</w:t>
      </w:r>
      <w:r>
        <w:rPr>
          <w:lang w:val="uk-UA"/>
        </w:rPr>
        <w:t>) і лікування проти стьожкових гельмінтів, Мільбегард</w:t>
      </w:r>
      <w:r>
        <w:rPr>
          <w:vertAlign w:val="superscript"/>
          <w:lang w:val="uk-UA"/>
        </w:rPr>
        <w:t>®</w:t>
      </w:r>
      <w:r>
        <w:rPr>
          <w:lang w:val="uk-UA"/>
        </w:rPr>
        <w:t xml:space="preserve"> Дуо може замінити одновалентний препарат для профілактики дирофіляріозу.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Для </w:t>
      </w:r>
      <w:r w:rsidRPr="00D27D28">
        <w:rPr>
          <w:lang w:val="uk-UA"/>
        </w:rPr>
        <w:t xml:space="preserve">лікування тварин за інвазій, спричинених </w:t>
      </w:r>
      <w:r w:rsidRPr="00D27D28">
        <w:rPr>
          <w:i/>
          <w:iCs/>
          <w:lang w:val="uk-UA"/>
        </w:rPr>
        <w:t>Angiostrongylus vasorum</w:t>
      </w:r>
      <w:r w:rsidRPr="00D27D28">
        <w:rPr>
          <w:lang w:val="uk-UA"/>
        </w:rPr>
        <w:t>, мілбеміцину оксим рекомендовано застосовувати чотири рази з тижневим інтервалом. У випадку, якщо рекомендоване супутнє лікування проти інвазій, спричинених цестодами, провести одноразову обробку препаратом Мільбегард</w:t>
      </w:r>
      <w:r w:rsidRPr="00D27D28">
        <w:rPr>
          <w:vertAlign w:val="superscript"/>
          <w:lang w:val="uk-UA"/>
        </w:rPr>
        <w:t>®</w:t>
      </w:r>
      <w:r w:rsidRPr="00D27D28">
        <w:rPr>
          <w:lang w:val="uk-UA"/>
        </w:rPr>
        <w:t xml:space="preserve"> Дуо і продовжити лікування одновалентним препаратом, що містить тільки мільбеміцину оксим, протягом решти трьох щотижневих обробок.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D27D28">
        <w:rPr>
          <w:lang w:val="uk-UA"/>
        </w:rPr>
        <w:t>В ендемічних районах застосування препарату кожні чотири тижні запобігає ангіостронгільозу, знижуючи інвазію статевонезрілих дорослих (L5) та дорослих паразитів, де показано супутнє лікування інвазій, спричинених цестодами.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D27D28">
        <w:rPr>
          <w:lang w:val="uk-UA"/>
        </w:rPr>
        <w:t xml:space="preserve">Для лікування собак, інвазованих </w:t>
      </w:r>
      <w:r w:rsidRPr="00D27D28">
        <w:rPr>
          <w:i/>
          <w:iCs/>
          <w:lang w:val="uk-UA"/>
        </w:rPr>
        <w:t>Thelazia callipaeda</w:t>
      </w:r>
      <w:r w:rsidRPr="00D27D28">
        <w:rPr>
          <w:lang w:val="uk-UA"/>
        </w:rPr>
        <w:t>, мільбеміцину оксим слід застосовувати у 2 прийоми з інтервалом у 7 діб. Якщо показано супутнє лікування собак за інвазій, спричинених цестодами, препарат може замінити одновалентний препарат, що містить тільки мільбеміцину оксим.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D27D28">
        <w:rPr>
          <w:lang w:val="uk-UA"/>
        </w:rPr>
        <w:t>Недостатнє дозування може призвести до неефективного застосування та сприяти розвитку резистентності.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D27D28">
        <w:rPr>
          <w:lang w:val="uk-UA"/>
        </w:rPr>
        <w:t>Необхідність і частота повторних обробок повинні ґрунтуватися на професійних рекомендаціях і враховувати місцеву епідеміологічну ситуацію та спосіб життя тварини.</w:t>
      </w:r>
    </w:p>
    <w:p w:rsidR="002766C8" w:rsidRPr="00D27D28" w:rsidRDefault="00EA2DC1">
      <w:pPr>
        <w:widowControl w:val="0"/>
        <w:tabs>
          <w:tab w:val="left" w:pos="0"/>
        </w:tabs>
        <w:ind w:firstLine="567"/>
        <w:jc w:val="both"/>
        <w:rPr>
          <w:b/>
          <w:bCs/>
          <w:lang w:val="uk-UA"/>
        </w:rPr>
      </w:pPr>
      <w:bookmarkStart w:id="15" w:name="_Hlk159514270"/>
      <w:bookmarkEnd w:id="13"/>
      <w:bookmarkEnd w:id="14"/>
      <w:r w:rsidRPr="00D27D28">
        <w:rPr>
          <w:b/>
          <w:bCs/>
          <w:lang w:val="uk-UA"/>
        </w:rPr>
        <w:t>5.9 Передозування (симптоми, невідкладні заходи, антидоти)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Жодних інших ознак, окрім тих, що спостерігалися у разі застосування рекоме</w:t>
      </w:r>
      <w:r>
        <w:rPr>
          <w:lang w:val="uk-UA"/>
        </w:rPr>
        <w:t>ндованих доз, не виявлено (див. «5.4 Побічна дія»).</w:t>
      </w:r>
    </w:p>
    <w:p w:rsidR="002766C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16" w:name="_Hlk159514294"/>
      <w:bookmarkEnd w:id="15"/>
      <w:r>
        <w:rPr>
          <w:b/>
          <w:bCs/>
          <w:lang w:val="uk-UA"/>
        </w:rPr>
        <w:t>5.10 Спеціальні застереження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Рекомендується проводити одночасне лікування всіх тварин, які проживають в одному домогосподарстві. Якщо зараження цестодами </w:t>
      </w:r>
      <w:r>
        <w:rPr>
          <w:i/>
          <w:iCs/>
          <w:lang w:val="uk-UA"/>
        </w:rPr>
        <w:t>Dipylidium caninum</w:t>
      </w:r>
      <w:r>
        <w:rPr>
          <w:lang w:val="uk-UA"/>
        </w:rPr>
        <w:t xml:space="preserve"> підтверджено, слід обговорити з ветеринарним лікарем супутнє лікування проти проміжних хазяїв, </w:t>
      </w:r>
      <w:r w:rsidRPr="00D27D28">
        <w:rPr>
          <w:lang w:val="uk-UA"/>
        </w:rPr>
        <w:t xml:space="preserve">таких як блохи та волосоїди, щоб запобігти повторному зараженню. 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Під час застосуванні препарату слід чітко дотримуватись рекомендованого дозування, щоб уникнути резистентності та зниження ефективності. Рішення про застосування препарату повинно ґрунтуватися на підтвердженні виду паразитів і навантаження або ризику зараження на основі епізоотичних особливостей для кожної окремої тварини.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Резистентність паразитів до певного класу антигельмінтних</w:t>
      </w:r>
      <w:r>
        <w:rPr>
          <w:lang w:val="uk-UA"/>
        </w:rPr>
        <w:t xml:space="preserve"> засобів може розвинутися після частого, багаторазового застосування антигельмінтного засобу цього класу. 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Рекомендується досліджувати випадки підозри на резистентність, використовуючи відповідні методи діагностики. Про підтверджену резистентність слід повідомити власника реєстраційного посвідчення або </w:t>
      </w:r>
      <w:r w:rsidRPr="00D27D28">
        <w:rPr>
          <w:lang w:val="uk-UA"/>
        </w:rPr>
        <w:t>компетентні органи.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За відсутності ризику коінвазії нематодами або цестодами слід застосовувати препарат вузького спектру дії.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У разі застосування цього препарату слід враховувати місцеву інформацію про чутливість цільових паразитів, якщо вона доступна.</w:t>
      </w:r>
    </w:p>
    <w:p w:rsidR="002766C8" w:rsidRPr="00D27D2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17" w:name="_Hlk159514381"/>
      <w:bookmarkEnd w:id="16"/>
      <w:r w:rsidRPr="00D27D28">
        <w:rPr>
          <w:b/>
          <w:bCs/>
          <w:lang w:val="uk-UA"/>
        </w:rPr>
        <w:lastRenderedPageBreak/>
        <w:t>5.11 Період виведення (каренції)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bookmarkStart w:id="18" w:name="_Hlk54788164"/>
      <w:r w:rsidRPr="00D27D28">
        <w:rPr>
          <w:lang w:val="uk-UA"/>
        </w:rPr>
        <w:t xml:space="preserve">Не </w:t>
      </w:r>
      <w:r w:rsidR="00D27D28" w:rsidRPr="00D27D28">
        <w:rPr>
          <w:lang w:val="uk-UA"/>
        </w:rPr>
        <w:t>визначають для непродуктивних тварин</w:t>
      </w:r>
      <w:r w:rsidRPr="00D27D28">
        <w:rPr>
          <w:lang w:val="uk-UA"/>
        </w:rPr>
        <w:t>.</w:t>
      </w:r>
    </w:p>
    <w:p w:rsidR="002766C8" w:rsidRPr="00D27D2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19" w:name="_Hlk159514392"/>
      <w:bookmarkEnd w:id="17"/>
      <w:bookmarkEnd w:id="18"/>
      <w:r w:rsidRPr="00D27D28">
        <w:rPr>
          <w:b/>
          <w:bCs/>
          <w:lang w:val="uk-UA"/>
        </w:rPr>
        <w:t>5.12 Спеціальні застереження для осіб і обслуговуючого персоналу</w:t>
      </w:r>
    </w:p>
    <w:p w:rsidR="002766C8" w:rsidRPr="00D27D28" w:rsidRDefault="00EA2DC1"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lang w:val="uk-UA"/>
        </w:rPr>
      </w:pPr>
      <w:r w:rsidRPr="00D27D28">
        <w:rPr>
          <w:lang w:val="uk-UA"/>
        </w:rPr>
        <w:t>Препарат слід зберігати в недоступному для дітей місці, щоб уникнути випадкового споживання. Будь-які невикористані частини таблетки слід повернути у відкритий блістер, вкласти назад у зовнішню упаковку та використати під час наступного застосування або безпечно утилізувати.</w:t>
      </w:r>
    </w:p>
    <w:p w:rsidR="002766C8" w:rsidRPr="00D27D28" w:rsidRDefault="00EA2DC1"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lang w:val="uk-UA"/>
        </w:rPr>
      </w:pPr>
      <w:r w:rsidRPr="00D27D28">
        <w:rPr>
          <w:lang w:val="uk-UA"/>
        </w:rPr>
        <w:t>У разі випадкового проковтування таблеток, особливо дитиною, слід негайно звернутися за медичною допомогою та показати лікарю листівку-вкладку або етикетку.</w:t>
      </w:r>
    </w:p>
    <w:p w:rsidR="002766C8" w:rsidRPr="00D27D28" w:rsidRDefault="00EA2DC1"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lang w:val="uk-UA"/>
        </w:rPr>
      </w:pPr>
      <w:r w:rsidRPr="00D27D28">
        <w:rPr>
          <w:lang w:val="uk-UA"/>
        </w:rPr>
        <w:t>Препарат може викликати слабку шкірну сенсибілізацію. Рекомендовано з обережністю застосовувати цей препарат у разі відомої гіперчутливості до діючих речовин або до будь-якої з допоміжних речовин у людини. Якщо під час застосування препарату</w:t>
      </w:r>
      <w:r>
        <w:rPr>
          <w:lang w:val="uk-UA"/>
        </w:rPr>
        <w:t xml:space="preserve"> тварині у людини виникли такі симптоми, як висипання на шкірі</w:t>
      </w:r>
      <w:r w:rsidRPr="00D27D28">
        <w:rPr>
          <w:lang w:val="uk-UA"/>
        </w:rPr>
        <w:t>, які не зникають, зверніться до лікаря та покажіть йому листівку з інформацією про продукт або етикетку. Вимийте руки після використання.</w:t>
      </w:r>
    </w:p>
    <w:p w:rsidR="002766C8" w:rsidRPr="00D27D28" w:rsidRDefault="00EA2DC1"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b/>
          <w:bCs/>
          <w:lang w:val="uk-UA"/>
        </w:rPr>
      </w:pPr>
      <w:bookmarkStart w:id="20" w:name="_Hlk159514472"/>
      <w:bookmarkEnd w:id="19"/>
      <w:r w:rsidRPr="00D27D28">
        <w:rPr>
          <w:b/>
          <w:bCs/>
          <w:lang w:val="uk-UA"/>
        </w:rPr>
        <w:t>6. Фармацевтичні особливості</w:t>
      </w:r>
    </w:p>
    <w:p w:rsidR="002766C8" w:rsidRPr="00D27D28" w:rsidRDefault="00EA2DC1">
      <w:pPr>
        <w:widowControl w:val="0"/>
        <w:ind w:firstLine="567"/>
        <w:jc w:val="both"/>
        <w:rPr>
          <w:b/>
          <w:bCs/>
          <w:lang w:val="uk-UA"/>
        </w:rPr>
      </w:pPr>
      <w:r w:rsidRPr="00D27D28">
        <w:rPr>
          <w:b/>
          <w:bCs/>
          <w:lang w:val="uk-UA"/>
        </w:rPr>
        <w:t>6.1 Форми несумісності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Не встановлені.</w:t>
      </w:r>
    </w:p>
    <w:p w:rsidR="002766C8" w:rsidRPr="00D27D2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21" w:name="_Hlk159514488"/>
      <w:bookmarkEnd w:id="20"/>
      <w:r w:rsidRPr="00D27D28">
        <w:rPr>
          <w:b/>
          <w:bCs/>
          <w:lang w:val="uk-UA"/>
        </w:rPr>
        <w:t>6.2 Термін придатності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3 роки.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Термін придатності розділеної навпіл таблетки після першого відкриття блістера: 6 місяців.</w:t>
      </w:r>
    </w:p>
    <w:p w:rsidR="002766C8" w:rsidRPr="00D27D2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22" w:name="_Hlk159514529"/>
      <w:r w:rsidRPr="00D27D28">
        <w:rPr>
          <w:b/>
          <w:bCs/>
          <w:lang w:val="uk-UA"/>
        </w:rPr>
        <w:t>6.3 Особливі заходи зберігання</w:t>
      </w:r>
    </w:p>
    <w:bookmarkEnd w:id="21"/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Зберігати в захищеному від світла, недоступному для дітей місці.</w:t>
      </w:r>
    </w:p>
    <w:p w:rsidR="002766C8" w:rsidRPr="00D27D28" w:rsidRDefault="00EA2DC1">
      <w:pPr>
        <w:widowControl w:val="0"/>
        <w:ind w:firstLine="567"/>
        <w:jc w:val="both"/>
        <w:rPr>
          <w:lang w:val="uk-UA"/>
        </w:rPr>
      </w:pPr>
      <w:r w:rsidRPr="00D27D28">
        <w:rPr>
          <w:lang w:val="uk-UA"/>
        </w:rPr>
        <w:t>Будь-які невикористані частини таблетки слід повернути у відкритий блістер, вкласти назад у зовнішню упаковку і використати під час наступного застосування або безпечно утилізувати.</w:t>
      </w:r>
    </w:p>
    <w:p w:rsidR="002766C8" w:rsidRPr="00D27D2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23" w:name="_Hlk159514561"/>
      <w:bookmarkEnd w:id="22"/>
      <w:r w:rsidRPr="00D27D28">
        <w:rPr>
          <w:b/>
          <w:bCs/>
          <w:lang w:val="uk-UA"/>
        </w:rPr>
        <w:t>6.4 Природа і склад контейнера первинного пакування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bookmarkStart w:id="24" w:name="_Hlk54788187"/>
      <w:r w:rsidRPr="00D27D28">
        <w:rPr>
          <w:lang w:val="uk-UA"/>
        </w:rPr>
        <w:t xml:space="preserve">Таблетки, масою по </w:t>
      </w:r>
      <w:r w:rsidRPr="00D27D28">
        <w:rPr>
          <w:lang w:val="uk-UA" w:eastAsia="en-US"/>
        </w:rPr>
        <w:t>140, 700 або 1400</w:t>
      </w:r>
      <w:r>
        <w:rPr>
          <w:lang w:val="uk-UA" w:eastAsia="en-US"/>
        </w:rPr>
        <w:t xml:space="preserve"> мг</w:t>
      </w:r>
      <w:r>
        <w:rPr>
          <w:lang w:val="uk-UA"/>
        </w:rPr>
        <w:t xml:space="preserve"> у блістерах з поліаміду-алюмінію-полівінілхлориду/алюмінію, запаяні термозварювальним способом, упаковані в картонні коробки.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Картонна коробка, що містить 1 блістер по 2 таблетки (2 таблетки).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Картонна коробка, що містить 2 блістери по 2 таблетки (4 таблетки).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Картонна коробка, що містить 5 блістерів по 2 таблетки (10 таблеток).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Картонна коробка, що містить 12 блістерів по 2 таблетки (24 таблетки).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Картонна коробка, що містить 24 блістерів по 2 таблетки (48 таблеток).</w:t>
      </w:r>
    </w:p>
    <w:p w:rsidR="002766C8" w:rsidRDefault="00EA2DC1">
      <w:pPr>
        <w:widowControl w:val="0"/>
        <w:ind w:firstLine="567"/>
        <w:jc w:val="both"/>
        <w:rPr>
          <w:highlight w:val="yellow"/>
          <w:lang w:val="uk-UA"/>
        </w:rPr>
      </w:pPr>
      <w:r>
        <w:rPr>
          <w:lang w:val="uk-UA"/>
        </w:rPr>
        <w:t>Картонна коробка, що містить 50 блістерів по 2 таблетки (100 таблеток).</w:t>
      </w:r>
    </w:p>
    <w:p w:rsidR="002766C8" w:rsidRDefault="00EA2DC1">
      <w:pPr>
        <w:widowControl w:val="0"/>
        <w:ind w:firstLine="567"/>
        <w:jc w:val="both"/>
        <w:rPr>
          <w:b/>
          <w:bCs/>
          <w:lang w:val="uk-UA"/>
        </w:rPr>
      </w:pPr>
      <w:bookmarkStart w:id="25" w:name="_Hlk159514592"/>
      <w:bookmarkEnd w:id="23"/>
      <w:bookmarkEnd w:id="24"/>
      <w:r>
        <w:rPr>
          <w:b/>
          <w:bCs/>
          <w:lang w:val="uk-UA"/>
        </w:rPr>
        <w:t xml:space="preserve">6.5 Особливі заходи </w:t>
      </w:r>
      <w:r w:rsidRPr="00D27D28">
        <w:rPr>
          <w:b/>
          <w:bCs/>
          <w:lang w:val="uk-UA"/>
        </w:rPr>
        <w:t xml:space="preserve">безпеки </w:t>
      </w:r>
      <w:r w:rsidR="00D27D28" w:rsidRPr="00D27D28">
        <w:rPr>
          <w:b/>
          <w:bCs/>
          <w:lang w:val="uk-UA"/>
        </w:rPr>
        <w:t>при</w:t>
      </w:r>
      <w:r w:rsidRPr="00D27D28">
        <w:rPr>
          <w:b/>
          <w:bCs/>
          <w:lang w:val="uk-UA"/>
        </w:rPr>
        <w:t xml:space="preserve"> поводженн</w:t>
      </w:r>
      <w:r w:rsidR="00D27D28" w:rsidRPr="00D27D28">
        <w:rPr>
          <w:b/>
          <w:bCs/>
          <w:lang w:val="uk-UA"/>
        </w:rPr>
        <w:t>і</w:t>
      </w:r>
      <w:r>
        <w:rPr>
          <w:b/>
          <w:bCs/>
          <w:lang w:val="uk-UA"/>
        </w:rPr>
        <w:t xml:space="preserve"> з препаратом або із його залишками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Препарат не слід утилізувати разом зі стічними водами або побутовими відходами.</w:t>
      </w:r>
    </w:p>
    <w:p w:rsidR="002766C8" w:rsidRDefault="00EA2DC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Ветеринарний препарат не повинен потрапляти у водойми, оскільки це може бути небезпечним для риб та інших водних організмів.</w:t>
      </w:r>
    </w:p>
    <w:p w:rsidR="002766C8" w:rsidRDefault="00EA2DC1">
      <w:pPr>
        <w:widowControl w:val="0"/>
        <w:ind w:firstLine="567"/>
        <w:jc w:val="both"/>
        <w:rPr>
          <w:spacing w:val="-1"/>
          <w:lang w:val="uk-UA"/>
        </w:rPr>
      </w:pPr>
      <w:r>
        <w:rPr>
          <w:spacing w:val="-1"/>
          <w:lang w:val="uk-UA"/>
        </w:rPr>
        <w:t>Упаковку, залишки препарату потрібно утилізувати згідно з чинним законодавством.</w:t>
      </w:r>
    </w:p>
    <w:p w:rsidR="002766C8" w:rsidRDefault="00EA2DC1">
      <w:pPr>
        <w:ind w:firstLine="567"/>
        <w:jc w:val="both"/>
        <w:rPr>
          <w:b/>
          <w:bCs/>
          <w:lang w:val="uk-UA"/>
        </w:rPr>
      </w:pPr>
      <w:bookmarkStart w:id="26" w:name="_Hlk159514720"/>
      <w:bookmarkEnd w:id="25"/>
      <w:r>
        <w:rPr>
          <w:b/>
          <w:bCs/>
          <w:lang w:val="uk-UA"/>
        </w:rPr>
        <w:t>7. Назва та місцезнаходження власника реєстраційного посвідчення</w:t>
      </w:r>
    </w:p>
    <w:tbl>
      <w:tblPr>
        <w:tblW w:w="1060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213"/>
      </w:tblGrid>
      <w:tr w:rsidR="002766C8">
        <w:trPr>
          <w:trHeight w:val="948"/>
        </w:trPr>
        <w:tc>
          <w:tcPr>
            <w:tcW w:w="5387" w:type="dxa"/>
          </w:tcPr>
          <w:p w:rsidR="002766C8" w:rsidRPr="00D27D28" w:rsidRDefault="00EA2DC1">
            <w:pPr>
              <w:snapToGrid w:val="0"/>
              <w:ind w:firstLine="567"/>
              <w:jc w:val="both"/>
              <w:rPr>
                <w:lang w:val="uk-UA"/>
              </w:rPr>
            </w:pPr>
            <w:r w:rsidRPr="00D27D28">
              <w:rPr>
                <w:lang w:val="uk-UA"/>
              </w:rPr>
              <w:t>Сева Санте Анімаль</w:t>
            </w:r>
          </w:p>
          <w:p w:rsidR="002766C8" w:rsidRPr="00D27D28" w:rsidRDefault="00EA2DC1">
            <w:pPr>
              <w:ind w:left="567"/>
            </w:pPr>
            <w:r w:rsidRPr="00D27D28">
              <w:rPr>
                <w:lang w:val="uk-UA"/>
              </w:rPr>
              <w:t xml:space="preserve">8 рю де Логроньо, </w:t>
            </w:r>
          </w:p>
          <w:p w:rsidR="002766C8" w:rsidRPr="00D27D28" w:rsidRDefault="00EA2DC1">
            <w:pPr>
              <w:ind w:left="567"/>
              <w:rPr>
                <w:lang w:val="en-US"/>
              </w:rPr>
            </w:pPr>
            <w:r w:rsidRPr="00D27D28">
              <w:rPr>
                <w:lang w:val="uk-UA"/>
              </w:rPr>
              <w:t>33500 Лібурн, Франція</w:t>
            </w:r>
          </w:p>
        </w:tc>
        <w:tc>
          <w:tcPr>
            <w:tcW w:w="5213" w:type="dxa"/>
          </w:tcPr>
          <w:p w:rsidR="002766C8" w:rsidRPr="00D27D28" w:rsidRDefault="00EA2DC1">
            <w:pPr>
              <w:snapToGrid w:val="0"/>
              <w:ind w:firstLine="567"/>
              <w:rPr>
                <w:lang w:val="uk-UA"/>
              </w:rPr>
            </w:pPr>
            <w:r w:rsidRPr="00D27D28">
              <w:rPr>
                <w:lang w:val="uk-UA"/>
              </w:rPr>
              <w:t>Сeva Sante Animale</w:t>
            </w:r>
          </w:p>
          <w:p w:rsidR="002766C8" w:rsidRPr="007032B8" w:rsidRDefault="00EA2DC1">
            <w:pPr>
              <w:pStyle w:val="af4"/>
              <w:snapToGrid w:val="0"/>
              <w:ind w:left="567"/>
              <w:rPr>
                <w:lang w:val="fr-FR"/>
              </w:rPr>
            </w:pPr>
            <w:r w:rsidRPr="007032B8">
              <w:rPr>
                <w:lang w:val="fr-FR"/>
              </w:rPr>
              <w:t>8</w:t>
            </w:r>
            <w:r w:rsidRPr="00D27D28">
              <w:rPr>
                <w:lang w:val="uk-UA"/>
              </w:rPr>
              <w:t xml:space="preserve"> </w:t>
            </w:r>
            <w:r w:rsidRPr="007032B8">
              <w:rPr>
                <w:lang w:val="fr-FR"/>
              </w:rPr>
              <w:t>rue de Logrono,</w:t>
            </w:r>
          </w:p>
          <w:p w:rsidR="002766C8" w:rsidRPr="00D27D28" w:rsidRDefault="00EA2DC1">
            <w:pPr>
              <w:pStyle w:val="af4"/>
              <w:snapToGrid w:val="0"/>
              <w:ind w:left="567"/>
              <w:rPr>
                <w:lang w:val="uk-UA"/>
              </w:rPr>
            </w:pPr>
            <w:r w:rsidRPr="00D27D28">
              <w:rPr>
                <w:lang w:val="uk-UA"/>
              </w:rPr>
              <w:t>33500</w:t>
            </w:r>
            <w:r w:rsidRPr="00D27D28">
              <w:rPr>
                <w:lang w:val="en-US"/>
              </w:rPr>
              <w:t xml:space="preserve"> </w:t>
            </w:r>
            <w:r w:rsidRPr="00D27D28">
              <w:rPr>
                <w:lang w:val="uk-UA"/>
              </w:rPr>
              <w:t>Libourne, France</w:t>
            </w:r>
          </w:p>
        </w:tc>
      </w:tr>
    </w:tbl>
    <w:p w:rsidR="002766C8" w:rsidRDefault="00EA2DC1">
      <w:pPr>
        <w:pStyle w:val="31"/>
        <w:tabs>
          <w:tab w:val="left" w:pos="2340"/>
        </w:tabs>
        <w:ind w:firstLine="567"/>
      </w:pPr>
      <w:bookmarkStart w:id="27" w:name="_Hlk159514766"/>
      <w:bookmarkEnd w:id="26"/>
      <w:r>
        <w:t>8. Назва та місцезнаходження виробника готового продукту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3"/>
      </w:tblGrid>
      <w:tr w:rsidR="002766C8">
        <w:tc>
          <w:tcPr>
            <w:tcW w:w="5387" w:type="dxa"/>
          </w:tcPr>
          <w:p w:rsidR="002766C8" w:rsidRDefault="00EA2DC1">
            <w:pPr>
              <w:ind w:left="567"/>
              <w:rPr>
                <w:lang w:val="uk-UA"/>
              </w:rPr>
            </w:pPr>
            <w:bookmarkStart w:id="28" w:name="_Hlk104805475"/>
            <w:bookmarkStart w:id="29" w:name="_Hlk104804356"/>
            <w:r>
              <w:rPr>
                <w:lang w:val="uk-UA"/>
              </w:rPr>
              <w:t>Сева Санте Анімаль</w:t>
            </w:r>
          </w:p>
          <w:p w:rsidR="002766C8" w:rsidRDefault="00EA2DC1">
            <w:pPr>
              <w:ind w:left="567"/>
              <w:rPr>
                <w:lang w:val="uk-UA"/>
              </w:rPr>
            </w:pPr>
            <w:r>
              <w:rPr>
                <w:lang w:val="uk-UA"/>
              </w:rPr>
              <w:t>Боулевард де ла Коммунікатіон Зоне Авторутьєре, 53950 Луверне,</w:t>
            </w:r>
            <w:bookmarkStart w:id="30" w:name="_Hlk104805410"/>
          </w:p>
          <w:bookmarkEnd w:id="30"/>
          <w:p w:rsidR="002766C8" w:rsidRDefault="00EA2DC1">
            <w:pPr>
              <w:ind w:left="567"/>
              <w:rPr>
                <w:lang w:val="uk-UA"/>
              </w:rPr>
            </w:pPr>
            <w:r>
              <w:rPr>
                <w:lang w:val="uk-UA"/>
              </w:rPr>
              <w:t>Франція</w:t>
            </w:r>
          </w:p>
          <w:bookmarkEnd w:id="28"/>
          <w:p w:rsidR="002766C8" w:rsidRDefault="002766C8">
            <w:pPr>
              <w:ind w:left="567"/>
              <w:rPr>
                <w:lang w:val="uk-UA"/>
              </w:rPr>
            </w:pPr>
          </w:p>
        </w:tc>
        <w:tc>
          <w:tcPr>
            <w:tcW w:w="4533" w:type="dxa"/>
          </w:tcPr>
          <w:p w:rsidR="002766C8" w:rsidRDefault="00EA2DC1">
            <w:pPr>
              <w:snapToGrid w:val="0"/>
              <w:ind w:left="567"/>
              <w:rPr>
                <w:lang w:val="uk-UA"/>
              </w:rPr>
            </w:pPr>
            <w:r>
              <w:rPr>
                <w:lang w:val="uk-UA"/>
              </w:rPr>
              <w:t>Ceva Sante Animale</w:t>
            </w:r>
          </w:p>
          <w:p w:rsidR="002766C8" w:rsidRDefault="00EA2DC1">
            <w:pPr>
              <w:pStyle w:val="af4"/>
              <w:snapToGrid w:val="0"/>
              <w:ind w:left="567"/>
              <w:rPr>
                <w:lang w:val="uk-UA"/>
              </w:rPr>
            </w:pPr>
            <w:r>
              <w:rPr>
                <w:lang w:val="uk-UA"/>
              </w:rPr>
              <w:t>Boulevard de la Communication</w:t>
            </w:r>
          </w:p>
          <w:p w:rsidR="002766C8" w:rsidRDefault="00EA2DC1">
            <w:pPr>
              <w:pStyle w:val="af4"/>
              <w:snapToGrid w:val="0"/>
              <w:ind w:left="567"/>
              <w:rPr>
                <w:lang w:val="uk-UA"/>
              </w:rPr>
            </w:pPr>
            <w:r>
              <w:rPr>
                <w:lang w:val="uk-UA"/>
              </w:rPr>
              <w:t>Zone Autoroutiere, 53950 Louverne,</w:t>
            </w:r>
          </w:p>
          <w:p w:rsidR="002766C8" w:rsidRDefault="00EA2DC1">
            <w:pPr>
              <w:pStyle w:val="af4"/>
              <w:snapToGrid w:val="0"/>
              <w:ind w:left="567"/>
              <w:rPr>
                <w:lang w:val="uk-UA"/>
              </w:rPr>
            </w:pPr>
            <w:r>
              <w:rPr>
                <w:lang w:val="uk-UA"/>
              </w:rPr>
              <w:t>France</w:t>
            </w:r>
          </w:p>
          <w:p w:rsidR="002766C8" w:rsidRDefault="002766C8">
            <w:pPr>
              <w:pStyle w:val="af4"/>
              <w:snapToGrid w:val="0"/>
              <w:ind w:left="567"/>
              <w:rPr>
                <w:lang w:val="uk-UA"/>
              </w:rPr>
            </w:pPr>
          </w:p>
        </w:tc>
      </w:tr>
    </w:tbl>
    <w:p w:rsidR="002766C8" w:rsidRDefault="00EA2DC1">
      <w:pPr>
        <w:widowControl w:val="0"/>
        <w:tabs>
          <w:tab w:val="left" w:pos="2340"/>
        </w:tabs>
        <w:ind w:firstLine="567"/>
        <w:jc w:val="both"/>
        <w:rPr>
          <w:lang w:val="uk-UA"/>
        </w:rPr>
      </w:pPr>
      <w:bookmarkStart w:id="31" w:name="_Hlk159514791"/>
      <w:bookmarkEnd w:id="27"/>
      <w:bookmarkEnd w:id="29"/>
      <w:r>
        <w:rPr>
          <w:b/>
          <w:bCs/>
          <w:lang w:val="uk-UA"/>
        </w:rPr>
        <w:t>9. Додаткова інформація</w:t>
      </w:r>
      <w:bookmarkEnd w:id="31"/>
    </w:p>
    <w:sectPr w:rsidR="002766C8">
      <w:footerReference w:type="default" r:id="rId8"/>
      <w:footnotePr>
        <w:pos w:val="beneathText"/>
      </w:footnotePr>
      <w:pgSz w:w="11905" w:h="16837"/>
      <w:pgMar w:top="567" w:right="454" w:bottom="45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54" w:rsidRDefault="00EA2DC1">
      <w:r>
        <w:separator/>
      </w:r>
    </w:p>
  </w:endnote>
  <w:endnote w:type="continuationSeparator" w:id="0">
    <w:p w:rsidR="000A6254" w:rsidRDefault="00EA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C8" w:rsidRDefault="00740681">
    <w:pPr>
      <w:pStyle w:val="af"/>
      <w:ind w:right="360" w:firstLine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9525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6C8" w:rsidRDefault="00EA2DC1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7032B8">
                            <w:rPr>
                              <w:rStyle w:val="a4"/>
                              <w:noProof/>
                            </w:rPr>
                            <w:t>4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2766C8" w:rsidRDefault="00EA2DC1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7032B8">
                      <w:rPr>
                        <w:rStyle w:val="a4"/>
                        <w:noProof/>
                      </w:rPr>
                      <w:t>4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54" w:rsidRDefault="00EA2DC1">
      <w:r>
        <w:separator/>
      </w:r>
    </w:p>
  </w:footnote>
  <w:footnote w:type="continuationSeparator" w:id="0">
    <w:p w:rsidR="000A6254" w:rsidRDefault="00EA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11"/>
    <w:rsid w:val="000212CD"/>
    <w:rsid w:val="000225DB"/>
    <w:rsid w:val="00036328"/>
    <w:rsid w:val="00040AE1"/>
    <w:rsid w:val="00051633"/>
    <w:rsid w:val="0005227B"/>
    <w:rsid w:val="00052542"/>
    <w:rsid w:val="00052C45"/>
    <w:rsid w:val="000551D6"/>
    <w:rsid w:val="00073D4B"/>
    <w:rsid w:val="000927D0"/>
    <w:rsid w:val="00096DE7"/>
    <w:rsid w:val="000A3141"/>
    <w:rsid w:val="000A6254"/>
    <w:rsid w:val="000B0AA5"/>
    <w:rsid w:val="000B4EBE"/>
    <w:rsid w:val="000C313D"/>
    <w:rsid w:val="000C5E16"/>
    <w:rsid w:val="000C67BE"/>
    <w:rsid w:val="000D6A45"/>
    <w:rsid w:val="000D74B1"/>
    <w:rsid w:val="0010385B"/>
    <w:rsid w:val="001050C0"/>
    <w:rsid w:val="00106574"/>
    <w:rsid w:val="00110E2D"/>
    <w:rsid w:val="0011316F"/>
    <w:rsid w:val="001131A0"/>
    <w:rsid w:val="001144D6"/>
    <w:rsid w:val="001177BF"/>
    <w:rsid w:val="00136D07"/>
    <w:rsid w:val="0014131B"/>
    <w:rsid w:val="00164AF6"/>
    <w:rsid w:val="00177D3D"/>
    <w:rsid w:val="00181633"/>
    <w:rsid w:val="001848D4"/>
    <w:rsid w:val="00193D28"/>
    <w:rsid w:val="001A69E4"/>
    <w:rsid w:val="001B2B13"/>
    <w:rsid w:val="001C667D"/>
    <w:rsid w:val="001E3FF2"/>
    <w:rsid w:val="001E4630"/>
    <w:rsid w:val="001E4742"/>
    <w:rsid w:val="001F6EC3"/>
    <w:rsid w:val="0020123C"/>
    <w:rsid w:val="00203921"/>
    <w:rsid w:val="00217A9D"/>
    <w:rsid w:val="00225946"/>
    <w:rsid w:val="002342D5"/>
    <w:rsid w:val="00240D36"/>
    <w:rsid w:val="002606D4"/>
    <w:rsid w:val="0027277A"/>
    <w:rsid w:val="0027430E"/>
    <w:rsid w:val="002766C8"/>
    <w:rsid w:val="00284859"/>
    <w:rsid w:val="00294C16"/>
    <w:rsid w:val="002B7088"/>
    <w:rsid w:val="002D47CF"/>
    <w:rsid w:val="002D6BFF"/>
    <w:rsid w:val="002E6A26"/>
    <w:rsid w:val="002F4D23"/>
    <w:rsid w:val="002F6869"/>
    <w:rsid w:val="002F76D0"/>
    <w:rsid w:val="003120A8"/>
    <w:rsid w:val="00352B8C"/>
    <w:rsid w:val="003610E9"/>
    <w:rsid w:val="00366E3A"/>
    <w:rsid w:val="003742FF"/>
    <w:rsid w:val="00374A51"/>
    <w:rsid w:val="003A0656"/>
    <w:rsid w:val="003A4E51"/>
    <w:rsid w:val="003B7F70"/>
    <w:rsid w:val="003C0A6B"/>
    <w:rsid w:val="003E63D4"/>
    <w:rsid w:val="003F3FBD"/>
    <w:rsid w:val="00402C67"/>
    <w:rsid w:val="004113E1"/>
    <w:rsid w:val="00421E5C"/>
    <w:rsid w:val="00426B8A"/>
    <w:rsid w:val="0045056A"/>
    <w:rsid w:val="00460F5B"/>
    <w:rsid w:val="004623F1"/>
    <w:rsid w:val="00481449"/>
    <w:rsid w:val="00487327"/>
    <w:rsid w:val="00492193"/>
    <w:rsid w:val="0049282B"/>
    <w:rsid w:val="00493CFA"/>
    <w:rsid w:val="00495CCF"/>
    <w:rsid w:val="004B4D20"/>
    <w:rsid w:val="004C0841"/>
    <w:rsid w:val="004C1663"/>
    <w:rsid w:val="004E7E37"/>
    <w:rsid w:val="004F2164"/>
    <w:rsid w:val="004F2A1F"/>
    <w:rsid w:val="004F36A0"/>
    <w:rsid w:val="005068A3"/>
    <w:rsid w:val="00512E37"/>
    <w:rsid w:val="005179E3"/>
    <w:rsid w:val="005216F6"/>
    <w:rsid w:val="005229E1"/>
    <w:rsid w:val="00533D59"/>
    <w:rsid w:val="00541086"/>
    <w:rsid w:val="005411FF"/>
    <w:rsid w:val="00542109"/>
    <w:rsid w:val="005526BE"/>
    <w:rsid w:val="00557549"/>
    <w:rsid w:val="00574F32"/>
    <w:rsid w:val="005812F0"/>
    <w:rsid w:val="005822EC"/>
    <w:rsid w:val="00596E30"/>
    <w:rsid w:val="005A64D3"/>
    <w:rsid w:val="005B5997"/>
    <w:rsid w:val="005C18E2"/>
    <w:rsid w:val="005C72BB"/>
    <w:rsid w:val="005D1607"/>
    <w:rsid w:val="005D5329"/>
    <w:rsid w:val="005E2EBB"/>
    <w:rsid w:val="005E30DA"/>
    <w:rsid w:val="00607C4A"/>
    <w:rsid w:val="006239D2"/>
    <w:rsid w:val="00631AE3"/>
    <w:rsid w:val="00656043"/>
    <w:rsid w:val="0066033F"/>
    <w:rsid w:val="006721D9"/>
    <w:rsid w:val="00675DAB"/>
    <w:rsid w:val="006844EA"/>
    <w:rsid w:val="006B742A"/>
    <w:rsid w:val="006D03DE"/>
    <w:rsid w:val="006D5043"/>
    <w:rsid w:val="006D5299"/>
    <w:rsid w:val="006E465F"/>
    <w:rsid w:val="006F5044"/>
    <w:rsid w:val="0070180B"/>
    <w:rsid w:val="007032B8"/>
    <w:rsid w:val="0071127E"/>
    <w:rsid w:val="007227D3"/>
    <w:rsid w:val="00727A6D"/>
    <w:rsid w:val="00736FC5"/>
    <w:rsid w:val="00740681"/>
    <w:rsid w:val="007410E5"/>
    <w:rsid w:val="00742AA8"/>
    <w:rsid w:val="00760D18"/>
    <w:rsid w:val="007619A5"/>
    <w:rsid w:val="00767309"/>
    <w:rsid w:val="00771E02"/>
    <w:rsid w:val="00774354"/>
    <w:rsid w:val="00786A1E"/>
    <w:rsid w:val="00792BCC"/>
    <w:rsid w:val="00795DD3"/>
    <w:rsid w:val="007A0D42"/>
    <w:rsid w:val="007B2214"/>
    <w:rsid w:val="007B3DCA"/>
    <w:rsid w:val="007C1032"/>
    <w:rsid w:val="007C4006"/>
    <w:rsid w:val="007C4214"/>
    <w:rsid w:val="007D0B0F"/>
    <w:rsid w:val="007D71AE"/>
    <w:rsid w:val="007E7DC4"/>
    <w:rsid w:val="00810728"/>
    <w:rsid w:val="00826BAE"/>
    <w:rsid w:val="00827E30"/>
    <w:rsid w:val="00870C65"/>
    <w:rsid w:val="008822EA"/>
    <w:rsid w:val="008922E0"/>
    <w:rsid w:val="008A051B"/>
    <w:rsid w:val="008B6F1D"/>
    <w:rsid w:val="008F4E15"/>
    <w:rsid w:val="008F6433"/>
    <w:rsid w:val="00902B7E"/>
    <w:rsid w:val="00903E66"/>
    <w:rsid w:val="00903FD9"/>
    <w:rsid w:val="009042D1"/>
    <w:rsid w:val="00905F15"/>
    <w:rsid w:val="00907C4B"/>
    <w:rsid w:val="0092338F"/>
    <w:rsid w:val="00927507"/>
    <w:rsid w:val="00932504"/>
    <w:rsid w:val="00934994"/>
    <w:rsid w:val="00942A18"/>
    <w:rsid w:val="00945451"/>
    <w:rsid w:val="00945593"/>
    <w:rsid w:val="009713AC"/>
    <w:rsid w:val="0098673E"/>
    <w:rsid w:val="00987841"/>
    <w:rsid w:val="009967A1"/>
    <w:rsid w:val="009A46E4"/>
    <w:rsid w:val="009A549D"/>
    <w:rsid w:val="009A7AF2"/>
    <w:rsid w:val="009C0113"/>
    <w:rsid w:val="009D61C1"/>
    <w:rsid w:val="009E1806"/>
    <w:rsid w:val="009E71E4"/>
    <w:rsid w:val="009F1ABE"/>
    <w:rsid w:val="009F2E3F"/>
    <w:rsid w:val="009F7962"/>
    <w:rsid w:val="00A04D4A"/>
    <w:rsid w:val="00A346FC"/>
    <w:rsid w:val="00A44689"/>
    <w:rsid w:val="00A66B5A"/>
    <w:rsid w:val="00A91792"/>
    <w:rsid w:val="00A917AB"/>
    <w:rsid w:val="00A97B95"/>
    <w:rsid w:val="00AA5AFD"/>
    <w:rsid w:val="00AD6C89"/>
    <w:rsid w:val="00B016B3"/>
    <w:rsid w:val="00B108C1"/>
    <w:rsid w:val="00B111E2"/>
    <w:rsid w:val="00B27DD4"/>
    <w:rsid w:val="00B328EF"/>
    <w:rsid w:val="00B32FE3"/>
    <w:rsid w:val="00B3340C"/>
    <w:rsid w:val="00B52DDF"/>
    <w:rsid w:val="00B552AF"/>
    <w:rsid w:val="00B64033"/>
    <w:rsid w:val="00B70823"/>
    <w:rsid w:val="00B83627"/>
    <w:rsid w:val="00BB4225"/>
    <w:rsid w:val="00BD3E8E"/>
    <w:rsid w:val="00BE13B4"/>
    <w:rsid w:val="00BE5B53"/>
    <w:rsid w:val="00BF6C79"/>
    <w:rsid w:val="00C00A07"/>
    <w:rsid w:val="00C01C96"/>
    <w:rsid w:val="00C026F0"/>
    <w:rsid w:val="00C02A3B"/>
    <w:rsid w:val="00C20C4F"/>
    <w:rsid w:val="00C41E34"/>
    <w:rsid w:val="00C42945"/>
    <w:rsid w:val="00C43E46"/>
    <w:rsid w:val="00C555E0"/>
    <w:rsid w:val="00C578A3"/>
    <w:rsid w:val="00C64A48"/>
    <w:rsid w:val="00C7031C"/>
    <w:rsid w:val="00C73312"/>
    <w:rsid w:val="00C77EC4"/>
    <w:rsid w:val="00C908FC"/>
    <w:rsid w:val="00CC18FB"/>
    <w:rsid w:val="00CC2D34"/>
    <w:rsid w:val="00CD1252"/>
    <w:rsid w:val="00CD22E4"/>
    <w:rsid w:val="00CD52BA"/>
    <w:rsid w:val="00CF2A76"/>
    <w:rsid w:val="00CF6365"/>
    <w:rsid w:val="00CF6891"/>
    <w:rsid w:val="00D06A94"/>
    <w:rsid w:val="00D139F0"/>
    <w:rsid w:val="00D27D28"/>
    <w:rsid w:val="00D3421C"/>
    <w:rsid w:val="00D578F1"/>
    <w:rsid w:val="00D57BE7"/>
    <w:rsid w:val="00D628F0"/>
    <w:rsid w:val="00D7313E"/>
    <w:rsid w:val="00D73B33"/>
    <w:rsid w:val="00D762FD"/>
    <w:rsid w:val="00D767AE"/>
    <w:rsid w:val="00D76DF7"/>
    <w:rsid w:val="00D81311"/>
    <w:rsid w:val="00D8613B"/>
    <w:rsid w:val="00D93858"/>
    <w:rsid w:val="00DA104B"/>
    <w:rsid w:val="00DA5B24"/>
    <w:rsid w:val="00DB6BA3"/>
    <w:rsid w:val="00DC7836"/>
    <w:rsid w:val="00DC7DAC"/>
    <w:rsid w:val="00DE27D0"/>
    <w:rsid w:val="00DE29BB"/>
    <w:rsid w:val="00DE4EB5"/>
    <w:rsid w:val="00DF15BF"/>
    <w:rsid w:val="00E0301A"/>
    <w:rsid w:val="00E0532A"/>
    <w:rsid w:val="00E120D8"/>
    <w:rsid w:val="00E15245"/>
    <w:rsid w:val="00E226D5"/>
    <w:rsid w:val="00E31531"/>
    <w:rsid w:val="00E336C1"/>
    <w:rsid w:val="00E3632C"/>
    <w:rsid w:val="00E5074B"/>
    <w:rsid w:val="00E7262A"/>
    <w:rsid w:val="00E7590E"/>
    <w:rsid w:val="00E83510"/>
    <w:rsid w:val="00E93820"/>
    <w:rsid w:val="00EA2DC1"/>
    <w:rsid w:val="00EA56DF"/>
    <w:rsid w:val="00EB21BD"/>
    <w:rsid w:val="00EC6142"/>
    <w:rsid w:val="00EF631E"/>
    <w:rsid w:val="00F13F4F"/>
    <w:rsid w:val="00F14571"/>
    <w:rsid w:val="00F2124A"/>
    <w:rsid w:val="00F46720"/>
    <w:rsid w:val="00F5270E"/>
    <w:rsid w:val="00F7438C"/>
    <w:rsid w:val="00F80335"/>
    <w:rsid w:val="00F83F19"/>
    <w:rsid w:val="00F860F5"/>
    <w:rsid w:val="00F904F6"/>
    <w:rsid w:val="00FA1A5A"/>
    <w:rsid w:val="00FA2285"/>
    <w:rsid w:val="00FA40B8"/>
    <w:rsid w:val="00FC0E38"/>
    <w:rsid w:val="00FD62D7"/>
    <w:rsid w:val="2027108A"/>
    <w:rsid w:val="3C88F16F"/>
    <w:rsid w:val="43F2093F"/>
    <w:rsid w:val="50522CAE"/>
    <w:rsid w:val="530EEA80"/>
    <w:rsid w:val="718E26DC"/>
    <w:rsid w:val="7278E314"/>
    <w:rsid w:val="73DE3525"/>
    <w:rsid w:val="79A09593"/>
    <w:rsid w:val="7BA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1B844341-2207-4064-815E-699803D5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Pr>
      <w:sz w:val="16"/>
      <w:szCs w:val="16"/>
    </w:rPr>
  </w:style>
  <w:style w:type="character" w:styleId="a4">
    <w:name w:val="page number"/>
    <w:basedOn w:val="11"/>
    <w:uiPriority w:val="99"/>
    <w:semiHidden/>
    <w:qFormat/>
  </w:style>
  <w:style w:type="character" w:customStyle="1" w:styleId="11">
    <w:name w:val="Основной шрифт абзаца1"/>
    <w:uiPriority w:val="99"/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Body Text"/>
    <w:basedOn w:val="a"/>
    <w:link w:val="ae"/>
    <w:uiPriority w:val="99"/>
    <w:semiHidden/>
    <w:pPr>
      <w:spacing w:after="120"/>
    </w:pPr>
  </w:style>
  <w:style w:type="paragraph" w:styleId="af">
    <w:name w:val="footer"/>
    <w:basedOn w:val="a"/>
    <w:link w:val="af0"/>
    <w:uiPriority w:val="99"/>
    <w:semiHidden/>
    <w:pPr>
      <w:tabs>
        <w:tab w:val="center" w:pos="4677"/>
        <w:tab w:val="right" w:pos="9355"/>
      </w:tabs>
    </w:pPr>
  </w:style>
  <w:style w:type="paragraph" w:styleId="af1">
    <w:name w:val="List"/>
    <w:basedOn w:val="ad"/>
    <w:uiPriority w:val="99"/>
    <w:semiHidden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WW8Num2z0">
    <w:name w:val="WW8Num2z0"/>
    <w:uiPriority w:val="99"/>
    <w:rPr>
      <w:rFonts w:ascii="Times New Roman" w:hAnsi="Times New Roman" w:cs="Times New Roman"/>
    </w:rPr>
  </w:style>
  <w:style w:type="paragraph" w:customStyle="1" w:styleId="af2">
    <w:name w:val="Заголовок"/>
    <w:basedOn w:val="a"/>
    <w:next w:val="ad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e">
    <w:name w:val="Основний текст Знак"/>
    <w:link w:val="ad"/>
    <w:uiPriority w:val="99"/>
    <w:semiHidden/>
    <w:rPr>
      <w:sz w:val="24"/>
      <w:szCs w:val="24"/>
      <w:lang w:val="ru-RU" w:eastAsia="ar-SA"/>
    </w:rPr>
  </w:style>
  <w:style w:type="paragraph" w:customStyle="1" w:styleId="12">
    <w:name w:val="Назва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pPr>
      <w:suppressLineNumbers/>
    </w:pPr>
  </w:style>
  <w:style w:type="paragraph" w:customStyle="1" w:styleId="31">
    <w:name w:val="Основной текст с отступом 31"/>
    <w:basedOn w:val="a"/>
    <w:uiPriority w:val="99"/>
    <w:pPr>
      <w:widowControl w:val="0"/>
      <w:ind w:firstLine="720"/>
      <w:jc w:val="both"/>
    </w:pPr>
    <w:rPr>
      <w:b/>
      <w:bCs/>
      <w:lang w:val="uk-UA"/>
    </w:rPr>
  </w:style>
  <w:style w:type="paragraph" w:customStyle="1" w:styleId="af4">
    <w:name w:val="Вміст таблиці"/>
    <w:basedOn w:val="a"/>
    <w:uiPriority w:val="99"/>
    <w:pPr>
      <w:suppressLineNumbers/>
    </w:pPr>
  </w:style>
  <w:style w:type="character" w:customStyle="1" w:styleId="af0">
    <w:name w:val="Нижній колонтитул Знак"/>
    <w:link w:val="af"/>
    <w:uiPriority w:val="99"/>
    <w:semiHidden/>
    <w:rPr>
      <w:sz w:val="24"/>
      <w:szCs w:val="24"/>
      <w:lang w:val="ru-RU" w:eastAsia="ar-S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</w:pPr>
  </w:style>
  <w:style w:type="paragraph" w:customStyle="1" w:styleId="bekezdes">
    <w:name w:val="bekezdes"/>
    <w:basedOn w:val="a"/>
    <w:uiPriority w:val="99"/>
    <w:pPr>
      <w:suppressAutoHyphens w:val="0"/>
      <w:ind w:left="284"/>
    </w:pPr>
    <w:rPr>
      <w:b/>
      <w:bCs/>
      <w:lang w:val="en-GB"/>
    </w:rPr>
  </w:style>
  <w:style w:type="paragraph" w:customStyle="1" w:styleId="13">
    <w:name w:val="Звичайний1"/>
    <w:uiPriority w:val="99"/>
    <w:pPr>
      <w:widowControl w:val="0"/>
      <w:suppressAutoHyphens/>
    </w:pPr>
    <w:rPr>
      <w:lang w:val="ru-RU" w:eastAsia="ar-SA"/>
    </w:rPr>
  </w:style>
  <w:style w:type="paragraph" w:customStyle="1" w:styleId="af5">
    <w:name w:val="Заголовок таблиці"/>
    <w:basedOn w:val="af4"/>
    <w:uiPriority w:val="99"/>
    <w:qFormat/>
    <w:pPr>
      <w:jc w:val="center"/>
    </w:pPr>
    <w:rPr>
      <w:b/>
      <w:bCs/>
    </w:rPr>
  </w:style>
  <w:style w:type="paragraph" w:customStyle="1" w:styleId="af6">
    <w:name w:val="Вміст кадру"/>
    <w:basedOn w:val="ad"/>
    <w:uiPriority w:val="99"/>
  </w:style>
  <w:style w:type="paragraph" w:customStyle="1" w:styleId="af7">
    <w:name w:val="Знак Знак Знак"/>
    <w:basedOn w:val="a"/>
    <w:uiPriority w:val="9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List Paragraph"/>
    <w:basedOn w:val="a"/>
    <w:uiPriority w:val="99"/>
    <w:qFormat/>
    <w:pPr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TableParagraph">
    <w:name w:val="Table Paragraph"/>
    <w:basedOn w:val="a"/>
    <w:uiPriority w:val="99"/>
    <w:pPr>
      <w:suppressAutoHyphens w:val="0"/>
      <w:autoSpaceDE w:val="0"/>
      <w:autoSpaceDN w:val="0"/>
      <w:adjustRightInd w:val="0"/>
      <w:ind w:left="829" w:right="820"/>
      <w:jc w:val="center"/>
    </w:pPr>
    <w:rPr>
      <w:lang w:eastAsia="ru-RU"/>
    </w:rPr>
  </w:style>
  <w:style w:type="character" w:customStyle="1" w:styleId="ac">
    <w:name w:val="Верхній колонтитул Знак"/>
    <w:link w:val="ab"/>
    <w:uiPriority w:val="99"/>
    <w:locked/>
    <w:rPr>
      <w:sz w:val="24"/>
      <w:szCs w:val="24"/>
      <w:lang w:eastAsia="ar-SA" w:bidi="ar-SA"/>
    </w:rPr>
  </w:style>
  <w:style w:type="paragraph" w:customStyle="1" w:styleId="2">
    <w:name w:val="Знак Знак Знак Знак Знак Знак2"/>
    <w:basedOn w:val="a"/>
    <w:uiPriority w:val="9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Рецензия1"/>
    <w:hidden/>
    <w:uiPriority w:val="99"/>
    <w:semiHidden/>
    <w:rPr>
      <w:sz w:val="24"/>
      <w:szCs w:val="24"/>
      <w:lang w:val="ru-RU" w:eastAsia="ar-SA"/>
    </w:rPr>
  </w:style>
  <w:style w:type="paragraph" w:customStyle="1" w:styleId="15">
    <w:name w:val="Знак Знак Знак1"/>
    <w:basedOn w:val="a"/>
    <w:uiPriority w:val="9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Текст примітки Знак"/>
    <w:link w:val="a7"/>
    <w:uiPriority w:val="99"/>
    <w:semiHidden/>
    <w:locked/>
    <w:rPr>
      <w:lang w:val="ru-RU" w:eastAsia="ar-SA" w:bidi="ar-SA"/>
    </w:rPr>
  </w:style>
  <w:style w:type="character" w:customStyle="1" w:styleId="aa">
    <w:name w:val="Тема примітки Знак"/>
    <w:link w:val="a9"/>
    <w:uiPriority w:val="99"/>
    <w:semiHidden/>
    <w:locked/>
    <w:rPr>
      <w:b/>
      <w:bCs/>
      <w:lang w:val="ru-RU" w:eastAsia="ar-SA" w:bidi="ar-SA"/>
    </w:rPr>
  </w:style>
  <w:style w:type="character" w:customStyle="1" w:styleId="a6">
    <w:name w:val="Текст у виносці Знак"/>
    <w:link w:val="a5"/>
    <w:uiPriority w:val="99"/>
    <w:semiHidden/>
    <w:locked/>
    <w:rPr>
      <w:rFonts w:ascii="Tahoma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8738</Words>
  <Characters>4981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                                                                                  </vt:lpstr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A.Starovir</dc:creator>
  <cp:lastModifiedBy>admin</cp:lastModifiedBy>
  <cp:revision>4</cp:revision>
  <cp:lastPrinted>2020-10-28T12:49:00Z</cp:lastPrinted>
  <dcterms:created xsi:type="dcterms:W3CDTF">2025-10-24T09:11:00Z</dcterms:created>
  <dcterms:modified xsi:type="dcterms:W3CDTF">2025-10-24T13:06:00Z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96B27490321645F2B2183FF0FAA4863A_12</vt:lpwstr>
  </property>
</Properties>
</file>