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AF" w:rsidRPr="00A2136E" w:rsidRDefault="008016AF" w:rsidP="00AE09E3">
      <w:pPr>
        <w:jc w:val="center"/>
        <w:rPr>
          <w:b/>
          <w:lang w:val="en-US" w:eastAsia="ru-RU"/>
        </w:rPr>
      </w:pPr>
    </w:p>
    <w:p w:rsidR="00BE767F" w:rsidRPr="00A055EC" w:rsidRDefault="00BE767F" w:rsidP="00BE767F">
      <w:pPr>
        <w:jc w:val="center"/>
        <w:rPr>
          <w:b/>
          <w:lang w:val="uk-UA" w:eastAsia="ru-RU"/>
        </w:rPr>
      </w:pPr>
    </w:p>
    <w:p w:rsidR="003B144D" w:rsidRPr="00756E75" w:rsidRDefault="003B144D" w:rsidP="003B144D">
      <w:pPr>
        <w:jc w:val="center"/>
        <w:rPr>
          <w:b/>
          <w:lang w:val="uk-UA" w:eastAsia="ru-RU"/>
        </w:rPr>
      </w:pPr>
      <w:r w:rsidRPr="00756E75">
        <w:rPr>
          <w:b/>
          <w:lang w:val="uk-UA" w:eastAsia="ru-RU"/>
        </w:rPr>
        <w:t>КОРОТКА ХАРАКТЕРИСТИКА ПРЕПАРАТУ</w:t>
      </w:r>
    </w:p>
    <w:p w:rsidR="003B144D" w:rsidRPr="00756E75" w:rsidRDefault="003B144D" w:rsidP="003B144D">
      <w:pPr>
        <w:tabs>
          <w:tab w:val="left" w:pos="567"/>
          <w:tab w:val="left" w:pos="2148"/>
        </w:tabs>
        <w:jc w:val="both"/>
        <w:rPr>
          <w:b/>
          <w:lang w:val="uk-UA" w:eastAsia="ru-RU"/>
        </w:rPr>
      </w:pP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1. Назва</w:t>
      </w:r>
    </w:p>
    <w:p w:rsidR="007B350F" w:rsidRPr="00756E75" w:rsidRDefault="00A055EC" w:rsidP="007058FC">
      <w:pPr>
        <w:tabs>
          <w:tab w:val="left" w:pos="567"/>
        </w:tabs>
        <w:spacing w:before="60" w:after="60"/>
        <w:jc w:val="both"/>
        <w:rPr>
          <w:lang w:val="uk-UA" w:eastAsia="ru-RU"/>
        </w:rPr>
      </w:pPr>
      <w:r w:rsidRPr="00756E75">
        <w:rPr>
          <w:lang w:val="uk-UA" w:eastAsia="ru-RU"/>
        </w:rPr>
        <w:t>ОТІГЕЛЬ</w:t>
      </w:r>
      <w:r w:rsidRPr="00756E75">
        <w:rPr>
          <w:vertAlign w:val="superscript"/>
          <w:lang w:val="uk-UA" w:eastAsia="ru-RU"/>
        </w:rPr>
        <w:t>®</w:t>
      </w:r>
      <w:r w:rsidRPr="00756E75">
        <w:rPr>
          <w:b/>
          <w:vertAlign w:val="superscript"/>
          <w:lang w:val="uk-UA" w:eastAsia="ru-RU"/>
        </w:rPr>
        <w:t xml:space="preserve"> </w:t>
      </w:r>
      <w:r w:rsidRPr="00756E75">
        <w:rPr>
          <w:b/>
          <w:lang w:val="uk-UA" w:eastAsia="ru-RU"/>
        </w:rPr>
        <w:t xml:space="preserve"> </w:t>
      </w:r>
      <w:r w:rsidRPr="00756E75">
        <w:rPr>
          <w:lang w:val="uk-UA" w:eastAsia="ru-RU"/>
        </w:rPr>
        <w:t>мазь вушна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2. Склад</w:t>
      </w:r>
    </w:p>
    <w:p w:rsidR="007B350F" w:rsidRPr="00756E75" w:rsidRDefault="00A055EC" w:rsidP="007B350F">
      <w:pPr>
        <w:tabs>
          <w:tab w:val="left" w:pos="567"/>
        </w:tabs>
        <w:jc w:val="both"/>
        <w:rPr>
          <w:snapToGrid w:val="0"/>
          <w:lang w:val="uk-UA" w:eastAsia="ru-RU"/>
        </w:rPr>
      </w:pPr>
      <w:r w:rsidRPr="00756E75">
        <w:rPr>
          <w:lang w:val="uk-UA"/>
        </w:rPr>
        <w:t>1 г препарату містить:</w:t>
      </w:r>
    </w:p>
    <w:p w:rsidR="00347315" w:rsidRPr="00756E75" w:rsidRDefault="00A055EC" w:rsidP="00A055EC">
      <w:pPr>
        <w:tabs>
          <w:tab w:val="left" w:pos="567"/>
        </w:tabs>
        <w:jc w:val="both"/>
        <w:rPr>
          <w:snapToGrid w:val="0"/>
          <w:lang w:val="uk-UA" w:eastAsia="ru-RU"/>
        </w:rPr>
      </w:pPr>
      <w:r w:rsidRPr="00756E75">
        <w:rPr>
          <w:i/>
          <w:snapToGrid w:val="0"/>
          <w:lang w:val="uk-UA" w:eastAsia="ru-RU"/>
        </w:rPr>
        <w:t>діючі речовини</w:t>
      </w:r>
      <w:r w:rsidR="007B350F" w:rsidRPr="00756E75">
        <w:rPr>
          <w:snapToGrid w:val="0"/>
          <w:lang w:val="uk-UA" w:eastAsia="ru-RU"/>
        </w:rPr>
        <w:t xml:space="preserve">: </w:t>
      </w:r>
    </w:p>
    <w:p w:rsidR="00A055EC" w:rsidRPr="00756E75" w:rsidRDefault="00A055EC" w:rsidP="00A055EC">
      <w:pPr>
        <w:tabs>
          <w:tab w:val="left" w:pos="567"/>
        </w:tabs>
        <w:jc w:val="both"/>
        <w:rPr>
          <w:snapToGrid w:val="0"/>
          <w:lang w:val="uk-UA" w:eastAsia="ru-RU"/>
        </w:rPr>
      </w:pPr>
      <w:proofErr w:type="spellStart"/>
      <w:r w:rsidRPr="00756E75">
        <w:rPr>
          <w:snapToGrid w:val="0"/>
          <w:lang w:val="uk-UA" w:eastAsia="ru-RU"/>
        </w:rPr>
        <w:t>перметрин</w:t>
      </w:r>
      <w:proofErr w:type="spellEnd"/>
      <w:r w:rsidRPr="00756E75">
        <w:rPr>
          <w:snapToGrid w:val="0"/>
          <w:lang w:val="uk-UA" w:eastAsia="ru-RU"/>
        </w:rPr>
        <w:t xml:space="preserve"> - 10,0 мг, </w:t>
      </w:r>
    </w:p>
    <w:p w:rsidR="00A055EC" w:rsidRPr="00756E75" w:rsidRDefault="008D32D8" w:rsidP="00A055EC">
      <w:pPr>
        <w:tabs>
          <w:tab w:val="left" w:pos="567"/>
        </w:tabs>
        <w:jc w:val="both"/>
        <w:rPr>
          <w:snapToGrid w:val="0"/>
          <w:lang w:val="uk-UA" w:eastAsia="ru-RU"/>
        </w:rPr>
      </w:pPr>
      <w:proofErr w:type="spellStart"/>
      <w:r w:rsidRPr="00E14C6E">
        <w:rPr>
          <w:snapToGrid w:val="0"/>
          <w:lang w:val="uk-UA" w:eastAsia="ru-RU"/>
        </w:rPr>
        <w:t>тр</w:t>
      </w:r>
      <w:r w:rsidR="00B64FE4" w:rsidRPr="00E14C6E">
        <w:rPr>
          <w:snapToGrid w:val="0"/>
          <w:lang w:val="uk-UA" w:eastAsia="ru-RU"/>
        </w:rPr>
        <w:t>и</w:t>
      </w:r>
      <w:r w:rsidR="00A055EC" w:rsidRPr="00E14C6E">
        <w:rPr>
          <w:snapToGrid w:val="0"/>
          <w:lang w:val="uk-UA" w:eastAsia="ru-RU"/>
        </w:rPr>
        <w:t>амцинолону</w:t>
      </w:r>
      <w:proofErr w:type="spellEnd"/>
      <w:r w:rsidR="00A055EC" w:rsidRPr="00E14C6E">
        <w:rPr>
          <w:snapToGrid w:val="0"/>
          <w:lang w:val="uk-UA" w:eastAsia="ru-RU"/>
        </w:rPr>
        <w:t xml:space="preserve"> </w:t>
      </w:r>
      <w:proofErr w:type="spellStart"/>
      <w:r w:rsidR="00A055EC" w:rsidRPr="00E14C6E">
        <w:rPr>
          <w:snapToGrid w:val="0"/>
          <w:lang w:val="uk-UA" w:eastAsia="ru-RU"/>
        </w:rPr>
        <w:t>ацетонід</w:t>
      </w:r>
      <w:proofErr w:type="spellEnd"/>
      <w:r w:rsidR="00A055EC" w:rsidRPr="00756E75">
        <w:rPr>
          <w:snapToGrid w:val="0"/>
          <w:lang w:val="uk-UA" w:eastAsia="ru-RU"/>
        </w:rPr>
        <w:t xml:space="preserve"> - 1,0 мг, </w:t>
      </w:r>
    </w:p>
    <w:p w:rsidR="00A055EC" w:rsidRPr="002C5EFF" w:rsidRDefault="00A055EC" w:rsidP="00A055EC">
      <w:pPr>
        <w:tabs>
          <w:tab w:val="left" w:pos="567"/>
        </w:tabs>
        <w:jc w:val="both"/>
        <w:rPr>
          <w:snapToGrid w:val="0"/>
          <w:lang w:val="uk-UA" w:eastAsia="ru-RU"/>
        </w:rPr>
      </w:pPr>
      <w:proofErr w:type="spellStart"/>
      <w:r w:rsidRPr="00756E75">
        <w:rPr>
          <w:snapToGrid w:val="0"/>
          <w:lang w:val="uk-UA" w:eastAsia="ru-RU"/>
        </w:rPr>
        <w:t>неоміцину</w:t>
      </w:r>
      <w:proofErr w:type="spellEnd"/>
      <w:r w:rsidRPr="00756E75">
        <w:rPr>
          <w:snapToGrid w:val="0"/>
          <w:lang w:val="uk-UA" w:eastAsia="ru-RU"/>
        </w:rPr>
        <w:t xml:space="preserve"> сульфат </w:t>
      </w:r>
      <w:r w:rsidRPr="002C5EFF">
        <w:rPr>
          <w:snapToGrid w:val="0"/>
          <w:lang w:val="uk-UA" w:eastAsia="ru-RU"/>
        </w:rPr>
        <w:t xml:space="preserve">- </w:t>
      </w:r>
      <w:r w:rsidRPr="00756E75">
        <w:rPr>
          <w:snapToGrid w:val="0"/>
          <w:lang w:val="uk-UA" w:eastAsia="ru-RU"/>
        </w:rPr>
        <w:t xml:space="preserve">3500 МО, </w:t>
      </w:r>
    </w:p>
    <w:p w:rsidR="00A055EC" w:rsidRPr="00756E75" w:rsidRDefault="00A055EC" w:rsidP="00A055EC">
      <w:pPr>
        <w:tabs>
          <w:tab w:val="left" w:pos="567"/>
        </w:tabs>
        <w:jc w:val="both"/>
        <w:rPr>
          <w:snapToGrid w:val="0"/>
          <w:lang w:val="uk-UA" w:eastAsia="ru-RU"/>
        </w:rPr>
      </w:pPr>
      <w:r w:rsidRPr="00756E75">
        <w:rPr>
          <w:snapToGrid w:val="0"/>
          <w:lang w:val="uk-UA" w:eastAsia="ru-RU"/>
        </w:rPr>
        <w:t xml:space="preserve">ністатин </w:t>
      </w:r>
      <w:r w:rsidRPr="00756E75">
        <w:rPr>
          <w:snapToGrid w:val="0"/>
          <w:lang w:eastAsia="ru-RU"/>
        </w:rPr>
        <w:t xml:space="preserve">- </w:t>
      </w:r>
      <w:r w:rsidRPr="00756E75">
        <w:rPr>
          <w:snapToGrid w:val="0"/>
          <w:lang w:val="uk-UA" w:eastAsia="ru-RU"/>
        </w:rPr>
        <w:t>100 000 МО</w:t>
      </w:r>
      <w:r w:rsidR="00347315" w:rsidRPr="00756E75">
        <w:rPr>
          <w:snapToGrid w:val="0"/>
          <w:lang w:val="uk-UA" w:eastAsia="ru-RU"/>
        </w:rPr>
        <w:t>;</w:t>
      </w:r>
    </w:p>
    <w:p w:rsidR="007B350F" w:rsidRPr="00756E75" w:rsidRDefault="007B350F" w:rsidP="007B350F">
      <w:pPr>
        <w:tabs>
          <w:tab w:val="left" w:pos="567"/>
        </w:tabs>
        <w:jc w:val="both"/>
        <w:rPr>
          <w:bCs/>
          <w:snapToGrid w:val="0"/>
          <w:lang w:val="uk-UA" w:eastAsia="ru-RU"/>
        </w:rPr>
      </w:pPr>
      <w:r w:rsidRPr="00756E75">
        <w:rPr>
          <w:i/>
          <w:snapToGrid w:val="0"/>
          <w:lang w:val="uk-UA" w:eastAsia="ru-RU"/>
        </w:rPr>
        <w:t>допоміжні речовини:</w:t>
      </w:r>
      <w:r w:rsidRPr="00756E75">
        <w:rPr>
          <w:snapToGrid w:val="0"/>
          <w:lang w:val="uk-UA" w:eastAsia="ru-RU"/>
        </w:rPr>
        <w:t xml:space="preserve"> </w:t>
      </w:r>
      <w:r w:rsidR="00347315" w:rsidRPr="00756E75">
        <w:rPr>
          <w:snapToGrid w:val="0"/>
          <w:lang w:val="uk-UA" w:eastAsia="ru-RU"/>
        </w:rPr>
        <w:t>поліетиленовий віск, олія мінеральна</w:t>
      </w:r>
      <w:r w:rsidRPr="00756E75">
        <w:rPr>
          <w:snapToGrid w:val="0"/>
          <w:lang w:val="uk-UA" w:eastAsia="ru-RU"/>
        </w:rPr>
        <w:t>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3. Фармацевтична (лікарська) форма</w:t>
      </w:r>
    </w:p>
    <w:p w:rsidR="007B350F" w:rsidRPr="00756E75" w:rsidRDefault="00347315" w:rsidP="007058FC">
      <w:pPr>
        <w:tabs>
          <w:tab w:val="left" w:pos="567"/>
        </w:tabs>
        <w:spacing w:before="60" w:after="60"/>
        <w:jc w:val="both"/>
        <w:rPr>
          <w:snapToGrid w:val="0"/>
          <w:lang w:val="uk-UA" w:eastAsia="ru-RU"/>
        </w:rPr>
      </w:pPr>
      <w:r w:rsidRPr="00756E75">
        <w:rPr>
          <w:snapToGrid w:val="0"/>
          <w:lang w:val="uk-UA" w:eastAsia="ru-RU"/>
        </w:rPr>
        <w:t>Мазь вушна.</w:t>
      </w:r>
      <w:r w:rsidR="007B350F" w:rsidRPr="00756E75">
        <w:rPr>
          <w:snapToGrid w:val="0"/>
          <w:lang w:val="uk-UA" w:eastAsia="ru-RU"/>
        </w:rPr>
        <w:t xml:space="preserve"> 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4. Фармакологічні властивості</w:t>
      </w:r>
    </w:p>
    <w:p w:rsidR="006D504C" w:rsidRPr="00756E75" w:rsidRDefault="006D504C" w:rsidP="006D504C">
      <w:pPr>
        <w:tabs>
          <w:tab w:val="left" w:pos="567"/>
        </w:tabs>
        <w:spacing w:before="60" w:after="60"/>
        <w:jc w:val="both"/>
        <w:rPr>
          <w:b/>
          <w:i/>
          <w:snapToGrid w:val="0"/>
          <w:lang w:val="uk-UA" w:eastAsia="ru-RU"/>
        </w:rPr>
      </w:pPr>
      <w:r w:rsidRPr="00756E75">
        <w:rPr>
          <w:b/>
          <w:i/>
          <w:snapToGrid w:val="0"/>
          <w:lang w:val="en-US" w:eastAsia="ru-RU"/>
        </w:rPr>
        <w:t>ATC</w:t>
      </w:r>
      <w:r w:rsidRPr="00756E75">
        <w:rPr>
          <w:b/>
          <w:i/>
          <w:snapToGrid w:val="0"/>
          <w:lang w:val="uk-UA" w:eastAsia="ru-RU"/>
        </w:rPr>
        <w:t>-</w:t>
      </w:r>
      <w:r w:rsidRPr="00756E75">
        <w:rPr>
          <w:b/>
          <w:i/>
          <w:snapToGrid w:val="0"/>
          <w:lang w:val="en-US" w:eastAsia="ru-RU"/>
        </w:rPr>
        <w:t>vet</w:t>
      </w:r>
      <w:r w:rsidRPr="00756E75">
        <w:rPr>
          <w:b/>
          <w:i/>
          <w:snapToGrid w:val="0"/>
          <w:lang w:val="uk-UA" w:eastAsia="ru-RU"/>
        </w:rPr>
        <w:t xml:space="preserve"> класифікаційний код: QS02 – </w:t>
      </w:r>
      <w:r w:rsidRPr="00756E75">
        <w:rPr>
          <w:b/>
          <w:i/>
          <w:lang w:val="uk-UA"/>
        </w:rPr>
        <w:t>ветеринарні препарати</w:t>
      </w:r>
      <w:r w:rsidRPr="00756E75">
        <w:rPr>
          <w:b/>
          <w:i/>
          <w:snapToGrid w:val="0"/>
          <w:lang w:val="uk-UA" w:eastAsia="ru-RU"/>
        </w:rPr>
        <w:t xml:space="preserve">, що застосовуються в отології. QS02CА04 – </w:t>
      </w:r>
      <w:proofErr w:type="spellStart"/>
      <w:r w:rsidRPr="00E14C6E">
        <w:rPr>
          <w:b/>
          <w:i/>
          <w:snapToGrid w:val="0"/>
          <w:lang w:val="uk-UA" w:eastAsia="ru-RU"/>
        </w:rPr>
        <w:t>Триамцинолон</w:t>
      </w:r>
      <w:proofErr w:type="spellEnd"/>
      <w:r w:rsidRPr="00756E75">
        <w:rPr>
          <w:b/>
          <w:i/>
          <w:snapToGrid w:val="0"/>
          <w:lang w:val="uk-UA" w:eastAsia="ru-RU"/>
        </w:rPr>
        <w:t xml:space="preserve"> і протимікробні. + </w:t>
      </w:r>
      <w:r w:rsidRPr="00756E75">
        <w:rPr>
          <w:b/>
          <w:i/>
          <w:snapToGrid w:val="0"/>
          <w:lang w:eastAsia="ru-RU"/>
        </w:rPr>
        <w:t>QP</w:t>
      </w:r>
      <w:r w:rsidRPr="00756E75">
        <w:rPr>
          <w:b/>
          <w:i/>
          <w:snapToGrid w:val="0"/>
          <w:lang w:val="uk-UA" w:eastAsia="ru-RU"/>
        </w:rPr>
        <w:t>53</w:t>
      </w:r>
      <w:r w:rsidRPr="00756E75">
        <w:rPr>
          <w:b/>
          <w:i/>
          <w:snapToGrid w:val="0"/>
          <w:lang w:eastAsia="ru-RU"/>
        </w:rPr>
        <w:t>AC</w:t>
      </w:r>
      <w:r w:rsidRPr="00756E75">
        <w:rPr>
          <w:b/>
          <w:i/>
          <w:snapToGrid w:val="0"/>
          <w:lang w:val="uk-UA" w:eastAsia="ru-RU"/>
        </w:rPr>
        <w:t>04 – Перметрин.</w:t>
      </w:r>
    </w:p>
    <w:p w:rsidR="006D504C" w:rsidRPr="00133782" w:rsidRDefault="006D504C" w:rsidP="006D504C">
      <w:pPr>
        <w:tabs>
          <w:tab w:val="left" w:pos="567"/>
        </w:tabs>
        <w:spacing w:before="60" w:after="60"/>
        <w:jc w:val="both"/>
        <w:rPr>
          <w:lang w:val="uk-UA" w:eastAsia="ru-RU"/>
        </w:rPr>
      </w:pPr>
      <w:r w:rsidRPr="00133782">
        <w:rPr>
          <w:lang w:val="uk-UA" w:eastAsia="ru-RU"/>
        </w:rPr>
        <w:t>ОТІГЕЛЬ</w:t>
      </w:r>
      <w:r w:rsidRPr="00133782">
        <w:rPr>
          <w:vertAlign w:val="superscript"/>
          <w:lang w:val="uk-UA" w:eastAsia="ru-RU"/>
        </w:rPr>
        <w:t>®</w:t>
      </w:r>
      <w:r w:rsidRPr="00133782">
        <w:rPr>
          <w:lang w:val="uk-UA" w:eastAsia="ru-RU"/>
        </w:rPr>
        <w:t xml:space="preserve"> мазь вушна — антимікробний, </w:t>
      </w:r>
      <w:proofErr w:type="spellStart"/>
      <w:r w:rsidRPr="00133782">
        <w:rPr>
          <w:lang w:val="uk-UA" w:eastAsia="ru-RU"/>
        </w:rPr>
        <w:t>антипаразитарний</w:t>
      </w:r>
      <w:proofErr w:type="spellEnd"/>
      <w:r w:rsidRPr="00133782">
        <w:rPr>
          <w:lang w:val="uk-UA" w:eastAsia="ru-RU"/>
        </w:rPr>
        <w:t xml:space="preserve">, </w:t>
      </w:r>
      <w:proofErr w:type="spellStart"/>
      <w:r w:rsidRPr="00E14C6E">
        <w:rPr>
          <w:lang w:val="uk-UA" w:eastAsia="ru-RU"/>
        </w:rPr>
        <w:t>антимікозний</w:t>
      </w:r>
      <w:proofErr w:type="spellEnd"/>
      <w:r w:rsidRPr="00133782">
        <w:rPr>
          <w:lang w:val="uk-UA" w:eastAsia="ru-RU"/>
        </w:rPr>
        <w:t xml:space="preserve"> та протизапальний препарат у формі мазі для зовнішнього застосування. </w:t>
      </w:r>
    </w:p>
    <w:p w:rsidR="006D504C" w:rsidRPr="00756E75" w:rsidRDefault="006D504C" w:rsidP="006D504C">
      <w:pPr>
        <w:tabs>
          <w:tab w:val="left" w:pos="567"/>
        </w:tabs>
        <w:spacing w:before="60" w:after="60"/>
        <w:jc w:val="both"/>
        <w:rPr>
          <w:lang w:val="uk-UA" w:eastAsia="ru-RU"/>
        </w:rPr>
      </w:pPr>
      <w:proofErr w:type="spellStart"/>
      <w:r w:rsidRPr="00756E75">
        <w:rPr>
          <w:lang w:val="uk-UA" w:eastAsia="ru-RU"/>
        </w:rPr>
        <w:t>Неоміцин</w:t>
      </w:r>
      <w:proofErr w:type="spellEnd"/>
      <w:r w:rsidRPr="00756E75">
        <w:rPr>
          <w:lang w:val="uk-UA" w:eastAsia="ru-RU"/>
        </w:rPr>
        <w:t xml:space="preserve"> — </w:t>
      </w:r>
      <w:proofErr w:type="spellStart"/>
      <w:r w:rsidRPr="00756E75">
        <w:rPr>
          <w:lang w:val="uk-UA" w:eastAsia="ru-RU"/>
        </w:rPr>
        <w:t>аміноглікозидний</w:t>
      </w:r>
      <w:proofErr w:type="spellEnd"/>
      <w:r w:rsidRPr="00756E75">
        <w:rPr>
          <w:lang w:val="uk-UA" w:eastAsia="ru-RU"/>
        </w:rPr>
        <w:t xml:space="preserve"> антибіотик, що бактерицидно діє головним чином </w:t>
      </w:r>
      <w:r w:rsidRPr="00E14C6E">
        <w:rPr>
          <w:lang w:val="uk-UA" w:eastAsia="ru-RU"/>
        </w:rPr>
        <w:t xml:space="preserve">проти </w:t>
      </w:r>
      <w:proofErr w:type="spellStart"/>
      <w:r w:rsidRPr="00E14C6E">
        <w:rPr>
          <w:lang w:val="uk-UA" w:eastAsia="ru-RU"/>
        </w:rPr>
        <w:t>грампозитивних</w:t>
      </w:r>
      <w:proofErr w:type="spellEnd"/>
      <w:r w:rsidRPr="00E14C6E">
        <w:rPr>
          <w:lang w:val="uk-UA" w:eastAsia="ru-RU"/>
        </w:rPr>
        <w:t xml:space="preserve"> (</w:t>
      </w:r>
      <w:proofErr w:type="spellStart"/>
      <w:r w:rsidRPr="00E14C6E">
        <w:rPr>
          <w:i/>
          <w:lang w:val="uk-UA" w:eastAsia="ru-RU"/>
        </w:rPr>
        <w:t>Staphylococcus</w:t>
      </w:r>
      <w:proofErr w:type="spellEnd"/>
      <w:r w:rsidRPr="00E14C6E">
        <w:rPr>
          <w:i/>
          <w:lang w:val="uk-UA" w:eastAsia="ru-RU"/>
        </w:rPr>
        <w:t xml:space="preserve"> </w:t>
      </w:r>
      <w:proofErr w:type="spellStart"/>
      <w:r w:rsidRPr="00E14C6E">
        <w:rPr>
          <w:i/>
          <w:lang w:val="uk-UA" w:eastAsia="ru-RU"/>
        </w:rPr>
        <w:t>albus</w:t>
      </w:r>
      <w:proofErr w:type="spellEnd"/>
      <w:r w:rsidRPr="00E14C6E">
        <w:rPr>
          <w:i/>
          <w:lang w:val="uk-UA" w:eastAsia="ru-RU"/>
        </w:rPr>
        <w:t xml:space="preserve">, </w:t>
      </w:r>
      <w:proofErr w:type="spellStart"/>
      <w:r w:rsidRPr="00E14C6E">
        <w:rPr>
          <w:i/>
          <w:lang w:val="uk-UA" w:eastAsia="ru-RU"/>
        </w:rPr>
        <w:t>Staphylococcus</w:t>
      </w:r>
      <w:proofErr w:type="spellEnd"/>
      <w:r w:rsidRPr="00E14C6E">
        <w:rPr>
          <w:i/>
          <w:lang w:val="uk-UA" w:eastAsia="ru-RU"/>
        </w:rPr>
        <w:t xml:space="preserve"> </w:t>
      </w:r>
      <w:proofErr w:type="spellStart"/>
      <w:r w:rsidRPr="00E14C6E">
        <w:rPr>
          <w:i/>
          <w:lang w:val="uk-UA" w:eastAsia="ru-RU"/>
        </w:rPr>
        <w:t>aureus</w:t>
      </w:r>
      <w:proofErr w:type="spellEnd"/>
      <w:r w:rsidRPr="00E14C6E">
        <w:rPr>
          <w:i/>
          <w:lang w:val="uk-UA" w:eastAsia="ru-RU"/>
        </w:rPr>
        <w:t>,</w:t>
      </w:r>
      <w:r w:rsidRPr="00E14C6E">
        <w:rPr>
          <w:rFonts w:ascii="Helvetica" w:hAnsi="Helvetica" w:cs="Helvetica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E14C6E">
        <w:rPr>
          <w:i/>
          <w:lang w:eastAsia="ru-RU"/>
        </w:rPr>
        <w:t>Corynebacterium</w:t>
      </w:r>
      <w:proofErr w:type="spellEnd"/>
      <w:r w:rsidRPr="00E14C6E">
        <w:rPr>
          <w:i/>
          <w:lang w:val="uk-UA" w:eastAsia="ru-RU"/>
        </w:rPr>
        <w:t xml:space="preserve"> </w:t>
      </w:r>
      <w:proofErr w:type="spellStart"/>
      <w:r w:rsidRPr="00E14C6E">
        <w:rPr>
          <w:i/>
          <w:lang w:eastAsia="ru-RU"/>
        </w:rPr>
        <w:t>spp</w:t>
      </w:r>
      <w:proofErr w:type="spellEnd"/>
      <w:r w:rsidRPr="00E14C6E">
        <w:rPr>
          <w:i/>
          <w:lang w:val="uk-UA" w:eastAsia="ru-RU"/>
        </w:rPr>
        <w:t xml:space="preserve">., </w:t>
      </w:r>
      <w:proofErr w:type="spellStart"/>
      <w:proofErr w:type="gramStart"/>
      <w:r w:rsidRPr="00E14C6E">
        <w:rPr>
          <w:i/>
          <w:lang w:eastAsia="ru-RU"/>
        </w:rPr>
        <w:t>Bacillus</w:t>
      </w:r>
      <w:proofErr w:type="spellEnd"/>
      <w:r w:rsidRPr="00E14C6E">
        <w:rPr>
          <w:i/>
          <w:lang w:val="uk-UA" w:eastAsia="ru-RU"/>
        </w:rPr>
        <w:t xml:space="preserve"> </w:t>
      </w:r>
      <w:proofErr w:type="spellStart"/>
      <w:r w:rsidRPr="00E14C6E">
        <w:rPr>
          <w:i/>
          <w:lang w:eastAsia="ru-RU"/>
        </w:rPr>
        <w:t>spp</w:t>
      </w:r>
      <w:proofErr w:type="spellEnd"/>
      <w:r w:rsidRPr="00E14C6E">
        <w:rPr>
          <w:i/>
          <w:lang w:val="uk-UA" w:eastAsia="ru-RU"/>
        </w:rPr>
        <w:t>. та інші</w:t>
      </w:r>
      <w:r w:rsidRPr="00E14C6E">
        <w:rPr>
          <w:lang w:val="uk-UA" w:eastAsia="ru-RU"/>
        </w:rPr>
        <w:t xml:space="preserve">) та більшості </w:t>
      </w:r>
      <w:proofErr w:type="spellStart"/>
      <w:r w:rsidRPr="00E14C6E">
        <w:rPr>
          <w:lang w:val="uk-UA" w:eastAsia="ru-RU"/>
        </w:rPr>
        <w:t>грамнегативних</w:t>
      </w:r>
      <w:proofErr w:type="spellEnd"/>
      <w:r w:rsidRPr="00E14C6E">
        <w:rPr>
          <w:lang w:val="uk-UA" w:eastAsia="ru-RU"/>
        </w:rPr>
        <w:t xml:space="preserve"> мікроорганізмів (</w:t>
      </w:r>
      <w:proofErr w:type="spellStart"/>
      <w:r w:rsidRPr="00E14C6E">
        <w:rPr>
          <w:i/>
          <w:lang w:val="uk-UA" w:eastAsia="ru-RU"/>
        </w:rPr>
        <w:t>E.coli</w:t>
      </w:r>
      <w:proofErr w:type="spellEnd"/>
      <w:r w:rsidRPr="00E14C6E">
        <w:rPr>
          <w:i/>
          <w:lang w:val="uk-UA" w:eastAsia="ru-RU"/>
        </w:rPr>
        <w:t xml:space="preserve">, </w:t>
      </w:r>
      <w:proofErr w:type="spellStart"/>
      <w:r w:rsidRPr="00E14C6E">
        <w:rPr>
          <w:i/>
          <w:lang w:eastAsia="ru-RU"/>
        </w:rPr>
        <w:t>Salmonella</w:t>
      </w:r>
      <w:proofErr w:type="spellEnd"/>
      <w:r w:rsidRPr="00E14C6E">
        <w:rPr>
          <w:i/>
          <w:lang w:val="uk-UA" w:eastAsia="ru-RU"/>
        </w:rPr>
        <w:t xml:space="preserve"> </w:t>
      </w:r>
      <w:proofErr w:type="spellStart"/>
      <w:r w:rsidRPr="00E14C6E">
        <w:rPr>
          <w:i/>
          <w:lang w:eastAsia="ru-RU"/>
        </w:rPr>
        <w:t>spp</w:t>
      </w:r>
      <w:proofErr w:type="spellEnd"/>
      <w:r w:rsidRPr="00E14C6E">
        <w:rPr>
          <w:i/>
          <w:lang w:val="uk-UA" w:eastAsia="ru-RU"/>
        </w:rPr>
        <w:t xml:space="preserve">., </w:t>
      </w:r>
      <w:proofErr w:type="spellStart"/>
      <w:r w:rsidRPr="00E14C6E">
        <w:rPr>
          <w:i/>
          <w:lang w:eastAsia="ru-RU"/>
        </w:rPr>
        <w:t>Shigella</w:t>
      </w:r>
      <w:proofErr w:type="spellEnd"/>
      <w:r w:rsidRPr="00E14C6E">
        <w:rPr>
          <w:i/>
          <w:lang w:val="uk-UA" w:eastAsia="ru-RU"/>
        </w:rPr>
        <w:t xml:space="preserve"> </w:t>
      </w:r>
      <w:proofErr w:type="spellStart"/>
      <w:r w:rsidRPr="00E14C6E">
        <w:rPr>
          <w:i/>
          <w:lang w:eastAsia="ru-RU"/>
        </w:rPr>
        <w:t>spp</w:t>
      </w:r>
      <w:proofErr w:type="spellEnd"/>
      <w:r w:rsidRPr="00E14C6E">
        <w:rPr>
          <w:i/>
          <w:lang w:val="uk-UA" w:eastAsia="ru-RU"/>
        </w:rPr>
        <w:t xml:space="preserve">., </w:t>
      </w:r>
      <w:proofErr w:type="spellStart"/>
      <w:r w:rsidRPr="00E14C6E">
        <w:rPr>
          <w:i/>
          <w:lang w:val="uk-UA" w:eastAsia="ru-RU"/>
        </w:rPr>
        <w:t>Klebsiella</w:t>
      </w:r>
      <w:proofErr w:type="spellEnd"/>
      <w:r w:rsidRPr="00E14C6E">
        <w:rPr>
          <w:i/>
          <w:lang w:val="uk-UA" w:eastAsia="ru-RU"/>
        </w:rPr>
        <w:t xml:space="preserve"> </w:t>
      </w:r>
      <w:proofErr w:type="spellStart"/>
      <w:r w:rsidRPr="00E14C6E">
        <w:rPr>
          <w:i/>
          <w:lang w:val="uk-UA" w:eastAsia="ru-RU"/>
        </w:rPr>
        <w:t>spp</w:t>
      </w:r>
      <w:proofErr w:type="spellEnd"/>
      <w:r w:rsidRPr="00E14C6E">
        <w:rPr>
          <w:i/>
          <w:lang w:val="uk-UA" w:eastAsia="ru-RU"/>
        </w:rPr>
        <w:t xml:space="preserve">., </w:t>
      </w:r>
      <w:proofErr w:type="spellStart"/>
      <w:r w:rsidRPr="00E14C6E">
        <w:rPr>
          <w:i/>
          <w:lang w:val="uk-UA" w:eastAsia="ru-RU"/>
        </w:rPr>
        <w:t>Proteus</w:t>
      </w:r>
      <w:proofErr w:type="spellEnd"/>
      <w:r w:rsidRPr="00E14C6E">
        <w:rPr>
          <w:i/>
          <w:lang w:val="uk-UA" w:eastAsia="ru-RU"/>
        </w:rPr>
        <w:t xml:space="preserve"> </w:t>
      </w:r>
      <w:proofErr w:type="spellStart"/>
      <w:r w:rsidRPr="00E14C6E">
        <w:rPr>
          <w:i/>
          <w:lang w:val="en-US" w:eastAsia="ru-RU"/>
        </w:rPr>
        <w:t>spp</w:t>
      </w:r>
      <w:proofErr w:type="spellEnd"/>
      <w:r w:rsidRPr="00E14C6E">
        <w:rPr>
          <w:i/>
          <w:lang w:val="uk-UA" w:eastAsia="ru-RU"/>
        </w:rPr>
        <w:t xml:space="preserve">., </w:t>
      </w:r>
      <w:proofErr w:type="spellStart"/>
      <w:r w:rsidRPr="00E14C6E">
        <w:rPr>
          <w:i/>
          <w:lang w:val="uk-UA" w:eastAsia="ru-RU"/>
        </w:rPr>
        <w:t>Pseudomonas</w:t>
      </w:r>
      <w:proofErr w:type="spellEnd"/>
      <w:r w:rsidRPr="00E14C6E">
        <w:rPr>
          <w:lang w:val="uk-UA" w:eastAsia="ru-RU"/>
        </w:rPr>
        <w:t xml:space="preserve"> та інші).</w:t>
      </w:r>
      <w:proofErr w:type="gramEnd"/>
      <w:r w:rsidRPr="002C5EFF">
        <w:rPr>
          <w:lang w:val="uk-UA" w:eastAsia="ru-RU"/>
        </w:rPr>
        <w:t xml:space="preserve"> </w:t>
      </w:r>
      <w:r w:rsidRPr="00756E75">
        <w:rPr>
          <w:lang w:val="uk-UA" w:eastAsia="ru-RU"/>
        </w:rPr>
        <w:t xml:space="preserve">Механізм дії його полягає в зв’язуванні з білками мікроорганізму, що призводить до порушення утворення комплексу транспортної та матричної РНК і зупиняє білковий синтез. </w:t>
      </w:r>
    </w:p>
    <w:p w:rsidR="006D504C" w:rsidRPr="00756E75" w:rsidRDefault="006D504C" w:rsidP="006D504C">
      <w:pPr>
        <w:tabs>
          <w:tab w:val="left" w:pos="567"/>
        </w:tabs>
        <w:spacing w:before="60" w:after="60"/>
        <w:jc w:val="both"/>
        <w:rPr>
          <w:lang w:val="uk-UA" w:eastAsia="ru-RU"/>
        </w:rPr>
      </w:pPr>
      <w:r w:rsidRPr="00756E75">
        <w:rPr>
          <w:lang w:val="uk-UA" w:eastAsia="ru-RU"/>
        </w:rPr>
        <w:t xml:space="preserve">Ністатин – антибіотик, </w:t>
      </w:r>
      <w:r w:rsidRPr="002C5EFF">
        <w:rPr>
          <w:lang w:val="uk-UA" w:eastAsia="ru-RU"/>
        </w:rPr>
        <w:t xml:space="preserve">який </w:t>
      </w:r>
      <w:r w:rsidRPr="00E14C6E">
        <w:rPr>
          <w:lang w:val="uk-UA" w:eastAsia="ru-RU"/>
        </w:rPr>
        <w:t>має</w:t>
      </w:r>
      <w:r w:rsidRPr="002C5EFF">
        <w:rPr>
          <w:lang w:val="uk-UA" w:eastAsia="ru-RU"/>
        </w:rPr>
        <w:t xml:space="preserve"> </w:t>
      </w:r>
      <w:r w:rsidRPr="00756E75">
        <w:rPr>
          <w:lang w:val="uk-UA" w:eastAsia="ru-RU"/>
        </w:rPr>
        <w:t>фунгіцидн</w:t>
      </w:r>
      <w:r>
        <w:rPr>
          <w:lang w:val="uk-UA" w:eastAsia="ru-RU"/>
        </w:rPr>
        <w:t>у ді</w:t>
      </w:r>
      <w:r w:rsidRPr="00756E75">
        <w:rPr>
          <w:lang w:val="uk-UA" w:eastAsia="ru-RU"/>
        </w:rPr>
        <w:t xml:space="preserve">ю. Він зв'язується зі стеринами клітинної мембрани грибів, внаслідок чого мембрана стає нездатною функціонувати як селективний бар'єр, що призводить до втрати основних компонентів клітини. Особливо ефективний проти </w:t>
      </w:r>
      <w:proofErr w:type="spellStart"/>
      <w:r w:rsidRPr="00756E75">
        <w:rPr>
          <w:i/>
          <w:lang w:val="en-US" w:eastAsia="ru-RU"/>
        </w:rPr>
        <w:t>Malassezia</w:t>
      </w:r>
      <w:proofErr w:type="spellEnd"/>
      <w:r w:rsidRPr="00756E75">
        <w:rPr>
          <w:i/>
          <w:lang w:val="uk-UA" w:eastAsia="ru-RU"/>
        </w:rPr>
        <w:t xml:space="preserve"> </w:t>
      </w:r>
      <w:proofErr w:type="spellStart"/>
      <w:r w:rsidRPr="00756E75">
        <w:rPr>
          <w:i/>
          <w:lang w:val="en-US" w:eastAsia="ru-RU"/>
        </w:rPr>
        <w:t>spp</w:t>
      </w:r>
      <w:proofErr w:type="spellEnd"/>
      <w:r w:rsidRPr="00756E75">
        <w:rPr>
          <w:i/>
          <w:lang w:val="uk-UA" w:eastAsia="ru-RU"/>
        </w:rPr>
        <w:t xml:space="preserve">., </w:t>
      </w:r>
      <w:r w:rsidRPr="00756E75">
        <w:rPr>
          <w:i/>
          <w:lang w:val="en-US" w:eastAsia="ru-RU"/>
        </w:rPr>
        <w:t>Candida</w:t>
      </w:r>
      <w:r w:rsidRPr="00756E75">
        <w:rPr>
          <w:i/>
          <w:lang w:val="uk-UA" w:eastAsia="ru-RU"/>
        </w:rPr>
        <w:t xml:space="preserve"> </w:t>
      </w:r>
      <w:proofErr w:type="spellStart"/>
      <w:r w:rsidRPr="00756E75">
        <w:rPr>
          <w:i/>
          <w:lang w:val="en-US" w:eastAsia="ru-RU"/>
        </w:rPr>
        <w:t>spp</w:t>
      </w:r>
      <w:proofErr w:type="spellEnd"/>
      <w:r w:rsidRPr="00756E75">
        <w:rPr>
          <w:i/>
          <w:lang w:val="uk-UA" w:eastAsia="ru-RU"/>
        </w:rPr>
        <w:t>.</w:t>
      </w:r>
    </w:p>
    <w:p w:rsidR="006D504C" w:rsidRPr="00756E75" w:rsidRDefault="006D504C" w:rsidP="006D504C">
      <w:pPr>
        <w:tabs>
          <w:tab w:val="left" w:pos="567"/>
        </w:tabs>
        <w:spacing w:before="60" w:after="60"/>
        <w:jc w:val="both"/>
        <w:rPr>
          <w:lang w:val="uk-UA" w:eastAsia="ru-RU"/>
        </w:rPr>
      </w:pPr>
      <w:proofErr w:type="spellStart"/>
      <w:r w:rsidRPr="00E14C6E">
        <w:rPr>
          <w:lang w:val="uk-UA" w:eastAsia="ru-RU"/>
        </w:rPr>
        <w:t>Триамцинолон</w:t>
      </w:r>
      <w:proofErr w:type="spellEnd"/>
      <w:r w:rsidRPr="002C5EFF">
        <w:rPr>
          <w:lang w:val="uk-UA" w:eastAsia="ru-RU"/>
        </w:rPr>
        <w:t xml:space="preserve"> </w:t>
      </w:r>
      <w:r w:rsidRPr="00133782">
        <w:rPr>
          <w:lang w:val="uk-UA" w:eastAsia="ru-RU"/>
        </w:rPr>
        <w:t xml:space="preserve">— синтетичний </w:t>
      </w:r>
      <w:proofErr w:type="spellStart"/>
      <w:r w:rsidRPr="00133782">
        <w:rPr>
          <w:lang w:val="uk-UA" w:eastAsia="ru-RU"/>
        </w:rPr>
        <w:t>глюкокортикоїд</w:t>
      </w:r>
      <w:proofErr w:type="spellEnd"/>
      <w:r w:rsidRPr="00133782">
        <w:rPr>
          <w:lang w:val="uk-UA" w:eastAsia="ru-RU"/>
        </w:rPr>
        <w:t>, що характеризується протизапальною, антиалергічною та заспокійливою діями.</w:t>
      </w:r>
    </w:p>
    <w:p w:rsidR="006D504C" w:rsidRPr="00133782" w:rsidRDefault="006D504C" w:rsidP="006D504C">
      <w:pPr>
        <w:tabs>
          <w:tab w:val="left" w:pos="567"/>
        </w:tabs>
        <w:spacing w:before="60" w:after="60"/>
        <w:jc w:val="both"/>
        <w:rPr>
          <w:i/>
          <w:lang w:val="uk-UA" w:eastAsia="ru-RU"/>
        </w:rPr>
      </w:pPr>
      <w:proofErr w:type="spellStart"/>
      <w:r w:rsidRPr="00133782">
        <w:rPr>
          <w:lang w:val="uk-UA" w:eastAsia="ru-RU"/>
        </w:rPr>
        <w:t>Перметрин</w:t>
      </w:r>
      <w:proofErr w:type="spellEnd"/>
      <w:r w:rsidRPr="00133782">
        <w:rPr>
          <w:lang w:val="uk-UA" w:eastAsia="ru-RU"/>
        </w:rPr>
        <w:t xml:space="preserve"> — синтетичний </w:t>
      </w:r>
      <w:proofErr w:type="spellStart"/>
      <w:r w:rsidRPr="00133782">
        <w:rPr>
          <w:lang w:val="uk-UA" w:eastAsia="ru-RU"/>
        </w:rPr>
        <w:t>піретроїд</w:t>
      </w:r>
      <w:proofErr w:type="spellEnd"/>
      <w:r w:rsidRPr="00133782">
        <w:rPr>
          <w:lang w:val="uk-UA" w:eastAsia="ru-RU"/>
        </w:rPr>
        <w:t xml:space="preserve"> I типу, який </w:t>
      </w:r>
      <w:r w:rsidRPr="00E14C6E">
        <w:rPr>
          <w:lang w:val="uk-UA" w:eastAsia="ru-RU"/>
        </w:rPr>
        <w:t xml:space="preserve">має </w:t>
      </w:r>
      <w:proofErr w:type="spellStart"/>
      <w:r w:rsidRPr="00E14C6E">
        <w:rPr>
          <w:lang w:val="uk-UA" w:eastAsia="ru-RU"/>
        </w:rPr>
        <w:t>акарицидну</w:t>
      </w:r>
      <w:proofErr w:type="spellEnd"/>
      <w:r w:rsidRPr="00E14C6E">
        <w:rPr>
          <w:lang w:val="uk-UA" w:eastAsia="ru-RU"/>
        </w:rPr>
        <w:t xml:space="preserve"> та інсектицидну</w:t>
      </w:r>
      <w:r w:rsidRPr="002C5EFF">
        <w:rPr>
          <w:lang w:val="uk-UA" w:eastAsia="ru-RU"/>
        </w:rPr>
        <w:t xml:space="preserve"> </w:t>
      </w:r>
      <w:r w:rsidR="002C5EFF">
        <w:rPr>
          <w:lang w:val="uk-UA" w:eastAsia="ru-RU"/>
        </w:rPr>
        <w:t>властиво</w:t>
      </w:r>
      <w:r w:rsidR="002C5EFF" w:rsidRPr="00C96E30">
        <w:rPr>
          <w:lang w:val="uk-UA" w:eastAsia="ru-RU"/>
        </w:rPr>
        <w:t>сті</w:t>
      </w:r>
      <w:r w:rsidRPr="00133782">
        <w:rPr>
          <w:lang w:val="uk-UA" w:eastAsia="ru-RU"/>
        </w:rPr>
        <w:t xml:space="preserve">. Він порушує роботу натрієвих каналів і блокує передачу нервових імпульсів </w:t>
      </w:r>
      <w:r w:rsidRPr="00E14C6E">
        <w:rPr>
          <w:lang w:val="uk-UA" w:eastAsia="ru-RU"/>
        </w:rPr>
        <w:t>у кліщів.</w:t>
      </w:r>
      <w:r w:rsidRPr="002C5EFF">
        <w:rPr>
          <w:lang w:val="uk-UA" w:eastAsia="ru-RU"/>
        </w:rPr>
        <w:t xml:space="preserve"> </w:t>
      </w:r>
      <w:r w:rsidRPr="00133782">
        <w:rPr>
          <w:lang w:val="uk-UA" w:eastAsia="ru-RU"/>
        </w:rPr>
        <w:t xml:space="preserve">Особливо до </w:t>
      </w:r>
      <w:proofErr w:type="spellStart"/>
      <w:r w:rsidRPr="00133782">
        <w:rPr>
          <w:lang w:val="uk-UA" w:eastAsia="ru-RU"/>
        </w:rPr>
        <w:t>перметрину</w:t>
      </w:r>
      <w:proofErr w:type="spellEnd"/>
      <w:r w:rsidRPr="00133782">
        <w:rPr>
          <w:lang w:val="uk-UA" w:eastAsia="ru-RU"/>
        </w:rPr>
        <w:t xml:space="preserve"> чутливі кліщі </w:t>
      </w:r>
      <w:proofErr w:type="spellStart"/>
      <w:r w:rsidRPr="00133782">
        <w:rPr>
          <w:i/>
          <w:lang w:val="uk-UA" w:eastAsia="ru-RU"/>
        </w:rPr>
        <w:t>Otodectes</w:t>
      </w:r>
      <w:proofErr w:type="spellEnd"/>
      <w:r w:rsidRPr="00133782">
        <w:rPr>
          <w:i/>
          <w:lang w:val="uk-UA" w:eastAsia="ru-RU"/>
        </w:rPr>
        <w:t xml:space="preserve"> </w:t>
      </w:r>
      <w:proofErr w:type="spellStart"/>
      <w:r w:rsidRPr="00133782">
        <w:rPr>
          <w:i/>
          <w:lang w:val="uk-UA" w:eastAsia="ru-RU"/>
        </w:rPr>
        <w:t>cynotis</w:t>
      </w:r>
      <w:proofErr w:type="spellEnd"/>
      <w:r w:rsidRPr="00133782">
        <w:rPr>
          <w:i/>
          <w:lang w:val="uk-UA" w:eastAsia="ru-RU"/>
        </w:rPr>
        <w:t>.</w:t>
      </w:r>
    </w:p>
    <w:p w:rsidR="00CF05A0" w:rsidRPr="002C5EFF" w:rsidRDefault="006D504C" w:rsidP="006D504C">
      <w:pPr>
        <w:tabs>
          <w:tab w:val="left" w:pos="567"/>
        </w:tabs>
        <w:spacing w:before="60" w:after="60"/>
        <w:jc w:val="both"/>
        <w:rPr>
          <w:lang w:val="uk-UA" w:eastAsia="ru-RU"/>
        </w:rPr>
      </w:pPr>
      <w:r w:rsidRPr="00133782">
        <w:rPr>
          <w:lang w:val="uk-UA" w:eastAsia="ru-RU"/>
        </w:rPr>
        <w:t xml:space="preserve">Бібліографічні дані свідчать про низьку абсорбцію ністатину, </w:t>
      </w:r>
      <w:proofErr w:type="spellStart"/>
      <w:r w:rsidRPr="00133782">
        <w:rPr>
          <w:lang w:val="uk-UA" w:eastAsia="ru-RU"/>
        </w:rPr>
        <w:t>неоміцину</w:t>
      </w:r>
      <w:proofErr w:type="spellEnd"/>
      <w:r w:rsidRPr="00133782">
        <w:rPr>
          <w:lang w:val="uk-UA" w:eastAsia="ru-RU"/>
        </w:rPr>
        <w:t xml:space="preserve"> та </w:t>
      </w:r>
      <w:proofErr w:type="spellStart"/>
      <w:r w:rsidRPr="00133782">
        <w:rPr>
          <w:lang w:val="uk-UA" w:eastAsia="ru-RU"/>
        </w:rPr>
        <w:t>перметрину</w:t>
      </w:r>
      <w:proofErr w:type="spellEnd"/>
      <w:r w:rsidRPr="00133782">
        <w:rPr>
          <w:lang w:val="uk-UA" w:eastAsia="ru-RU"/>
        </w:rPr>
        <w:t xml:space="preserve"> через здорову шкіру. Не виключено системне </w:t>
      </w:r>
      <w:r w:rsidRPr="002C5EFF">
        <w:rPr>
          <w:lang w:val="uk-UA" w:eastAsia="ru-RU"/>
        </w:rPr>
        <w:t xml:space="preserve">поглинання </w:t>
      </w:r>
      <w:r w:rsidRPr="00E14C6E">
        <w:rPr>
          <w:lang w:val="uk-UA" w:eastAsia="ru-RU"/>
        </w:rPr>
        <w:t>триамцинолону.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 Клінічні особливості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5.1 Вид тварин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snapToGrid w:val="0"/>
          <w:lang w:val="uk-UA" w:eastAsia="ru-RU"/>
        </w:rPr>
      </w:pPr>
      <w:r w:rsidRPr="00756E75">
        <w:rPr>
          <w:snapToGrid w:val="0"/>
          <w:lang w:val="uk-UA" w:eastAsia="ru-RU"/>
        </w:rPr>
        <w:t>Собаки, коти.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5.2 Показання до застосування</w:t>
      </w:r>
    </w:p>
    <w:p w:rsidR="007B350F" w:rsidRPr="00756E75" w:rsidRDefault="00825F36" w:rsidP="007058FC">
      <w:pPr>
        <w:tabs>
          <w:tab w:val="left" w:pos="567"/>
        </w:tabs>
        <w:spacing w:before="60" w:after="60"/>
        <w:jc w:val="both"/>
        <w:rPr>
          <w:snapToGrid w:val="0"/>
          <w:lang w:val="uk-UA" w:eastAsia="en-US"/>
        </w:rPr>
      </w:pPr>
      <w:r w:rsidRPr="00756E75">
        <w:rPr>
          <w:bCs/>
          <w:snapToGrid w:val="0"/>
          <w:lang w:val="uk-UA"/>
        </w:rPr>
        <w:t xml:space="preserve">Лікування собак та котів, хворих на зовнішні отити, що спричинені бактеріями, чутливими до </w:t>
      </w:r>
      <w:proofErr w:type="spellStart"/>
      <w:r w:rsidRPr="00756E75">
        <w:rPr>
          <w:bCs/>
          <w:snapToGrid w:val="0"/>
          <w:lang w:val="uk-UA"/>
        </w:rPr>
        <w:t>неоміцину</w:t>
      </w:r>
      <w:proofErr w:type="spellEnd"/>
      <w:r w:rsidRPr="00756E75">
        <w:rPr>
          <w:bCs/>
          <w:snapToGrid w:val="0"/>
          <w:lang w:val="uk-UA"/>
        </w:rPr>
        <w:t xml:space="preserve">, грибами, чутливими до ністатину, та кліщами, чутливими до </w:t>
      </w:r>
      <w:proofErr w:type="spellStart"/>
      <w:r w:rsidRPr="00756E75">
        <w:rPr>
          <w:bCs/>
          <w:snapToGrid w:val="0"/>
          <w:lang w:val="uk-UA"/>
        </w:rPr>
        <w:t>перметрину</w:t>
      </w:r>
      <w:proofErr w:type="spellEnd"/>
      <w:r w:rsidRPr="00756E75">
        <w:rPr>
          <w:bCs/>
          <w:snapToGrid w:val="0"/>
          <w:lang w:val="uk-UA"/>
        </w:rPr>
        <w:t>, відповідно.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5.3 Протипоказання</w:t>
      </w:r>
    </w:p>
    <w:p w:rsidR="00452917" w:rsidRPr="00756E75" w:rsidRDefault="00825F36" w:rsidP="00825F36">
      <w:pPr>
        <w:tabs>
          <w:tab w:val="left" w:pos="567"/>
        </w:tabs>
        <w:jc w:val="both"/>
        <w:rPr>
          <w:lang w:val="uk-UA" w:eastAsia="ru-RU"/>
        </w:rPr>
      </w:pPr>
      <w:r w:rsidRPr="00756E75">
        <w:rPr>
          <w:lang w:val="uk-UA" w:eastAsia="ru-RU"/>
        </w:rPr>
        <w:lastRenderedPageBreak/>
        <w:t xml:space="preserve">Не застосовувати препарат для тварин з підвищеною чутливістю до компонентів препарату, а також з перфорацією барабанної перетинки. </w:t>
      </w:r>
    </w:p>
    <w:p w:rsidR="00825F36" w:rsidRPr="00756E75" w:rsidRDefault="00825F36" w:rsidP="00825F36">
      <w:pPr>
        <w:tabs>
          <w:tab w:val="left" w:pos="567"/>
        </w:tabs>
        <w:jc w:val="both"/>
        <w:rPr>
          <w:lang w:val="uk-UA" w:eastAsia="ru-RU"/>
        </w:rPr>
      </w:pPr>
      <w:r w:rsidRPr="00756E75">
        <w:rPr>
          <w:lang w:val="uk-UA" w:eastAsia="ru-RU"/>
        </w:rPr>
        <w:t xml:space="preserve">Не застосовувати котам масою тіла менше ніж 1,5 кг. </w:t>
      </w:r>
    </w:p>
    <w:p w:rsidR="007B350F" w:rsidRPr="00756E75" w:rsidRDefault="00825F36" w:rsidP="00825F36">
      <w:pPr>
        <w:tabs>
          <w:tab w:val="left" w:pos="567"/>
        </w:tabs>
        <w:jc w:val="both"/>
        <w:rPr>
          <w:lang w:val="uk-UA" w:eastAsia="ru-RU"/>
        </w:rPr>
      </w:pPr>
      <w:r w:rsidRPr="00756E75">
        <w:rPr>
          <w:lang w:val="uk-UA" w:eastAsia="ru-RU"/>
        </w:rPr>
        <w:t>Не застосовувати тваринам під час вагітності та лактації.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5.4 Побічна дія</w:t>
      </w:r>
    </w:p>
    <w:p w:rsidR="00825F36" w:rsidRPr="00756E75" w:rsidRDefault="00825F36" w:rsidP="007058FC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Собаки: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825F36" w:rsidRPr="00756E75" w:rsidTr="00825F36">
        <w:tc>
          <w:tcPr>
            <w:tcW w:w="5245" w:type="dxa"/>
            <w:shd w:val="clear" w:color="auto" w:fill="auto"/>
          </w:tcPr>
          <w:p w:rsidR="00825F36" w:rsidRPr="00756E75" w:rsidRDefault="00825F36" w:rsidP="00825F36">
            <w:pPr>
              <w:tabs>
                <w:tab w:val="left" w:pos="567"/>
              </w:tabs>
              <w:jc w:val="both"/>
              <w:rPr>
                <w:bCs/>
                <w:spacing w:val="-2"/>
                <w:lang w:val="uk-UA" w:eastAsia="ru-RU"/>
              </w:rPr>
            </w:pPr>
            <w:r w:rsidRPr="00756E75">
              <w:rPr>
                <w:bCs/>
                <w:spacing w:val="-2"/>
                <w:lang w:val="uk-UA" w:eastAsia="ru-RU"/>
              </w:rPr>
              <w:t>Дуже рідко (&lt; 1 тварина / 10 000 оброблених тварин, включаючи поодинокі випадки):</w:t>
            </w:r>
          </w:p>
        </w:tc>
        <w:tc>
          <w:tcPr>
            <w:tcW w:w="3969" w:type="dxa"/>
            <w:shd w:val="clear" w:color="auto" w:fill="auto"/>
          </w:tcPr>
          <w:p w:rsidR="00825F36" w:rsidRPr="00756E75" w:rsidRDefault="00825F36" w:rsidP="00825F36">
            <w:pPr>
              <w:tabs>
                <w:tab w:val="left" w:pos="567"/>
              </w:tabs>
              <w:jc w:val="both"/>
              <w:rPr>
                <w:bCs/>
                <w:spacing w:val="-2"/>
                <w:lang w:val="uk-UA" w:eastAsia="ru-RU"/>
              </w:rPr>
            </w:pPr>
            <w:r w:rsidRPr="00756E75">
              <w:rPr>
                <w:bCs/>
                <w:spacing w:val="-2"/>
                <w:lang w:val="uk-UA" w:eastAsia="ru-RU"/>
              </w:rPr>
              <w:t>Подразнення в місці застосування</w:t>
            </w:r>
            <w:r w:rsidRPr="00756E75">
              <w:rPr>
                <w:bCs/>
                <w:spacing w:val="-2"/>
                <w:vertAlign w:val="superscript"/>
                <w:lang w:val="uk-UA" w:eastAsia="ru-RU"/>
              </w:rPr>
              <w:t>1</w:t>
            </w:r>
            <w:r w:rsidRPr="00756E75">
              <w:rPr>
                <w:bCs/>
                <w:spacing w:val="-2"/>
                <w:lang w:val="uk-UA" w:eastAsia="ru-RU"/>
              </w:rPr>
              <w:t>;</w:t>
            </w:r>
          </w:p>
          <w:p w:rsidR="00825F36" w:rsidRPr="00756E75" w:rsidRDefault="00825F36" w:rsidP="00825F36">
            <w:pPr>
              <w:tabs>
                <w:tab w:val="left" w:pos="567"/>
              </w:tabs>
              <w:jc w:val="both"/>
              <w:rPr>
                <w:bCs/>
                <w:spacing w:val="-2"/>
                <w:lang w:val="uk-UA" w:eastAsia="ru-RU"/>
              </w:rPr>
            </w:pPr>
            <w:r w:rsidRPr="00756E75">
              <w:rPr>
                <w:bCs/>
                <w:spacing w:val="-2"/>
                <w:lang w:val="uk-UA" w:eastAsia="ru-RU"/>
              </w:rPr>
              <w:t>Тимчасова глухота</w:t>
            </w:r>
            <w:r w:rsidRPr="00756E75">
              <w:rPr>
                <w:bCs/>
                <w:spacing w:val="-2"/>
                <w:vertAlign w:val="superscript"/>
                <w:lang w:val="uk-UA" w:eastAsia="ru-RU"/>
              </w:rPr>
              <w:t>2</w:t>
            </w:r>
            <w:r w:rsidRPr="00756E75">
              <w:rPr>
                <w:bCs/>
                <w:spacing w:val="-2"/>
                <w:lang w:val="uk-UA" w:eastAsia="ru-RU"/>
              </w:rPr>
              <w:t>.</w:t>
            </w:r>
          </w:p>
        </w:tc>
      </w:tr>
    </w:tbl>
    <w:p w:rsidR="00825F36" w:rsidRPr="00756E75" w:rsidRDefault="00825F36" w:rsidP="007058FC">
      <w:pPr>
        <w:tabs>
          <w:tab w:val="left" w:pos="567"/>
        </w:tabs>
        <w:spacing w:before="60"/>
        <w:jc w:val="both"/>
        <w:rPr>
          <w:bCs/>
          <w:spacing w:val="-2"/>
          <w:sz w:val="22"/>
          <w:szCs w:val="22"/>
          <w:lang w:val="uk-UA" w:eastAsia="ru-RU"/>
        </w:rPr>
      </w:pPr>
      <w:r w:rsidRPr="00756E75">
        <w:rPr>
          <w:bCs/>
          <w:i/>
          <w:iCs/>
          <w:spacing w:val="-2"/>
          <w:sz w:val="22"/>
          <w:szCs w:val="22"/>
          <w:vertAlign w:val="superscript"/>
          <w:lang w:val="uk-UA" w:eastAsia="ru-RU"/>
        </w:rPr>
        <w:t>1</w:t>
      </w:r>
      <w:r w:rsidRPr="00756E75">
        <w:rPr>
          <w:bCs/>
          <w:i/>
          <w:iCs/>
          <w:spacing w:val="-2"/>
          <w:sz w:val="22"/>
          <w:szCs w:val="22"/>
          <w:lang w:val="uk-UA" w:eastAsia="ru-RU"/>
        </w:rPr>
        <w:t> Якщо це подразнення не зникає або посилюється, введення препарату слід припинити.</w:t>
      </w:r>
    </w:p>
    <w:p w:rsidR="00825F36" w:rsidRPr="00756E75" w:rsidRDefault="00825F36" w:rsidP="007058FC">
      <w:pPr>
        <w:tabs>
          <w:tab w:val="left" w:pos="567"/>
        </w:tabs>
        <w:spacing w:after="60"/>
        <w:jc w:val="both"/>
        <w:rPr>
          <w:bCs/>
          <w:iCs/>
          <w:spacing w:val="-2"/>
          <w:sz w:val="22"/>
          <w:szCs w:val="22"/>
          <w:lang w:val="uk-UA" w:eastAsia="ru-RU"/>
        </w:rPr>
      </w:pPr>
      <w:r w:rsidRPr="00756E75">
        <w:rPr>
          <w:bCs/>
          <w:i/>
          <w:iCs/>
          <w:spacing w:val="-2"/>
          <w:sz w:val="22"/>
          <w:szCs w:val="22"/>
          <w:vertAlign w:val="superscript"/>
          <w:lang w:val="uk-UA" w:eastAsia="ru-RU"/>
        </w:rPr>
        <w:t>2</w:t>
      </w:r>
      <w:r w:rsidRPr="00756E75">
        <w:rPr>
          <w:bCs/>
          <w:i/>
          <w:iCs/>
          <w:spacing w:val="-2"/>
          <w:sz w:val="22"/>
          <w:szCs w:val="22"/>
          <w:lang w:val="uk-UA" w:eastAsia="ru-RU"/>
        </w:rPr>
        <w:t> Переважно у старих собак.</w:t>
      </w:r>
    </w:p>
    <w:p w:rsidR="00825F36" w:rsidRPr="00756E75" w:rsidRDefault="00825F36" w:rsidP="00825F36">
      <w:pPr>
        <w:tabs>
          <w:tab w:val="left" w:pos="567"/>
        </w:tabs>
        <w:spacing w:after="60"/>
        <w:jc w:val="both"/>
        <w:rPr>
          <w:bCs/>
          <w:iCs/>
          <w:spacing w:val="-2"/>
          <w:lang w:val="uk-UA" w:eastAsia="ru-RU"/>
        </w:rPr>
      </w:pPr>
      <w:r w:rsidRPr="00756E75">
        <w:rPr>
          <w:bCs/>
          <w:iCs/>
          <w:spacing w:val="-2"/>
          <w:lang w:val="uk-UA" w:eastAsia="ru-RU"/>
        </w:rPr>
        <w:t>Коти: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825F36" w:rsidRPr="00756E75" w:rsidTr="00825F36">
        <w:tc>
          <w:tcPr>
            <w:tcW w:w="5245" w:type="dxa"/>
            <w:shd w:val="clear" w:color="auto" w:fill="auto"/>
          </w:tcPr>
          <w:p w:rsidR="00825F36" w:rsidRPr="00756E75" w:rsidRDefault="00825F36" w:rsidP="00825F36">
            <w:pPr>
              <w:tabs>
                <w:tab w:val="left" w:pos="567"/>
              </w:tabs>
              <w:jc w:val="both"/>
              <w:rPr>
                <w:bCs/>
                <w:spacing w:val="-2"/>
                <w:lang w:val="uk-UA" w:eastAsia="ru-RU"/>
              </w:rPr>
            </w:pPr>
            <w:r w:rsidRPr="00756E75">
              <w:rPr>
                <w:bCs/>
                <w:spacing w:val="-2"/>
                <w:lang w:val="uk-UA" w:eastAsia="ru-RU"/>
              </w:rPr>
              <w:t>Дуже рідко (&lt; 1 тварина / 10 000 оброблених тварин, включаючи поодинокі випадки):</w:t>
            </w:r>
          </w:p>
        </w:tc>
        <w:tc>
          <w:tcPr>
            <w:tcW w:w="3969" w:type="dxa"/>
            <w:shd w:val="clear" w:color="auto" w:fill="auto"/>
          </w:tcPr>
          <w:p w:rsidR="00825F36" w:rsidRPr="00756E75" w:rsidRDefault="00825F36" w:rsidP="00825F36">
            <w:pPr>
              <w:tabs>
                <w:tab w:val="left" w:pos="567"/>
              </w:tabs>
              <w:jc w:val="both"/>
              <w:rPr>
                <w:bCs/>
                <w:spacing w:val="-2"/>
                <w:lang w:val="uk-UA" w:eastAsia="ru-RU"/>
              </w:rPr>
            </w:pPr>
            <w:r w:rsidRPr="00756E75">
              <w:rPr>
                <w:bCs/>
                <w:spacing w:val="-2"/>
                <w:lang w:val="uk-UA" w:eastAsia="ru-RU"/>
              </w:rPr>
              <w:t>Подразнення в місці застосування</w:t>
            </w:r>
            <w:r w:rsidRPr="00756E75">
              <w:rPr>
                <w:bCs/>
                <w:spacing w:val="-2"/>
                <w:vertAlign w:val="superscript"/>
                <w:lang w:val="uk-UA" w:eastAsia="ru-RU"/>
              </w:rPr>
              <w:t>1</w:t>
            </w:r>
            <w:r w:rsidRPr="00756E75">
              <w:rPr>
                <w:bCs/>
                <w:spacing w:val="-2"/>
                <w:lang w:val="uk-UA" w:eastAsia="ru-RU"/>
              </w:rPr>
              <w:t>;</w:t>
            </w:r>
          </w:p>
          <w:p w:rsidR="00825F36" w:rsidRPr="00756E75" w:rsidRDefault="00825F36" w:rsidP="00825F36">
            <w:pPr>
              <w:tabs>
                <w:tab w:val="left" w:pos="567"/>
              </w:tabs>
              <w:jc w:val="both"/>
              <w:rPr>
                <w:bCs/>
                <w:spacing w:val="-2"/>
                <w:lang w:val="uk-UA" w:eastAsia="ru-RU"/>
              </w:rPr>
            </w:pPr>
            <w:r w:rsidRPr="00756E75">
              <w:rPr>
                <w:bCs/>
                <w:spacing w:val="-2"/>
                <w:lang w:val="uk-UA" w:eastAsia="ru-RU"/>
              </w:rPr>
              <w:t>Неврологічні розлади (такі як атаксія та тремор)</w:t>
            </w:r>
            <w:r w:rsidRPr="00756E75">
              <w:rPr>
                <w:bCs/>
                <w:spacing w:val="-2"/>
                <w:vertAlign w:val="superscript"/>
                <w:lang w:val="uk-UA" w:eastAsia="ru-RU"/>
              </w:rPr>
              <w:t>2</w:t>
            </w:r>
            <w:r w:rsidRPr="00756E75">
              <w:rPr>
                <w:bCs/>
                <w:spacing w:val="-2"/>
                <w:lang w:val="uk-UA" w:eastAsia="ru-RU"/>
              </w:rPr>
              <w:t>.</w:t>
            </w:r>
          </w:p>
          <w:p w:rsidR="00825F36" w:rsidRPr="00756E75" w:rsidRDefault="00825F36" w:rsidP="00825F36">
            <w:pPr>
              <w:tabs>
                <w:tab w:val="left" w:pos="567"/>
              </w:tabs>
              <w:jc w:val="both"/>
              <w:rPr>
                <w:bCs/>
                <w:spacing w:val="-2"/>
                <w:lang w:val="uk-UA" w:eastAsia="ru-RU"/>
              </w:rPr>
            </w:pPr>
          </w:p>
        </w:tc>
      </w:tr>
    </w:tbl>
    <w:p w:rsidR="00825F36" w:rsidRPr="00756E75" w:rsidRDefault="00825F36" w:rsidP="007058FC">
      <w:pPr>
        <w:tabs>
          <w:tab w:val="left" w:pos="567"/>
        </w:tabs>
        <w:spacing w:before="60"/>
        <w:jc w:val="both"/>
        <w:rPr>
          <w:bCs/>
          <w:spacing w:val="-2"/>
          <w:sz w:val="22"/>
          <w:szCs w:val="22"/>
          <w:lang w:val="uk-UA" w:eastAsia="ru-RU"/>
        </w:rPr>
      </w:pPr>
      <w:r w:rsidRPr="00756E75">
        <w:rPr>
          <w:bCs/>
          <w:i/>
          <w:iCs/>
          <w:spacing w:val="-2"/>
          <w:sz w:val="22"/>
          <w:szCs w:val="22"/>
          <w:vertAlign w:val="superscript"/>
          <w:lang w:val="uk-UA" w:eastAsia="ru-RU"/>
        </w:rPr>
        <w:t>1</w:t>
      </w:r>
      <w:r w:rsidRPr="00756E75">
        <w:rPr>
          <w:bCs/>
          <w:i/>
          <w:iCs/>
          <w:spacing w:val="-2"/>
          <w:sz w:val="22"/>
          <w:szCs w:val="22"/>
          <w:lang w:val="uk-UA" w:eastAsia="ru-RU"/>
        </w:rPr>
        <w:t> Якщо це подразнення не зникає або посилюється, введення препарату слід припинити.</w:t>
      </w:r>
    </w:p>
    <w:p w:rsidR="00825F36" w:rsidRPr="00756E75" w:rsidRDefault="00825F36" w:rsidP="007058FC">
      <w:pPr>
        <w:tabs>
          <w:tab w:val="left" w:pos="567"/>
        </w:tabs>
        <w:spacing w:after="60"/>
        <w:jc w:val="both"/>
        <w:rPr>
          <w:bCs/>
          <w:spacing w:val="-2"/>
          <w:sz w:val="22"/>
          <w:szCs w:val="22"/>
          <w:lang w:val="uk-UA" w:eastAsia="ru-RU"/>
        </w:rPr>
      </w:pPr>
      <w:r w:rsidRPr="00756E75">
        <w:rPr>
          <w:bCs/>
          <w:i/>
          <w:iCs/>
          <w:spacing w:val="-2"/>
          <w:sz w:val="22"/>
          <w:szCs w:val="22"/>
          <w:vertAlign w:val="superscript"/>
          <w:lang w:val="uk-UA" w:eastAsia="ru-RU"/>
        </w:rPr>
        <w:t>2</w:t>
      </w:r>
      <w:r w:rsidRPr="00756E75">
        <w:rPr>
          <w:bCs/>
          <w:i/>
          <w:iCs/>
          <w:spacing w:val="-2"/>
          <w:sz w:val="22"/>
          <w:szCs w:val="22"/>
          <w:lang w:val="uk-UA" w:eastAsia="ru-RU"/>
        </w:rPr>
        <w:t> Якщо з’являться такі симптоми, застосування препарату слід припинити.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5.5 Особливі застереження при використанні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Перед застосуванням препарату необхідно перевірити цілісність барабанної перетинки.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 xml:space="preserve">Не залишайте залишки препарату на волосяному покриві (шерсті), щоб уникнути випадкового проковтування під час облизування </w:t>
      </w:r>
      <w:proofErr w:type="spellStart"/>
      <w:r w:rsidRPr="00756E75">
        <w:rPr>
          <w:bCs/>
          <w:spacing w:val="-2"/>
          <w:lang w:eastAsia="ru-RU"/>
        </w:rPr>
        <w:t>або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грумінгу</w:t>
      </w:r>
      <w:proofErr w:type="spellEnd"/>
      <w:r w:rsidRPr="00756E75">
        <w:rPr>
          <w:bCs/>
          <w:spacing w:val="-2"/>
          <w:lang w:eastAsia="ru-RU"/>
        </w:rPr>
        <w:t>.</w:t>
      </w:r>
      <w:r w:rsidRPr="00756E75">
        <w:rPr>
          <w:bCs/>
          <w:spacing w:val="-2"/>
          <w:lang w:val="uk-UA" w:eastAsia="ru-RU"/>
        </w:rPr>
        <w:t xml:space="preserve"> 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Рекомендовано п</w:t>
      </w:r>
      <w:proofErr w:type="spellStart"/>
      <w:r w:rsidRPr="00756E75">
        <w:rPr>
          <w:bCs/>
          <w:spacing w:val="-2"/>
          <w:lang w:eastAsia="ru-RU"/>
        </w:rPr>
        <w:t>еред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застосуванням</w:t>
      </w:r>
      <w:proofErr w:type="spellEnd"/>
      <w:r w:rsidRPr="00756E75">
        <w:rPr>
          <w:bCs/>
          <w:spacing w:val="-2"/>
          <w:lang w:eastAsia="ru-RU"/>
        </w:rPr>
        <w:t xml:space="preserve"> препарату провести тест на </w:t>
      </w:r>
      <w:proofErr w:type="spellStart"/>
      <w:r w:rsidRPr="00756E75">
        <w:rPr>
          <w:bCs/>
          <w:spacing w:val="-2"/>
          <w:lang w:eastAsia="ru-RU"/>
        </w:rPr>
        <w:t>чутливість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збудників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захворювання</w:t>
      </w:r>
      <w:proofErr w:type="spellEnd"/>
      <w:r w:rsidRPr="00756E75">
        <w:rPr>
          <w:bCs/>
          <w:spacing w:val="-2"/>
          <w:lang w:eastAsia="ru-RU"/>
        </w:rPr>
        <w:t xml:space="preserve"> до </w:t>
      </w:r>
      <w:proofErr w:type="spellStart"/>
      <w:r w:rsidRPr="00756E75">
        <w:rPr>
          <w:bCs/>
          <w:spacing w:val="-2"/>
          <w:lang w:eastAsia="ru-RU"/>
        </w:rPr>
        <w:t>діючих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речовин</w:t>
      </w:r>
      <w:proofErr w:type="spellEnd"/>
      <w:r w:rsidRPr="00756E75">
        <w:rPr>
          <w:bCs/>
          <w:spacing w:val="-2"/>
          <w:lang w:eastAsia="ru-RU"/>
        </w:rPr>
        <w:t xml:space="preserve"> препарату.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5.6 Використання під час вагітності, лактації, несучості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Безпека препарату під час вагітності та лактації у цільових видів тварин не встановлена.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 xml:space="preserve">Лабораторні дослідження на щурах, кролях та мавпах показали </w:t>
      </w:r>
      <w:proofErr w:type="spellStart"/>
      <w:r w:rsidRPr="00756E75">
        <w:rPr>
          <w:bCs/>
          <w:spacing w:val="-2"/>
          <w:lang w:val="uk-UA" w:eastAsia="ru-RU"/>
        </w:rPr>
        <w:t>тератогенну</w:t>
      </w:r>
      <w:proofErr w:type="spellEnd"/>
      <w:r w:rsidRPr="00756E75">
        <w:rPr>
          <w:bCs/>
          <w:spacing w:val="-2"/>
          <w:lang w:val="uk-UA" w:eastAsia="ru-RU"/>
        </w:rPr>
        <w:t xml:space="preserve"> та </w:t>
      </w:r>
      <w:proofErr w:type="spellStart"/>
      <w:r w:rsidRPr="00756E75">
        <w:rPr>
          <w:bCs/>
          <w:spacing w:val="-2"/>
          <w:lang w:val="uk-UA" w:eastAsia="ru-RU"/>
        </w:rPr>
        <w:t>репротоксичну</w:t>
      </w:r>
      <w:proofErr w:type="spellEnd"/>
      <w:r w:rsidRPr="00756E75">
        <w:rPr>
          <w:bCs/>
          <w:spacing w:val="-2"/>
          <w:lang w:val="uk-UA" w:eastAsia="ru-RU"/>
        </w:rPr>
        <w:t xml:space="preserve"> </w:t>
      </w:r>
      <w:r w:rsidRPr="00E14C6E">
        <w:rPr>
          <w:bCs/>
          <w:spacing w:val="-2"/>
          <w:lang w:val="uk-UA" w:eastAsia="ru-RU"/>
        </w:rPr>
        <w:t xml:space="preserve">дію </w:t>
      </w:r>
      <w:proofErr w:type="spellStart"/>
      <w:r w:rsidRPr="00E14C6E">
        <w:rPr>
          <w:lang w:val="uk-UA" w:eastAsia="ru-RU"/>
        </w:rPr>
        <w:t>триамцинолону</w:t>
      </w:r>
      <w:proofErr w:type="spellEnd"/>
      <w:r w:rsidRPr="002C5EFF">
        <w:rPr>
          <w:bCs/>
          <w:spacing w:val="-2"/>
          <w:lang w:val="uk-UA" w:eastAsia="ru-RU"/>
        </w:rPr>
        <w:t xml:space="preserve"> </w:t>
      </w:r>
      <w:proofErr w:type="spellStart"/>
      <w:r w:rsidRPr="00756E75">
        <w:rPr>
          <w:bCs/>
          <w:spacing w:val="-2"/>
          <w:lang w:val="uk-UA" w:eastAsia="ru-RU"/>
        </w:rPr>
        <w:t>ацетоніду</w:t>
      </w:r>
      <w:proofErr w:type="spellEnd"/>
      <w:r w:rsidRPr="00756E75">
        <w:rPr>
          <w:bCs/>
          <w:spacing w:val="-2"/>
          <w:lang w:val="uk-UA" w:eastAsia="ru-RU"/>
        </w:rPr>
        <w:t>.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Не застосовувати під час вагітності та лактації.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5.7 Взаємодія з іншими засобами та інші форми взаємодії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Даних немає.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5.8 Дози і способи введення тваринам різного віку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Cs/>
          <w:snapToGrid w:val="0"/>
          <w:lang w:val="uk-UA" w:eastAsia="ru-RU"/>
        </w:rPr>
      </w:pPr>
      <w:r w:rsidRPr="00756E75">
        <w:rPr>
          <w:bCs/>
          <w:snapToGrid w:val="0"/>
          <w:lang w:val="uk-UA" w:eastAsia="ru-RU"/>
        </w:rPr>
        <w:t xml:space="preserve">Зовнішньо. Перед застосуванням препарату </w:t>
      </w:r>
      <w:r w:rsidRPr="00756E75">
        <w:rPr>
          <w:bCs/>
          <w:spacing w:val="-2"/>
          <w:lang w:val="uk-UA" w:eastAsia="ru-RU"/>
        </w:rPr>
        <w:t>ОТІГЕЛЬ</w:t>
      </w:r>
      <w:r w:rsidRPr="00756E75">
        <w:rPr>
          <w:bCs/>
          <w:spacing w:val="-2"/>
          <w:vertAlign w:val="superscript"/>
          <w:lang w:val="uk-UA" w:eastAsia="ru-RU"/>
        </w:rPr>
        <w:t>®</w:t>
      </w:r>
      <w:r w:rsidRPr="00756E75">
        <w:rPr>
          <w:bCs/>
          <w:spacing w:val="-2"/>
          <w:lang w:val="uk-UA" w:eastAsia="ru-RU"/>
        </w:rPr>
        <w:t xml:space="preserve"> мазь вушна</w:t>
      </w:r>
      <w:r w:rsidRPr="00756E75">
        <w:rPr>
          <w:bCs/>
          <w:snapToGrid w:val="0"/>
          <w:lang w:val="uk-UA" w:eastAsia="ru-RU"/>
        </w:rPr>
        <w:t xml:space="preserve"> необхідно провести гігієнічну очистку зовнішніх слухових проходів. Для використання препарату необхідно приєднати м’яку насадку до алюмінієвої туби. У слуховий канал ввести невелику кількість препарату (розміром з горошину), потім обережно </w:t>
      </w:r>
      <w:proofErr w:type="spellStart"/>
      <w:r w:rsidRPr="00756E75">
        <w:rPr>
          <w:bCs/>
          <w:snapToGrid w:val="0"/>
          <w:lang w:val="uk-UA" w:eastAsia="ru-RU"/>
        </w:rPr>
        <w:t>розмасажувати</w:t>
      </w:r>
      <w:proofErr w:type="spellEnd"/>
      <w:r w:rsidRPr="00756E75">
        <w:rPr>
          <w:bCs/>
          <w:snapToGrid w:val="0"/>
          <w:lang w:val="uk-UA" w:eastAsia="ru-RU"/>
        </w:rPr>
        <w:t xml:space="preserve"> біля основи вуха. 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Cs/>
          <w:snapToGrid w:val="0"/>
          <w:lang w:val="uk-UA" w:eastAsia="ru-RU"/>
        </w:rPr>
      </w:pPr>
      <w:r w:rsidRPr="00756E75">
        <w:rPr>
          <w:bCs/>
          <w:snapToGrid w:val="0"/>
          <w:lang w:val="uk-UA" w:eastAsia="ru-RU"/>
        </w:rPr>
        <w:t xml:space="preserve">Кількість </w:t>
      </w:r>
      <w:proofErr w:type="spellStart"/>
      <w:r w:rsidRPr="00756E75">
        <w:rPr>
          <w:bCs/>
          <w:snapToGrid w:val="0"/>
          <w:lang w:val="uk-UA" w:eastAsia="ru-RU"/>
        </w:rPr>
        <w:t>введенного</w:t>
      </w:r>
      <w:proofErr w:type="spellEnd"/>
      <w:r w:rsidRPr="00756E75">
        <w:rPr>
          <w:bCs/>
          <w:snapToGrid w:val="0"/>
          <w:lang w:val="uk-UA" w:eastAsia="ru-RU"/>
        </w:rPr>
        <w:t xml:space="preserve"> препарату відповідає приблизно 0,3 г препарату, що містить 1050 МО </w:t>
      </w:r>
      <w:proofErr w:type="spellStart"/>
      <w:r w:rsidRPr="00756E75">
        <w:rPr>
          <w:bCs/>
          <w:snapToGrid w:val="0"/>
          <w:lang w:val="uk-UA" w:eastAsia="ru-RU"/>
        </w:rPr>
        <w:t>неоміцину</w:t>
      </w:r>
      <w:proofErr w:type="spellEnd"/>
      <w:r w:rsidRPr="00756E75">
        <w:rPr>
          <w:bCs/>
          <w:snapToGrid w:val="0"/>
          <w:lang w:val="uk-UA" w:eastAsia="ru-RU"/>
        </w:rPr>
        <w:t xml:space="preserve">, 3,0 мг </w:t>
      </w:r>
      <w:proofErr w:type="spellStart"/>
      <w:r w:rsidRPr="00756E75">
        <w:rPr>
          <w:bCs/>
          <w:snapToGrid w:val="0"/>
          <w:lang w:val="uk-UA" w:eastAsia="ru-RU"/>
        </w:rPr>
        <w:t>перметрину</w:t>
      </w:r>
      <w:proofErr w:type="spellEnd"/>
      <w:r w:rsidRPr="00756E75">
        <w:rPr>
          <w:bCs/>
          <w:snapToGrid w:val="0"/>
          <w:lang w:val="uk-UA" w:eastAsia="ru-RU"/>
        </w:rPr>
        <w:t xml:space="preserve">, 30 000 МО ністатину та 0,3 мг </w:t>
      </w:r>
      <w:proofErr w:type="spellStart"/>
      <w:r w:rsidRPr="00E14C6E">
        <w:rPr>
          <w:lang w:val="uk-UA" w:eastAsia="ru-RU"/>
        </w:rPr>
        <w:t>триамцинолону</w:t>
      </w:r>
      <w:proofErr w:type="spellEnd"/>
      <w:r w:rsidRPr="002C5EFF">
        <w:rPr>
          <w:bCs/>
          <w:snapToGrid w:val="0"/>
          <w:lang w:val="uk-UA" w:eastAsia="ru-RU"/>
        </w:rPr>
        <w:t xml:space="preserve"> </w:t>
      </w:r>
      <w:proofErr w:type="spellStart"/>
      <w:r w:rsidRPr="00756E75">
        <w:rPr>
          <w:bCs/>
          <w:snapToGrid w:val="0"/>
          <w:lang w:val="uk-UA" w:eastAsia="ru-RU"/>
        </w:rPr>
        <w:t>ацетоніду</w:t>
      </w:r>
      <w:proofErr w:type="spellEnd"/>
      <w:r w:rsidRPr="00756E75">
        <w:rPr>
          <w:bCs/>
          <w:snapToGrid w:val="0"/>
          <w:lang w:val="uk-UA" w:eastAsia="ru-RU"/>
        </w:rPr>
        <w:t>.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Cs/>
          <w:snapToGrid w:val="0"/>
          <w:lang w:val="uk-UA" w:eastAsia="ru-RU"/>
        </w:rPr>
      </w:pPr>
      <w:r w:rsidRPr="00756E75">
        <w:rPr>
          <w:bCs/>
          <w:snapToGrid w:val="0"/>
          <w:lang w:val="uk-UA" w:eastAsia="ru-RU"/>
        </w:rPr>
        <w:t xml:space="preserve">Видалити надлишок препарату біля вушної раковини. Препарат застосовують один раз на добу протягом </w:t>
      </w:r>
      <w:r w:rsidRPr="00756E75">
        <w:rPr>
          <w:bCs/>
          <w:snapToGrid w:val="0"/>
          <w:lang w:eastAsia="ru-RU"/>
        </w:rPr>
        <w:t xml:space="preserve">21 </w:t>
      </w:r>
      <w:proofErr w:type="spellStart"/>
      <w:r w:rsidRPr="00756E75">
        <w:rPr>
          <w:bCs/>
          <w:snapToGrid w:val="0"/>
          <w:lang w:eastAsia="ru-RU"/>
        </w:rPr>
        <w:t>доби</w:t>
      </w:r>
      <w:proofErr w:type="spellEnd"/>
      <w:r w:rsidRPr="00756E75">
        <w:rPr>
          <w:bCs/>
          <w:snapToGrid w:val="0"/>
          <w:lang w:val="uk-UA" w:eastAsia="ru-RU"/>
        </w:rPr>
        <w:t xml:space="preserve"> (період репродуктивного циклу кліщів </w:t>
      </w:r>
      <w:proofErr w:type="spellStart"/>
      <w:r w:rsidRPr="00756E75">
        <w:rPr>
          <w:bCs/>
          <w:i/>
          <w:snapToGrid w:val="0"/>
          <w:lang w:val="uk-UA" w:eastAsia="ru-RU"/>
        </w:rPr>
        <w:t>Otodectes</w:t>
      </w:r>
      <w:proofErr w:type="spellEnd"/>
      <w:r w:rsidRPr="00756E75">
        <w:rPr>
          <w:bCs/>
          <w:i/>
          <w:snapToGrid w:val="0"/>
          <w:lang w:val="uk-UA" w:eastAsia="ru-RU"/>
        </w:rPr>
        <w:t xml:space="preserve"> </w:t>
      </w:r>
      <w:proofErr w:type="spellStart"/>
      <w:r w:rsidRPr="00756E75">
        <w:rPr>
          <w:bCs/>
          <w:i/>
          <w:snapToGrid w:val="0"/>
          <w:lang w:val="uk-UA" w:eastAsia="ru-RU"/>
        </w:rPr>
        <w:t>cynotis</w:t>
      </w:r>
      <w:proofErr w:type="spellEnd"/>
      <w:r w:rsidRPr="00756E75">
        <w:rPr>
          <w:bCs/>
          <w:snapToGrid w:val="0"/>
          <w:lang w:val="uk-UA" w:eastAsia="ru-RU"/>
        </w:rPr>
        <w:t xml:space="preserve">). </w:t>
      </w:r>
    </w:p>
    <w:p w:rsidR="00C6030D" w:rsidRPr="00756E75" w:rsidRDefault="00C6030D" w:rsidP="00C6030D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5.9 Передозування (симптоми, невідкладні заходи, антидоти)</w:t>
      </w:r>
    </w:p>
    <w:p w:rsidR="003E1E7C" w:rsidRPr="00756E75" w:rsidRDefault="00C6030D" w:rsidP="00C6030D">
      <w:pPr>
        <w:tabs>
          <w:tab w:val="left" w:pos="567"/>
        </w:tabs>
        <w:spacing w:before="60" w:after="60"/>
        <w:jc w:val="both"/>
        <w:rPr>
          <w:snapToGrid w:val="0"/>
          <w:lang w:val="uk-UA" w:eastAsia="ru-RU"/>
        </w:rPr>
      </w:pPr>
      <w:r w:rsidRPr="00756E75">
        <w:rPr>
          <w:snapToGrid w:val="0"/>
          <w:lang w:val="uk-UA" w:eastAsia="ru-RU"/>
        </w:rPr>
        <w:t>У собак та котів зі здоровими вухами застосування доз, еквівалентних чотириразовій терапевтичній дозі, протягом подвійної рекомендованої тривалості лікування викликало незначне подразнення. У котів іноді можуть підвищуватися рівні АЛТ та АСТ, які після припинення лікування швидко повертаються до норми.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lastRenderedPageBreak/>
        <w:t>5.10 Спеціальні застереження</w:t>
      </w:r>
    </w:p>
    <w:p w:rsidR="007B350F" w:rsidRPr="00756E75" w:rsidRDefault="003E1E7C" w:rsidP="007B350F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Відсутні.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5.11 Період виведення (</w:t>
      </w:r>
      <w:proofErr w:type="spellStart"/>
      <w:r w:rsidRPr="00756E75">
        <w:rPr>
          <w:b/>
          <w:snapToGrid w:val="0"/>
          <w:lang w:val="uk-UA" w:eastAsia="ru-RU"/>
        </w:rPr>
        <w:t>каренція</w:t>
      </w:r>
      <w:proofErr w:type="spellEnd"/>
      <w:r w:rsidRPr="00756E75">
        <w:rPr>
          <w:b/>
          <w:snapToGrid w:val="0"/>
          <w:lang w:val="uk-UA" w:eastAsia="ru-RU"/>
        </w:rPr>
        <w:t>)</w:t>
      </w:r>
    </w:p>
    <w:p w:rsidR="007B350F" w:rsidRPr="00756E75" w:rsidRDefault="003E1E7C" w:rsidP="007B350F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Препарат застосовують для непродуктивних тварин.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5.12 Спеціальні застереження для осіб і обслуговуючого персоналу</w:t>
      </w:r>
    </w:p>
    <w:p w:rsidR="00F84C32" w:rsidRPr="00756E75" w:rsidRDefault="00F84C32" w:rsidP="00F84C32">
      <w:pPr>
        <w:tabs>
          <w:tab w:val="left" w:pos="567"/>
        </w:tabs>
        <w:spacing w:before="60" w:after="60"/>
        <w:jc w:val="both"/>
        <w:rPr>
          <w:bCs/>
          <w:spacing w:val="-2"/>
          <w:lang w:eastAsia="ru-RU"/>
        </w:rPr>
      </w:pPr>
      <w:proofErr w:type="spellStart"/>
      <w:r w:rsidRPr="00756E75">
        <w:rPr>
          <w:bCs/>
          <w:spacing w:val="-2"/>
          <w:lang w:eastAsia="ru-RU"/>
        </w:rPr>
        <w:t>Необхідно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дотримуватись</w:t>
      </w:r>
      <w:proofErr w:type="spellEnd"/>
      <w:r w:rsidRPr="00756E75">
        <w:rPr>
          <w:bCs/>
          <w:spacing w:val="-2"/>
          <w:lang w:eastAsia="ru-RU"/>
        </w:rPr>
        <w:t xml:space="preserve"> правил </w:t>
      </w:r>
      <w:proofErr w:type="spellStart"/>
      <w:r w:rsidRPr="00756E75">
        <w:rPr>
          <w:bCs/>
          <w:spacing w:val="-2"/>
          <w:lang w:eastAsia="ru-RU"/>
        </w:rPr>
        <w:t>роботи</w:t>
      </w:r>
      <w:proofErr w:type="spellEnd"/>
      <w:r w:rsidRPr="00756E75">
        <w:rPr>
          <w:bCs/>
          <w:spacing w:val="-2"/>
          <w:lang w:eastAsia="ru-RU"/>
        </w:rPr>
        <w:t xml:space="preserve"> з </w:t>
      </w:r>
      <w:proofErr w:type="spellStart"/>
      <w:r w:rsidRPr="00756E75">
        <w:rPr>
          <w:bCs/>
          <w:spacing w:val="-2"/>
          <w:lang w:eastAsia="ru-RU"/>
        </w:rPr>
        <w:t>ветеринарними</w:t>
      </w:r>
      <w:proofErr w:type="spellEnd"/>
      <w:r w:rsidRPr="00756E75">
        <w:rPr>
          <w:bCs/>
          <w:spacing w:val="-2"/>
          <w:lang w:eastAsia="ru-RU"/>
        </w:rPr>
        <w:t xml:space="preserve"> препаратами. </w:t>
      </w:r>
    </w:p>
    <w:p w:rsidR="00F84C32" w:rsidRPr="00756E75" w:rsidRDefault="00F84C32" w:rsidP="00F84C32">
      <w:pPr>
        <w:tabs>
          <w:tab w:val="left" w:pos="567"/>
        </w:tabs>
        <w:spacing w:before="60" w:after="60"/>
        <w:jc w:val="both"/>
        <w:rPr>
          <w:bCs/>
          <w:spacing w:val="-2"/>
          <w:lang w:eastAsia="ru-RU"/>
        </w:rPr>
      </w:pPr>
      <w:r w:rsidRPr="00756E75">
        <w:rPr>
          <w:bCs/>
          <w:spacing w:val="-2"/>
          <w:lang w:val="uk-UA" w:eastAsia="ru-RU"/>
        </w:rPr>
        <w:t>Під час роботи</w:t>
      </w:r>
      <w:r w:rsidRPr="00756E75">
        <w:rPr>
          <w:bCs/>
          <w:spacing w:val="-2"/>
          <w:lang w:eastAsia="ru-RU"/>
        </w:rPr>
        <w:t xml:space="preserve"> з препаратом персоналу </w:t>
      </w:r>
      <w:proofErr w:type="spellStart"/>
      <w:r w:rsidRPr="00756E75">
        <w:rPr>
          <w:bCs/>
          <w:spacing w:val="-2"/>
          <w:lang w:eastAsia="ru-RU"/>
        </w:rPr>
        <w:t>рекомендується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користуватись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гумовими</w:t>
      </w:r>
      <w:proofErr w:type="spellEnd"/>
      <w:r w:rsidRPr="00756E75">
        <w:rPr>
          <w:bCs/>
          <w:spacing w:val="-2"/>
          <w:lang w:eastAsia="ru-RU"/>
        </w:rPr>
        <w:t xml:space="preserve"> рукавичками. </w:t>
      </w:r>
      <w:proofErr w:type="spellStart"/>
      <w:r w:rsidRPr="00756E75">
        <w:rPr>
          <w:bCs/>
          <w:spacing w:val="-2"/>
          <w:lang w:eastAsia="ru-RU"/>
        </w:rPr>
        <w:t>Після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закінчення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роботи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необхідно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ретельно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помити</w:t>
      </w:r>
      <w:proofErr w:type="spellEnd"/>
      <w:r w:rsidRPr="00756E75">
        <w:rPr>
          <w:bCs/>
          <w:spacing w:val="-2"/>
          <w:lang w:eastAsia="ru-RU"/>
        </w:rPr>
        <w:t xml:space="preserve"> руки. </w:t>
      </w:r>
    </w:p>
    <w:p w:rsidR="00F84C32" w:rsidRPr="00756E75" w:rsidRDefault="00F84C32" w:rsidP="00F84C32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eastAsia="ru-RU"/>
        </w:rPr>
        <w:t xml:space="preserve">У </w:t>
      </w:r>
      <w:proofErr w:type="spellStart"/>
      <w:r w:rsidRPr="00756E75">
        <w:rPr>
          <w:bCs/>
          <w:spacing w:val="-2"/>
          <w:lang w:eastAsia="ru-RU"/>
        </w:rPr>
        <w:t>разі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випадкового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проковтування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r w:rsidRPr="00756E75">
        <w:rPr>
          <w:bCs/>
          <w:spacing w:val="-2"/>
          <w:lang w:val="uk-UA" w:eastAsia="ru-RU"/>
        </w:rPr>
        <w:t xml:space="preserve">необхідно звернутись </w:t>
      </w:r>
      <w:r w:rsidRPr="00756E75">
        <w:rPr>
          <w:bCs/>
          <w:spacing w:val="-2"/>
          <w:lang w:eastAsia="ru-RU"/>
        </w:rPr>
        <w:t xml:space="preserve">до </w:t>
      </w:r>
      <w:proofErr w:type="spellStart"/>
      <w:r w:rsidRPr="00756E75">
        <w:rPr>
          <w:bCs/>
          <w:spacing w:val="-2"/>
          <w:lang w:eastAsia="ru-RU"/>
        </w:rPr>
        <w:t>лікаря</w:t>
      </w:r>
      <w:proofErr w:type="spellEnd"/>
      <w:r w:rsidRPr="00756E75">
        <w:rPr>
          <w:bCs/>
          <w:spacing w:val="-2"/>
          <w:lang w:eastAsia="ru-RU"/>
        </w:rPr>
        <w:t xml:space="preserve"> та пока</w:t>
      </w:r>
      <w:proofErr w:type="spellStart"/>
      <w:r w:rsidRPr="00756E75">
        <w:rPr>
          <w:bCs/>
          <w:spacing w:val="-2"/>
          <w:lang w:val="uk-UA" w:eastAsia="ru-RU"/>
        </w:rPr>
        <w:t>зати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йому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інструкцію</w:t>
      </w:r>
      <w:proofErr w:type="spellEnd"/>
      <w:r w:rsidRPr="00756E75">
        <w:rPr>
          <w:bCs/>
          <w:spacing w:val="-2"/>
          <w:lang w:eastAsia="ru-RU"/>
        </w:rPr>
        <w:t>.</w:t>
      </w:r>
      <w:r w:rsidRPr="00756E75">
        <w:rPr>
          <w:bCs/>
          <w:spacing w:val="-2"/>
          <w:lang w:val="uk-UA" w:eastAsia="ru-RU"/>
        </w:rPr>
        <w:t xml:space="preserve"> </w:t>
      </w:r>
    </w:p>
    <w:p w:rsidR="007B350F" w:rsidRPr="00756E75" w:rsidRDefault="00F84C32" w:rsidP="00F84C32">
      <w:pPr>
        <w:tabs>
          <w:tab w:val="left" w:pos="567"/>
        </w:tabs>
        <w:spacing w:before="60" w:after="60"/>
        <w:jc w:val="both"/>
        <w:rPr>
          <w:bCs/>
          <w:spacing w:val="-2"/>
          <w:lang w:eastAsia="ru-RU"/>
        </w:rPr>
      </w:pPr>
      <w:r w:rsidRPr="00756E75">
        <w:rPr>
          <w:bCs/>
          <w:spacing w:val="-2"/>
          <w:lang w:eastAsia="ru-RU"/>
        </w:rPr>
        <w:t xml:space="preserve">Людям з </w:t>
      </w:r>
      <w:proofErr w:type="spellStart"/>
      <w:r w:rsidRPr="00756E75">
        <w:rPr>
          <w:bCs/>
          <w:spacing w:val="-2"/>
          <w:lang w:eastAsia="ru-RU"/>
        </w:rPr>
        <w:t>відомою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гіперчутливістю</w:t>
      </w:r>
      <w:proofErr w:type="spellEnd"/>
      <w:r w:rsidRPr="00756E75">
        <w:rPr>
          <w:bCs/>
          <w:spacing w:val="-2"/>
          <w:lang w:eastAsia="ru-RU"/>
        </w:rPr>
        <w:t xml:space="preserve"> до будь-</w:t>
      </w:r>
      <w:proofErr w:type="spellStart"/>
      <w:r w:rsidRPr="00756E75">
        <w:rPr>
          <w:bCs/>
          <w:spacing w:val="-2"/>
          <w:lang w:eastAsia="ru-RU"/>
        </w:rPr>
        <w:t>якого</w:t>
      </w:r>
      <w:proofErr w:type="spellEnd"/>
      <w:r w:rsidRPr="00756E75">
        <w:rPr>
          <w:bCs/>
          <w:spacing w:val="-2"/>
          <w:lang w:eastAsia="ru-RU"/>
        </w:rPr>
        <w:t xml:space="preserve"> з </w:t>
      </w:r>
      <w:proofErr w:type="spellStart"/>
      <w:r w:rsidRPr="00756E75">
        <w:rPr>
          <w:bCs/>
          <w:spacing w:val="-2"/>
          <w:lang w:eastAsia="ru-RU"/>
        </w:rPr>
        <w:t>компонентів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слід</w:t>
      </w:r>
      <w:proofErr w:type="spellEnd"/>
      <w:r w:rsidRPr="00756E75">
        <w:rPr>
          <w:bCs/>
          <w:spacing w:val="-2"/>
          <w:lang w:eastAsia="ru-RU"/>
        </w:rPr>
        <w:t xml:space="preserve"> </w:t>
      </w:r>
      <w:proofErr w:type="spellStart"/>
      <w:r w:rsidRPr="00756E75">
        <w:rPr>
          <w:bCs/>
          <w:spacing w:val="-2"/>
          <w:lang w:eastAsia="ru-RU"/>
        </w:rPr>
        <w:t>уникати</w:t>
      </w:r>
      <w:proofErr w:type="spellEnd"/>
      <w:r w:rsidRPr="00756E75">
        <w:rPr>
          <w:bCs/>
          <w:spacing w:val="-2"/>
          <w:lang w:eastAsia="ru-RU"/>
        </w:rPr>
        <w:t xml:space="preserve"> контакту з </w:t>
      </w:r>
      <w:r w:rsidRPr="00756E75">
        <w:rPr>
          <w:bCs/>
          <w:spacing w:val="-2"/>
          <w:lang w:val="uk-UA" w:eastAsia="ru-RU"/>
        </w:rPr>
        <w:t>препаратом.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6. Фармацевтичні особливості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6.1 Форми несумісності (основні)</w:t>
      </w:r>
    </w:p>
    <w:p w:rsidR="00F84C32" w:rsidRPr="00756E75" w:rsidRDefault="00F84C32" w:rsidP="00F84C32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Відсутні.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6.2 Термін придатності</w:t>
      </w:r>
    </w:p>
    <w:p w:rsidR="00F407C9" w:rsidRPr="00756E75" w:rsidRDefault="00F407C9" w:rsidP="00F407C9">
      <w:pPr>
        <w:tabs>
          <w:tab w:val="left" w:pos="567"/>
        </w:tabs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2 роки в закритій оригін</w:t>
      </w:r>
      <w:r w:rsidR="00645033">
        <w:rPr>
          <w:bCs/>
          <w:spacing w:val="-2"/>
          <w:lang w:val="uk-UA" w:eastAsia="ru-RU"/>
        </w:rPr>
        <w:t>альній упаковці. Не більше 28 д</w:t>
      </w:r>
      <w:r w:rsidRPr="00756E75">
        <w:rPr>
          <w:bCs/>
          <w:spacing w:val="-2"/>
          <w:lang w:val="uk-UA" w:eastAsia="ru-RU"/>
        </w:rPr>
        <w:t>і</w:t>
      </w:r>
      <w:r w:rsidR="00645033">
        <w:rPr>
          <w:bCs/>
          <w:spacing w:val="-2"/>
          <w:lang w:val="uk-UA" w:eastAsia="ru-RU"/>
        </w:rPr>
        <w:t>б</w:t>
      </w:r>
      <w:r w:rsidRPr="00756E75">
        <w:rPr>
          <w:bCs/>
          <w:spacing w:val="-2"/>
          <w:lang w:val="uk-UA" w:eastAsia="ru-RU"/>
        </w:rPr>
        <w:t xml:space="preserve"> після відкриття туби.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6.3 Особливі заходи зберігання</w:t>
      </w:r>
    </w:p>
    <w:p w:rsidR="00F407C9" w:rsidRPr="00756E75" w:rsidRDefault="00F407C9" w:rsidP="007B350F">
      <w:pPr>
        <w:widowControl w:val="0"/>
        <w:jc w:val="both"/>
        <w:rPr>
          <w:snapToGrid w:val="0"/>
          <w:lang w:val="uk-UA" w:eastAsia="ru-RU"/>
        </w:rPr>
      </w:pPr>
      <w:r w:rsidRPr="00756E75">
        <w:rPr>
          <w:bCs/>
          <w:snapToGrid w:val="0"/>
          <w:lang w:val="uk-UA" w:eastAsia="ru-RU"/>
        </w:rPr>
        <w:t>Зберігати в сухому, захищеному від прямих сонячних променів місці, при температурі не вище 25 °С</w:t>
      </w:r>
      <w:r w:rsidR="002E5444" w:rsidRPr="00756E75">
        <w:rPr>
          <w:bCs/>
          <w:snapToGrid w:val="0"/>
          <w:lang w:val="uk-UA" w:eastAsia="ru-RU"/>
        </w:rPr>
        <w:t>. Зберігати</w:t>
      </w:r>
      <w:r w:rsidRPr="00756E75">
        <w:rPr>
          <w:bCs/>
          <w:snapToGrid w:val="0"/>
          <w:lang w:val="uk-UA" w:eastAsia="ru-RU"/>
        </w:rPr>
        <w:t xml:space="preserve"> в недоступному для дітей місці.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6.4 Природа і склад контейнера первинного пакування</w:t>
      </w:r>
    </w:p>
    <w:p w:rsidR="00F407C9" w:rsidRPr="00756E75" w:rsidRDefault="00F407C9" w:rsidP="00F407C9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 xml:space="preserve">По 15 г в алюмінієву тубу з довгим носиком, з пластиковим </w:t>
      </w:r>
      <w:proofErr w:type="spellStart"/>
      <w:r w:rsidRPr="00756E75">
        <w:rPr>
          <w:bCs/>
          <w:spacing w:val="-2"/>
          <w:lang w:val="uk-UA" w:eastAsia="ru-RU"/>
        </w:rPr>
        <w:t>бушоном</w:t>
      </w:r>
      <w:proofErr w:type="spellEnd"/>
      <w:r w:rsidRPr="00756E75">
        <w:rPr>
          <w:bCs/>
          <w:spacing w:val="-2"/>
          <w:lang w:val="uk-UA" w:eastAsia="ru-RU"/>
        </w:rPr>
        <w:t xml:space="preserve">. </w:t>
      </w:r>
    </w:p>
    <w:p w:rsidR="007B350F" w:rsidRPr="00756E75" w:rsidRDefault="00F407C9" w:rsidP="00F407C9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По одній тубі разом з листівкою-вкладкою і м’якою насадкою поміщеною у пачку з картону</w:t>
      </w:r>
      <w:r w:rsidRPr="00756E75">
        <w:rPr>
          <w:bCs/>
          <w:spacing w:val="-2"/>
          <w:lang w:eastAsia="ru-RU"/>
        </w:rPr>
        <w:t>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6.5 Особливі заходи безпеки при поводженні з невикористаним препаратом або із його залишками</w:t>
      </w:r>
    </w:p>
    <w:p w:rsidR="007B350F" w:rsidRPr="00756E75" w:rsidRDefault="00F407C9" w:rsidP="007B350F">
      <w:pPr>
        <w:tabs>
          <w:tab w:val="left" w:pos="567"/>
        </w:tabs>
        <w:spacing w:before="60" w:after="60"/>
        <w:jc w:val="both"/>
        <w:rPr>
          <w:bCs/>
          <w:spacing w:val="-2"/>
          <w:lang w:val="uk-UA" w:eastAsia="ru-RU"/>
        </w:rPr>
      </w:pPr>
      <w:r w:rsidRPr="00756E75">
        <w:rPr>
          <w:bCs/>
          <w:spacing w:val="-2"/>
          <w:lang w:val="uk-UA" w:eastAsia="ru-RU"/>
        </w:rPr>
        <w:t>Порожню упаковку та залишки невикористаного препарату потрібно утилізувати згідно чинного законодавства.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7. Назва і місцезнаходження власника реєстраційного посвідчення</w:t>
      </w:r>
    </w:p>
    <w:p w:rsidR="00BF4181" w:rsidRPr="00756E75" w:rsidRDefault="00BF4181" w:rsidP="00BF4181">
      <w:pPr>
        <w:widowControl w:val="0"/>
        <w:jc w:val="both"/>
        <w:rPr>
          <w:bCs/>
          <w:lang w:val="uk-UA" w:eastAsia="ru-RU"/>
        </w:rPr>
      </w:pPr>
      <w:r w:rsidRPr="00756E75">
        <w:rPr>
          <w:bCs/>
          <w:lang w:val="uk-UA" w:eastAsia="ru-RU"/>
        </w:rPr>
        <w:t>ТОВ «АРТЕРІУМ ЛТД»</w:t>
      </w:r>
    </w:p>
    <w:p w:rsidR="007B350F" w:rsidRPr="00756E75" w:rsidRDefault="00BF4181" w:rsidP="00BF4181">
      <w:pPr>
        <w:widowControl w:val="0"/>
        <w:jc w:val="both"/>
        <w:rPr>
          <w:snapToGrid w:val="0"/>
          <w:szCs w:val="20"/>
          <w:lang w:val="uk-UA" w:eastAsia="en-US"/>
        </w:rPr>
      </w:pPr>
      <w:r w:rsidRPr="00756E75">
        <w:rPr>
          <w:lang w:val="uk-UA" w:eastAsia="ru-RU"/>
        </w:rPr>
        <w:t>01032, Україна, м. Київ, вул. Саксаганського, 139.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8. Назва і місцезнаходження виробника</w:t>
      </w:r>
    </w:p>
    <w:p w:rsidR="00BF4181" w:rsidRPr="00756E75" w:rsidRDefault="00BF4181" w:rsidP="00BF4181">
      <w:pPr>
        <w:widowControl w:val="0"/>
        <w:jc w:val="both"/>
        <w:rPr>
          <w:bCs/>
          <w:lang w:val="uk-UA" w:eastAsia="ru-RU"/>
        </w:rPr>
      </w:pPr>
      <w:r w:rsidRPr="00756E75">
        <w:rPr>
          <w:bCs/>
          <w:lang w:val="uk-UA" w:eastAsia="ru-RU"/>
        </w:rPr>
        <w:t>ПАТ «</w:t>
      </w:r>
      <w:proofErr w:type="spellStart"/>
      <w:r w:rsidRPr="00756E75">
        <w:rPr>
          <w:bCs/>
          <w:lang w:val="uk-UA" w:eastAsia="ru-RU"/>
        </w:rPr>
        <w:t>Київмедпрепарат</w:t>
      </w:r>
      <w:proofErr w:type="spellEnd"/>
      <w:r w:rsidRPr="00756E75">
        <w:rPr>
          <w:bCs/>
          <w:lang w:val="uk-UA" w:eastAsia="ru-RU"/>
        </w:rPr>
        <w:t>»</w:t>
      </w:r>
    </w:p>
    <w:p w:rsidR="007B350F" w:rsidRPr="00756E75" w:rsidRDefault="00BF4181" w:rsidP="00BF4181">
      <w:pPr>
        <w:widowControl w:val="0"/>
        <w:jc w:val="both"/>
        <w:rPr>
          <w:snapToGrid w:val="0"/>
          <w:szCs w:val="20"/>
          <w:lang w:val="uk-UA" w:eastAsia="en-US"/>
        </w:rPr>
      </w:pPr>
      <w:r w:rsidRPr="00756E75">
        <w:rPr>
          <w:lang w:val="uk-UA" w:eastAsia="ru-RU"/>
        </w:rPr>
        <w:t>01032, Україна, м. Київ, вул. Саксаганського, 139.</w:t>
      </w:r>
    </w:p>
    <w:p w:rsidR="007B350F" w:rsidRPr="00756E75" w:rsidRDefault="007B350F" w:rsidP="007B350F">
      <w:pPr>
        <w:tabs>
          <w:tab w:val="left" w:pos="567"/>
        </w:tabs>
        <w:spacing w:before="60" w:after="60"/>
        <w:jc w:val="both"/>
        <w:rPr>
          <w:b/>
          <w:snapToGrid w:val="0"/>
          <w:lang w:val="uk-UA" w:eastAsia="ru-RU"/>
        </w:rPr>
      </w:pPr>
      <w:r w:rsidRPr="00756E75">
        <w:rPr>
          <w:b/>
          <w:snapToGrid w:val="0"/>
          <w:lang w:val="uk-UA" w:eastAsia="ru-RU"/>
        </w:rPr>
        <w:t>9. Додаткова інформація</w:t>
      </w:r>
    </w:p>
    <w:p w:rsidR="000F4B37" w:rsidRPr="00756E75" w:rsidRDefault="000F4B37" w:rsidP="00301DC9">
      <w:pPr>
        <w:tabs>
          <w:tab w:val="left" w:pos="567"/>
        </w:tabs>
        <w:spacing w:before="60" w:after="60"/>
        <w:jc w:val="both"/>
        <w:rPr>
          <w:snapToGrid w:val="0"/>
          <w:lang w:val="uk-UA" w:eastAsia="ru-RU"/>
        </w:rPr>
      </w:pPr>
    </w:p>
    <w:p w:rsidR="000F4B37" w:rsidRPr="00756E75" w:rsidRDefault="000F4B37" w:rsidP="00301DC9">
      <w:pPr>
        <w:tabs>
          <w:tab w:val="left" w:pos="567"/>
        </w:tabs>
        <w:spacing w:before="60" w:after="60"/>
        <w:jc w:val="both"/>
        <w:rPr>
          <w:snapToGrid w:val="0"/>
          <w:lang w:val="uk-UA" w:eastAsia="ru-RU"/>
        </w:rPr>
      </w:pPr>
    </w:p>
    <w:p w:rsidR="000F4B37" w:rsidRPr="00756E75" w:rsidRDefault="000F4B37">
      <w:pPr>
        <w:spacing w:after="160" w:line="259" w:lineRule="auto"/>
        <w:rPr>
          <w:lang w:val="uk-UA" w:eastAsia="ru-RU"/>
        </w:rPr>
      </w:pPr>
    </w:p>
    <w:sectPr w:rsidR="000F4B37" w:rsidRPr="00756E75" w:rsidSect="005F1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A8" w:rsidRDefault="00AC16A8" w:rsidP="008016AF">
      <w:r>
        <w:separator/>
      </w:r>
    </w:p>
  </w:endnote>
  <w:endnote w:type="continuationSeparator" w:id="0">
    <w:p w:rsidR="00AC16A8" w:rsidRDefault="00AC16A8" w:rsidP="0080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29" w:rsidRDefault="005F17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 w:displacedByCustomXml="next"/>
  <w:bookmarkEnd w:id="0" w:displacedByCustomXml="next"/>
  <w:sdt>
    <w:sdtPr>
      <w:id w:val="1219548129"/>
      <w:docPartObj>
        <w:docPartGallery w:val="Page Numbers (Bottom of Page)"/>
        <w:docPartUnique/>
      </w:docPartObj>
    </w:sdtPr>
    <w:sdtContent>
      <w:p w:rsidR="005F1729" w:rsidRDefault="005F17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1729" w:rsidRDefault="005F172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245361"/>
      <w:docPartObj>
        <w:docPartGallery w:val="Page Numbers (Bottom of Page)"/>
        <w:docPartUnique/>
      </w:docPartObj>
    </w:sdtPr>
    <w:sdtContent>
      <w:p w:rsidR="005F1729" w:rsidRDefault="005F17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1729" w:rsidRDefault="005F17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A8" w:rsidRDefault="00AC16A8" w:rsidP="008016AF">
      <w:r>
        <w:separator/>
      </w:r>
    </w:p>
  </w:footnote>
  <w:footnote w:type="continuationSeparator" w:id="0">
    <w:p w:rsidR="00AC16A8" w:rsidRDefault="00AC16A8" w:rsidP="00801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29" w:rsidRDefault="005F17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A8" w:rsidRPr="00AE09E3" w:rsidRDefault="00AC16A8" w:rsidP="00AE09E3">
    <w:pPr>
      <w:widowControl w:val="0"/>
      <w:ind w:left="5760" w:firstLine="720"/>
      <w:jc w:val="right"/>
      <w:rPr>
        <w:color w:val="000000"/>
        <w:lang w:val="uk-UA"/>
      </w:rPr>
    </w:pPr>
    <w:r>
      <w:rPr>
        <w:color w:val="000000"/>
        <w:lang w:val="uk-UA"/>
      </w:rPr>
      <w:t>Продовження додатку</w:t>
    </w:r>
    <w:r w:rsidRPr="00AE09E3">
      <w:rPr>
        <w:color w:val="000000"/>
        <w:lang w:val="uk-UA"/>
      </w:rPr>
      <w:t xml:space="preserve"> 1</w:t>
    </w:r>
  </w:p>
  <w:p w:rsidR="00AC16A8" w:rsidRPr="00AE09E3" w:rsidRDefault="00AC16A8" w:rsidP="00347B64">
    <w:pPr>
      <w:widowControl w:val="0"/>
      <w:jc w:val="right"/>
      <w:rPr>
        <w:color w:val="000000"/>
        <w:lang w:val="uk-UA"/>
      </w:rPr>
    </w:pPr>
    <w:r w:rsidRPr="00AE09E3">
      <w:rPr>
        <w:color w:val="000000"/>
        <w:lang w:val="uk-UA"/>
      </w:rPr>
      <w:t>до реєстраційного посвідчення AB-09423-01-20</w:t>
    </w:r>
  </w:p>
  <w:p w:rsidR="00AC16A8" w:rsidRPr="008D32D8" w:rsidRDefault="00AC16A8" w:rsidP="00AE09E3">
    <w:pPr>
      <w:widowControl w:val="0"/>
      <w:ind w:left="5040"/>
      <w:jc w:val="right"/>
      <w:rPr>
        <w:color w:val="000000"/>
      </w:rPr>
    </w:pPr>
  </w:p>
  <w:p w:rsidR="00AC16A8" w:rsidRPr="008D32D8" w:rsidRDefault="00AC16A8" w:rsidP="00AE09E3">
    <w:pPr>
      <w:widowControl w:val="0"/>
      <w:ind w:left="5040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A8" w:rsidRPr="00AE09E3" w:rsidRDefault="00AC16A8" w:rsidP="0046472F">
    <w:pPr>
      <w:widowControl w:val="0"/>
      <w:ind w:left="5760" w:firstLine="720"/>
      <w:jc w:val="right"/>
      <w:rPr>
        <w:color w:val="000000"/>
        <w:lang w:val="uk-UA"/>
      </w:rPr>
    </w:pPr>
    <w:r>
      <w:rPr>
        <w:color w:val="000000"/>
        <w:lang w:val="uk-UA"/>
      </w:rPr>
      <w:t>Додаток</w:t>
    </w:r>
    <w:r w:rsidRPr="00AE09E3">
      <w:rPr>
        <w:color w:val="000000"/>
        <w:lang w:val="uk-UA"/>
      </w:rPr>
      <w:t xml:space="preserve"> 1</w:t>
    </w:r>
  </w:p>
  <w:p w:rsidR="00AC16A8" w:rsidRPr="00AE09E3" w:rsidRDefault="00AC16A8" w:rsidP="0046472F">
    <w:pPr>
      <w:widowControl w:val="0"/>
      <w:jc w:val="right"/>
      <w:rPr>
        <w:color w:val="000000"/>
        <w:lang w:val="uk-UA"/>
      </w:rPr>
    </w:pPr>
    <w:r w:rsidRPr="00AE09E3">
      <w:rPr>
        <w:color w:val="000000"/>
        <w:lang w:val="uk-UA"/>
      </w:rPr>
      <w:t>до реєстраційного посвідчення AB-09423-01-20</w:t>
    </w:r>
  </w:p>
  <w:p w:rsidR="00AC16A8" w:rsidRPr="0046472F" w:rsidRDefault="00AC16A8" w:rsidP="0046472F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218"/>
    <w:multiLevelType w:val="hybridMultilevel"/>
    <w:tmpl w:val="72BC34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2354C"/>
    <w:multiLevelType w:val="hybridMultilevel"/>
    <w:tmpl w:val="92CE6E8A"/>
    <w:lvl w:ilvl="0" w:tplc="E34EDF14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B8"/>
    <w:rsid w:val="00013465"/>
    <w:rsid w:val="00037845"/>
    <w:rsid w:val="000939B6"/>
    <w:rsid w:val="000F4B37"/>
    <w:rsid w:val="001150BB"/>
    <w:rsid w:val="00130C76"/>
    <w:rsid w:val="001437E9"/>
    <w:rsid w:val="00160C23"/>
    <w:rsid w:val="00160D66"/>
    <w:rsid w:val="00165596"/>
    <w:rsid w:val="001A5B19"/>
    <w:rsid w:val="001B0A63"/>
    <w:rsid w:val="001F4CD5"/>
    <w:rsid w:val="00210369"/>
    <w:rsid w:val="00255CC9"/>
    <w:rsid w:val="002C25D2"/>
    <w:rsid w:val="002C5EFF"/>
    <w:rsid w:val="002D5E13"/>
    <w:rsid w:val="002E5444"/>
    <w:rsid w:val="00301DC9"/>
    <w:rsid w:val="003363BD"/>
    <w:rsid w:val="0034633D"/>
    <w:rsid w:val="00347315"/>
    <w:rsid w:val="00347B64"/>
    <w:rsid w:val="003714B4"/>
    <w:rsid w:val="00375DDC"/>
    <w:rsid w:val="003B144D"/>
    <w:rsid w:val="003B404E"/>
    <w:rsid w:val="003E1E7C"/>
    <w:rsid w:val="003E332F"/>
    <w:rsid w:val="00403D7B"/>
    <w:rsid w:val="00411B62"/>
    <w:rsid w:val="00415A8C"/>
    <w:rsid w:val="00447D8A"/>
    <w:rsid w:val="00452917"/>
    <w:rsid w:val="0046358B"/>
    <w:rsid w:val="0046472F"/>
    <w:rsid w:val="00470707"/>
    <w:rsid w:val="00494A99"/>
    <w:rsid w:val="004B05AB"/>
    <w:rsid w:val="004F13A6"/>
    <w:rsid w:val="00565763"/>
    <w:rsid w:val="00577F2E"/>
    <w:rsid w:val="005A47CD"/>
    <w:rsid w:val="005A7FA2"/>
    <w:rsid w:val="005B6E6C"/>
    <w:rsid w:val="005F1729"/>
    <w:rsid w:val="005F4478"/>
    <w:rsid w:val="00607E25"/>
    <w:rsid w:val="006144A6"/>
    <w:rsid w:val="00645021"/>
    <w:rsid w:val="00645033"/>
    <w:rsid w:val="006C39A2"/>
    <w:rsid w:val="006C6C1A"/>
    <w:rsid w:val="006D504C"/>
    <w:rsid w:val="006F1D08"/>
    <w:rsid w:val="006F293E"/>
    <w:rsid w:val="007058FC"/>
    <w:rsid w:val="00745775"/>
    <w:rsid w:val="00756E75"/>
    <w:rsid w:val="007B15FF"/>
    <w:rsid w:val="007B350F"/>
    <w:rsid w:val="007D7AD8"/>
    <w:rsid w:val="008016AF"/>
    <w:rsid w:val="00803BC2"/>
    <w:rsid w:val="00825F36"/>
    <w:rsid w:val="00851A3F"/>
    <w:rsid w:val="008919AF"/>
    <w:rsid w:val="008D32D8"/>
    <w:rsid w:val="008D5927"/>
    <w:rsid w:val="00930E27"/>
    <w:rsid w:val="00932370"/>
    <w:rsid w:val="00966372"/>
    <w:rsid w:val="00974F62"/>
    <w:rsid w:val="00A055EC"/>
    <w:rsid w:val="00A2136E"/>
    <w:rsid w:val="00A3514F"/>
    <w:rsid w:val="00A579E5"/>
    <w:rsid w:val="00A90748"/>
    <w:rsid w:val="00AC16A8"/>
    <w:rsid w:val="00AC5064"/>
    <w:rsid w:val="00AE09E3"/>
    <w:rsid w:val="00B16640"/>
    <w:rsid w:val="00B16CB8"/>
    <w:rsid w:val="00B40A3D"/>
    <w:rsid w:val="00B47DA2"/>
    <w:rsid w:val="00B50FA1"/>
    <w:rsid w:val="00B64FE4"/>
    <w:rsid w:val="00BE767F"/>
    <w:rsid w:val="00BF4181"/>
    <w:rsid w:val="00C01978"/>
    <w:rsid w:val="00C119FC"/>
    <w:rsid w:val="00C425A1"/>
    <w:rsid w:val="00C6030D"/>
    <w:rsid w:val="00C660C5"/>
    <w:rsid w:val="00C824C1"/>
    <w:rsid w:val="00C96E30"/>
    <w:rsid w:val="00CB682C"/>
    <w:rsid w:val="00CF05A0"/>
    <w:rsid w:val="00D01EE4"/>
    <w:rsid w:val="00D74552"/>
    <w:rsid w:val="00D762C8"/>
    <w:rsid w:val="00DB62BD"/>
    <w:rsid w:val="00DD297C"/>
    <w:rsid w:val="00DD7D16"/>
    <w:rsid w:val="00E14C6E"/>
    <w:rsid w:val="00E93B06"/>
    <w:rsid w:val="00E94DCC"/>
    <w:rsid w:val="00EA0E07"/>
    <w:rsid w:val="00EC7839"/>
    <w:rsid w:val="00F2799F"/>
    <w:rsid w:val="00F31D0C"/>
    <w:rsid w:val="00F407C9"/>
    <w:rsid w:val="00F55982"/>
    <w:rsid w:val="00F65F57"/>
    <w:rsid w:val="00F84C32"/>
    <w:rsid w:val="00FD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6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16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8016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16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1655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Знак2 Знак Знак"/>
    <w:basedOn w:val="a"/>
    <w:rsid w:val="00BE767F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semiHidden/>
    <w:unhideWhenUsed/>
    <w:rsid w:val="003473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47315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Основной текст (2)_"/>
    <w:link w:val="21"/>
    <w:uiPriority w:val="99"/>
    <w:locked/>
    <w:rsid w:val="002D5E1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2D5E13"/>
    <w:pPr>
      <w:widowControl w:val="0"/>
      <w:shd w:val="clear" w:color="auto" w:fill="FFFFFF"/>
      <w:spacing w:before="240" w:after="240" w:line="240" w:lineRule="atLeast"/>
      <w:jc w:val="center"/>
    </w:pPr>
    <w:rPr>
      <w:rFonts w:eastAsiaTheme="minorHAnsi"/>
      <w:b/>
      <w:bCs/>
      <w:sz w:val="23"/>
      <w:szCs w:val="23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47D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7D8A"/>
    <w:rPr>
      <w:rFonts w:ascii="Segoe UI" w:eastAsia="Times New Roman" w:hAnsi="Segoe UI" w:cs="Segoe UI"/>
      <w:sz w:val="18"/>
      <w:szCs w:val="18"/>
      <w:lang w:eastAsia="uk-UA"/>
    </w:rPr>
  </w:style>
  <w:style w:type="character" w:styleId="ac">
    <w:name w:val="annotation reference"/>
    <w:basedOn w:val="a0"/>
    <w:uiPriority w:val="99"/>
    <w:semiHidden/>
    <w:unhideWhenUsed/>
    <w:rsid w:val="00A2136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136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2136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136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136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6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16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8016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16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1655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Знак2 Знак Знак"/>
    <w:basedOn w:val="a"/>
    <w:rsid w:val="00BE767F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semiHidden/>
    <w:unhideWhenUsed/>
    <w:rsid w:val="003473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47315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Основной текст (2)_"/>
    <w:link w:val="21"/>
    <w:uiPriority w:val="99"/>
    <w:locked/>
    <w:rsid w:val="002D5E13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2D5E13"/>
    <w:pPr>
      <w:widowControl w:val="0"/>
      <w:shd w:val="clear" w:color="auto" w:fill="FFFFFF"/>
      <w:spacing w:before="240" w:after="240" w:line="240" w:lineRule="atLeast"/>
      <w:jc w:val="center"/>
    </w:pPr>
    <w:rPr>
      <w:rFonts w:eastAsiaTheme="minorHAnsi"/>
      <w:b/>
      <w:bCs/>
      <w:sz w:val="23"/>
      <w:szCs w:val="23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47D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7D8A"/>
    <w:rPr>
      <w:rFonts w:ascii="Segoe UI" w:eastAsia="Times New Roman" w:hAnsi="Segoe UI" w:cs="Segoe UI"/>
      <w:sz w:val="18"/>
      <w:szCs w:val="18"/>
      <w:lang w:eastAsia="uk-UA"/>
    </w:rPr>
  </w:style>
  <w:style w:type="character" w:styleId="ac">
    <w:name w:val="annotation reference"/>
    <w:basedOn w:val="a0"/>
    <w:uiPriority w:val="99"/>
    <w:semiHidden/>
    <w:unhideWhenUsed/>
    <w:rsid w:val="00A2136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136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2136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136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2136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4168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Samiilenko Tetiana</dc:creator>
  <cp:keywords/>
  <dc:description/>
  <cp:lastModifiedBy>expert_13</cp:lastModifiedBy>
  <cp:revision>11</cp:revision>
  <cp:lastPrinted>2025-03-11T07:56:00Z</cp:lastPrinted>
  <dcterms:created xsi:type="dcterms:W3CDTF">2025-10-10T10:26:00Z</dcterms:created>
  <dcterms:modified xsi:type="dcterms:W3CDTF">2025-10-24T07:55:00Z</dcterms:modified>
</cp:coreProperties>
</file>