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C635B" w14:textId="77777777" w:rsidR="00830035" w:rsidRPr="00D42B15" w:rsidRDefault="00830035" w:rsidP="00830035">
      <w:pPr>
        <w:suppressAutoHyphens/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Додаток 1</w:t>
      </w:r>
    </w:p>
    <w:p w14:paraId="6FAC521A" w14:textId="77777777" w:rsidR="00830035" w:rsidRPr="00D42B15" w:rsidRDefault="00830035" w:rsidP="00830035">
      <w:pPr>
        <w:spacing w:line="240" w:lineRule="auto"/>
        <w:ind w:firstLine="567"/>
        <w:jc w:val="right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до реєстраційного посвідчення АВ-01289-01-10</w:t>
      </w:r>
    </w:p>
    <w:p w14:paraId="40D6AA8E" w14:textId="77777777" w:rsidR="00830035" w:rsidRPr="00D42B15" w:rsidRDefault="00830035" w:rsidP="00830035">
      <w:pPr>
        <w:pStyle w:val="1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bookmarkStart w:id="0" w:name="_Toc207810680"/>
      <w:r w:rsidRPr="00D42B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>Коротка характеристика препарату</w:t>
      </w:r>
      <w:bookmarkEnd w:id="0"/>
    </w:p>
    <w:p w14:paraId="0659CDD9" w14:textId="77777777" w:rsidR="00830035" w:rsidRPr="00D42B15" w:rsidRDefault="00830035" w:rsidP="00830035">
      <w:pPr>
        <w:numPr>
          <w:ilvl w:val="0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1.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ab/>
        <w:t>Назва</w:t>
      </w:r>
    </w:p>
    <w:p w14:paraId="3E3AC384" w14:textId="303E3064" w:rsidR="00830035" w:rsidRPr="00D42B15" w:rsidRDefault="00EC3465" w:rsidP="00EC346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 xml:space="preserve">       РОЗЧИН ІВЕРМЕКТИНУ</w:t>
      </w:r>
      <w:r w:rsidR="00830035" w:rsidRPr="00D42B15">
        <w:rPr>
          <w:rFonts w:eastAsia="Times New Roman" w:cs="Times New Roman"/>
          <w:sz w:val="24"/>
          <w:szCs w:val="24"/>
          <w:lang w:eastAsia="uk-UA"/>
        </w:rPr>
        <w:t xml:space="preserve"> 1%</w:t>
      </w:r>
    </w:p>
    <w:p w14:paraId="6F6B75F1" w14:textId="77777777" w:rsidR="00830035" w:rsidRPr="00D42B15" w:rsidRDefault="00830035" w:rsidP="00830035">
      <w:pPr>
        <w:numPr>
          <w:ilvl w:val="0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1" w:name="bookmark1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2.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ab/>
        <w:t>Склад</w:t>
      </w:r>
      <w:bookmarkEnd w:id="1"/>
    </w:p>
    <w:p w14:paraId="08989A56" w14:textId="77777777" w:rsidR="00830035" w:rsidRPr="00D42B15" w:rsidRDefault="00830035" w:rsidP="00830035">
      <w:pPr>
        <w:pStyle w:val="a7"/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bookmarkStart w:id="2" w:name="bookmark2"/>
      <w:r w:rsidRPr="00D42B15">
        <w:rPr>
          <w:rFonts w:eastAsia="Times New Roman" w:cs="Times New Roman"/>
          <w:sz w:val="24"/>
          <w:szCs w:val="24"/>
          <w:lang w:eastAsia="uk-UA"/>
        </w:rPr>
        <w:t xml:space="preserve">1 мл препарату містить діючу речовину: </w:t>
      </w:r>
    </w:p>
    <w:p w14:paraId="61658B6A" w14:textId="77777777" w:rsidR="00830035" w:rsidRPr="00D42B15" w:rsidRDefault="00830035" w:rsidP="00830035">
      <w:pPr>
        <w:pStyle w:val="a7"/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івермектин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– 10,0 мг.</w:t>
      </w:r>
    </w:p>
    <w:p w14:paraId="0FA247DD" w14:textId="2DBA64E7" w:rsidR="00830035" w:rsidRPr="00111EB4" w:rsidRDefault="00CF2053" w:rsidP="00CF2053">
      <w:pPr>
        <w:pStyle w:val="a7"/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Допоміжні речовин</w:t>
      </w:r>
      <w:r w:rsidR="00845FF1" w:rsidRPr="00D42B15">
        <w:rPr>
          <w:rFonts w:eastAsia="Times New Roman" w:cs="Times New Roman"/>
          <w:sz w:val="24"/>
          <w:szCs w:val="24"/>
          <w:lang w:eastAsia="uk-UA"/>
        </w:rPr>
        <w:t>и</w:t>
      </w:r>
      <w:r w:rsidR="00845FF1" w:rsidRPr="00111EB4">
        <w:rPr>
          <w:rFonts w:eastAsia="Times New Roman" w:cs="Times New Roman"/>
          <w:sz w:val="24"/>
          <w:szCs w:val="24"/>
          <w:lang w:eastAsia="uk-UA"/>
        </w:rPr>
        <w:t>:</w:t>
      </w:r>
      <w:r w:rsidR="00830035" w:rsidRPr="00111EB4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240669" w:rsidRPr="00111EB4">
        <w:rPr>
          <w:rFonts w:eastAsia="Times New Roman" w:cs="Times New Roman"/>
          <w:sz w:val="24"/>
          <w:szCs w:val="24"/>
          <w:lang w:eastAsia="uk-UA"/>
        </w:rPr>
        <w:t xml:space="preserve">гліцерин, спирт етиловий, спирт </w:t>
      </w:r>
      <w:proofErr w:type="spellStart"/>
      <w:r w:rsidR="00240669" w:rsidRPr="00111EB4">
        <w:rPr>
          <w:rFonts w:eastAsia="Times New Roman" w:cs="Times New Roman"/>
          <w:sz w:val="24"/>
          <w:szCs w:val="24"/>
          <w:lang w:eastAsia="uk-UA"/>
        </w:rPr>
        <w:t>бензиловий</w:t>
      </w:r>
      <w:proofErr w:type="spellEnd"/>
      <w:r w:rsidR="00240669" w:rsidRPr="00111EB4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="00240669" w:rsidRPr="00111EB4">
        <w:rPr>
          <w:rFonts w:eastAsia="Times New Roman" w:cs="Times New Roman"/>
          <w:sz w:val="24"/>
          <w:szCs w:val="24"/>
          <w:lang w:eastAsia="uk-UA"/>
        </w:rPr>
        <w:t>полівінілпіролідон</w:t>
      </w:r>
      <w:proofErr w:type="spellEnd"/>
      <w:r w:rsidR="00240669" w:rsidRPr="00111EB4">
        <w:rPr>
          <w:rFonts w:eastAsia="Times New Roman" w:cs="Times New Roman"/>
          <w:sz w:val="24"/>
          <w:szCs w:val="24"/>
          <w:lang w:eastAsia="uk-UA"/>
        </w:rPr>
        <w:t xml:space="preserve"> К-17, </w:t>
      </w:r>
      <w:proofErr w:type="spellStart"/>
      <w:r w:rsidR="00240669" w:rsidRPr="00111EB4">
        <w:rPr>
          <w:rFonts w:eastAsia="Times New Roman" w:cs="Times New Roman"/>
          <w:sz w:val="24"/>
          <w:szCs w:val="24"/>
          <w:lang w:eastAsia="uk-UA"/>
        </w:rPr>
        <w:t>поліетиленгліколь</w:t>
      </w:r>
      <w:proofErr w:type="spellEnd"/>
      <w:r w:rsidR="00240669" w:rsidRPr="00111EB4">
        <w:rPr>
          <w:rFonts w:eastAsia="Times New Roman" w:cs="Times New Roman"/>
          <w:sz w:val="24"/>
          <w:szCs w:val="24"/>
          <w:lang w:eastAsia="uk-UA"/>
        </w:rPr>
        <w:t xml:space="preserve"> 400, </w:t>
      </w:r>
      <w:r w:rsidRPr="00111EB4">
        <w:rPr>
          <w:rFonts w:eastAsia="Times New Roman" w:cs="Times New Roman"/>
          <w:sz w:val="24"/>
          <w:szCs w:val="24"/>
          <w:lang w:eastAsia="uk-UA"/>
        </w:rPr>
        <w:t>вода для ін'єкцій</w:t>
      </w:r>
      <w:r w:rsidR="00830035" w:rsidRPr="00111EB4">
        <w:rPr>
          <w:rFonts w:eastAsia="Times New Roman" w:cs="Times New Roman"/>
          <w:sz w:val="24"/>
          <w:szCs w:val="24"/>
          <w:lang w:eastAsia="uk-UA"/>
        </w:rPr>
        <w:t>.</w:t>
      </w:r>
    </w:p>
    <w:p w14:paraId="5FABA168" w14:textId="77777777" w:rsidR="00830035" w:rsidRPr="00D42B15" w:rsidRDefault="00830035" w:rsidP="00830035">
      <w:pPr>
        <w:numPr>
          <w:ilvl w:val="0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3.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ab/>
        <w:t>Фармацевтична форма</w:t>
      </w:r>
      <w:bookmarkStart w:id="3" w:name="_GoBack"/>
      <w:bookmarkEnd w:id="2"/>
      <w:bookmarkEnd w:id="3"/>
    </w:p>
    <w:p w14:paraId="565BEE7E" w14:textId="273CE178" w:rsidR="00830035" w:rsidRPr="00D42B15" w:rsidRDefault="00EC346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 xml:space="preserve">        </w:t>
      </w:r>
      <w:r w:rsidR="00830035" w:rsidRPr="00D42B15">
        <w:rPr>
          <w:rFonts w:eastAsia="Times New Roman" w:cs="Times New Roman"/>
          <w:sz w:val="24"/>
          <w:szCs w:val="24"/>
          <w:lang w:eastAsia="uk-UA"/>
        </w:rPr>
        <w:t>Розчин для ін'єкцій</w:t>
      </w:r>
    </w:p>
    <w:p w14:paraId="1FD93E34" w14:textId="77777777" w:rsidR="00830035" w:rsidRPr="00D42B15" w:rsidRDefault="00830035" w:rsidP="00830035">
      <w:pPr>
        <w:numPr>
          <w:ilvl w:val="0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4" w:name="bookmark3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4.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ab/>
        <w:t>Фармакологічні властивості</w:t>
      </w:r>
      <w:bookmarkEnd w:id="4"/>
    </w:p>
    <w:p w14:paraId="6C340FFA" w14:textId="77777777" w:rsidR="00830035" w:rsidRPr="00D42B15" w:rsidRDefault="00830035" w:rsidP="00830035">
      <w:pPr>
        <w:pStyle w:val="a7"/>
        <w:numPr>
          <w:ilvl w:val="0"/>
          <w:numId w:val="1"/>
        </w:numPr>
        <w:spacing w:line="240" w:lineRule="auto"/>
        <w:rPr>
          <w:rFonts w:eastAsia="Times New Roman" w:cs="Times New Roman"/>
          <w:b/>
          <w:bCs/>
          <w:i/>
          <w:iCs/>
          <w:sz w:val="24"/>
          <w:szCs w:val="24"/>
        </w:rPr>
      </w:pPr>
      <w:bookmarkStart w:id="5" w:name="bookmark4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АТС 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vet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 класифікаційний код QP54 – 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Ендектоциди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Endectocides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), QP54AA - 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Авермектини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. АТС 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vet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 код QP54АА01 - 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Івермектин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Ivermectin</w:t>
      </w:r>
      <w:proofErr w:type="spellEnd"/>
      <w:r w:rsidRPr="00D42B15">
        <w:rPr>
          <w:rFonts w:eastAsia="Times New Roman" w:cs="Times New Roman"/>
          <w:b/>
          <w:bCs/>
          <w:i/>
          <w:iCs/>
          <w:sz w:val="24"/>
          <w:szCs w:val="24"/>
        </w:rPr>
        <w:t>).</w:t>
      </w:r>
    </w:p>
    <w:p w14:paraId="2455E7C7" w14:textId="77777777" w:rsidR="00830035" w:rsidRPr="00D42B15" w:rsidRDefault="00830035" w:rsidP="00830035">
      <w:pPr>
        <w:spacing w:line="240" w:lineRule="auto"/>
        <w:ind w:firstLine="432"/>
        <w:rPr>
          <w:rFonts w:eastAsia="Times New Roman" w:cs="Times New Roman"/>
          <w:sz w:val="24"/>
          <w:szCs w:val="24"/>
        </w:rPr>
      </w:pPr>
      <w:r w:rsidRPr="00D42B15">
        <w:rPr>
          <w:rFonts w:eastAsia="Times New Roman" w:cs="Times New Roman"/>
          <w:sz w:val="24"/>
          <w:szCs w:val="24"/>
        </w:rPr>
        <w:t xml:space="preserve">Діючою речовиною препарату є </w:t>
      </w:r>
      <w:proofErr w:type="spellStart"/>
      <w:r w:rsidRPr="00D42B15">
        <w:rPr>
          <w:rFonts w:eastAsia="Times New Roman" w:cs="Times New Roman"/>
          <w:sz w:val="24"/>
          <w:szCs w:val="24"/>
        </w:rPr>
        <w:t>івермектин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, який належить до </w:t>
      </w:r>
      <w:proofErr w:type="spellStart"/>
      <w:r w:rsidRPr="00D42B15">
        <w:rPr>
          <w:rFonts w:eastAsia="Times New Roman" w:cs="Times New Roman"/>
          <w:sz w:val="24"/>
          <w:szCs w:val="24"/>
        </w:rPr>
        <w:t>сполук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групи </w:t>
      </w:r>
      <w:proofErr w:type="spellStart"/>
      <w:r w:rsidRPr="00D42B15">
        <w:rPr>
          <w:rFonts w:eastAsia="Times New Roman" w:cs="Times New Roman"/>
          <w:sz w:val="24"/>
          <w:szCs w:val="24"/>
        </w:rPr>
        <w:t>авермектинів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, що продукуються мікроорганізмами групи </w:t>
      </w:r>
      <w:proofErr w:type="spellStart"/>
      <w:r w:rsidRPr="00D42B15">
        <w:rPr>
          <w:rFonts w:eastAsia="Times New Roman" w:cs="Times New Roman"/>
          <w:sz w:val="24"/>
          <w:szCs w:val="24"/>
        </w:rPr>
        <w:t>Streptomices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</w:rPr>
        <w:t>avermitis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. Механізм дії препарату на організм паразита полягає у тому, що </w:t>
      </w:r>
      <w:proofErr w:type="spellStart"/>
      <w:r w:rsidRPr="00D42B15">
        <w:rPr>
          <w:rFonts w:eastAsia="Times New Roman" w:cs="Times New Roman"/>
          <w:sz w:val="24"/>
          <w:szCs w:val="24"/>
        </w:rPr>
        <w:t>івермектин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стимулює виділення гамма-</w:t>
      </w:r>
      <w:proofErr w:type="spellStart"/>
      <w:r w:rsidRPr="00D42B15">
        <w:rPr>
          <w:rFonts w:eastAsia="Times New Roman" w:cs="Times New Roman"/>
          <w:sz w:val="24"/>
          <w:szCs w:val="24"/>
        </w:rPr>
        <w:t>аміномасляної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кислоти (ГАМК) в </w:t>
      </w:r>
      <w:proofErr w:type="spellStart"/>
      <w:r w:rsidRPr="00D42B15">
        <w:rPr>
          <w:rFonts w:eastAsia="Times New Roman" w:cs="Times New Roman"/>
          <w:sz w:val="24"/>
          <w:szCs w:val="24"/>
        </w:rPr>
        <w:t>пресинаптичних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нейронах, яка зв'язується зі спеціальними рецепторами нервових закінчень, збільшуючи проникність мембран для іонів хлору і блокуючи передачу нервово-м'язових імпульсів. Це викликає параліч та загибель паразитів.</w:t>
      </w:r>
    </w:p>
    <w:p w14:paraId="0EA97DCF" w14:textId="77777777" w:rsidR="00830035" w:rsidRPr="00D42B15" w:rsidRDefault="00830035" w:rsidP="00830035">
      <w:pPr>
        <w:spacing w:line="240" w:lineRule="auto"/>
        <w:ind w:firstLine="432"/>
        <w:rPr>
          <w:rFonts w:eastAsia="Times New Roman" w:cs="Times New Roman"/>
          <w:sz w:val="24"/>
          <w:szCs w:val="24"/>
        </w:rPr>
      </w:pPr>
      <w:proofErr w:type="spellStart"/>
      <w:r w:rsidRPr="00D42B15">
        <w:rPr>
          <w:rFonts w:eastAsia="Times New Roman" w:cs="Times New Roman"/>
          <w:sz w:val="24"/>
          <w:szCs w:val="24"/>
        </w:rPr>
        <w:t>Івермектин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має високу ефективність та широкий спектр дії (інсектицидна, </w:t>
      </w:r>
      <w:proofErr w:type="spellStart"/>
      <w:r w:rsidRPr="00D42B15">
        <w:rPr>
          <w:rFonts w:eastAsia="Times New Roman" w:cs="Times New Roman"/>
          <w:sz w:val="24"/>
          <w:szCs w:val="24"/>
        </w:rPr>
        <w:t>акарицидна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D42B15">
        <w:rPr>
          <w:rFonts w:eastAsia="Times New Roman" w:cs="Times New Roman"/>
          <w:sz w:val="24"/>
          <w:szCs w:val="24"/>
        </w:rPr>
        <w:t>нематоцидна</w:t>
      </w:r>
      <w:proofErr w:type="spellEnd"/>
      <w:r w:rsidRPr="00D42B15">
        <w:rPr>
          <w:rFonts w:eastAsia="Times New Roman" w:cs="Times New Roman"/>
          <w:sz w:val="24"/>
          <w:szCs w:val="24"/>
        </w:rPr>
        <w:t>) і відносно низьку токсичність.</w:t>
      </w:r>
    </w:p>
    <w:p w14:paraId="174C30BD" w14:textId="77777777" w:rsidR="00830035" w:rsidRPr="00D42B15" w:rsidRDefault="00830035" w:rsidP="00830035">
      <w:pPr>
        <w:spacing w:line="240" w:lineRule="auto"/>
        <w:ind w:firstLine="432"/>
        <w:rPr>
          <w:rFonts w:eastAsia="Times New Roman" w:cs="Times New Roman"/>
          <w:sz w:val="24"/>
          <w:szCs w:val="24"/>
        </w:rPr>
      </w:pPr>
      <w:proofErr w:type="spellStart"/>
      <w:r w:rsidRPr="00D42B15">
        <w:rPr>
          <w:rFonts w:eastAsia="Times New Roman" w:cs="Times New Roman"/>
          <w:sz w:val="24"/>
          <w:szCs w:val="24"/>
        </w:rPr>
        <w:t>Івермектин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не ефективний щодо </w:t>
      </w:r>
      <w:proofErr w:type="spellStart"/>
      <w:r w:rsidRPr="00D42B15">
        <w:rPr>
          <w:rFonts w:eastAsia="Times New Roman" w:cs="Times New Roman"/>
          <w:sz w:val="24"/>
          <w:szCs w:val="24"/>
        </w:rPr>
        <w:t>трематод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і стьожкових </w:t>
      </w:r>
      <w:proofErr w:type="spellStart"/>
      <w:r w:rsidRPr="00D42B15">
        <w:rPr>
          <w:rFonts w:eastAsia="Times New Roman" w:cs="Times New Roman"/>
          <w:sz w:val="24"/>
          <w:szCs w:val="24"/>
        </w:rPr>
        <w:t>червів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, оскільки у них ГАМК не функціонує як периферичний </w:t>
      </w:r>
      <w:proofErr w:type="spellStart"/>
      <w:r w:rsidRPr="00D42B15">
        <w:rPr>
          <w:rFonts w:eastAsia="Times New Roman" w:cs="Times New Roman"/>
          <w:sz w:val="24"/>
          <w:szCs w:val="24"/>
        </w:rPr>
        <w:t>нейромедіатор</w:t>
      </w:r>
      <w:proofErr w:type="spellEnd"/>
      <w:r w:rsidRPr="00D42B15">
        <w:rPr>
          <w:rFonts w:eastAsia="Times New Roman" w:cs="Times New Roman"/>
          <w:sz w:val="24"/>
          <w:szCs w:val="24"/>
        </w:rPr>
        <w:t>.</w:t>
      </w:r>
    </w:p>
    <w:p w14:paraId="60F68186" w14:textId="77777777" w:rsidR="00830035" w:rsidRPr="00D42B15" w:rsidRDefault="00830035" w:rsidP="00830035">
      <w:pPr>
        <w:numPr>
          <w:ilvl w:val="0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ab/>
        <w:t>Клінічні особливості</w:t>
      </w:r>
      <w:bookmarkEnd w:id="5"/>
    </w:p>
    <w:p w14:paraId="6BD3DABA" w14:textId="77777777" w:rsidR="00830035" w:rsidRPr="00D42B15" w:rsidRDefault="00830035" w:rsidP="00830035">
      <w:pPr>
        <w:numPr>
          <w:ilvl w:val="1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6" w:name="bookmark5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5.1.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Вид тварин</w:t>
      </w:r>
      <w:bookmarkEnd w:id="6"/>
    </w:p>
    <w:p w14:paraId="397B04BC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Велика рогата худоба, вівці, свині.</w:t>
      </w:r>
    </w:p>
    <w:p w14:paraId="3F71812E" w14:textId="77777777" w:rsidR="00830035" w:rsidRPr="00D42B15" w:rsidRDefault="00830035" w:rsidP="00830035">
      <w:pPr>
        <w:numPr>
          <w:ilvl w:val="1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7" w:name="bookmark6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5.2.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Показання до застосування</w:t>
      </w:r>
      <w:bookmarkEnd w:id="7"/>
    </w:p>
    <w:p w14:paraId="0075963C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Лікування і профілактика великої рогатої худоби, овець, свиней, при захворюваннях, спричинюваних:</w:t>
      </w:r>
    </w:p>
    <w:p w14:paraId="3A112B14" w14:textId="701295FC" w:rsidR="00830035" w:rsidRPr="00D42B15" w:rsidRDefault="00830035" w:rsidP="0083003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Cs/>
          <w:i/>
          <w:iCs/>
          <w:sz w:val="24"/>
          <w:szCs w:val="24"/>
          <w:lang w:eastAsia="uk-UA"/>
        </w:rPr>
        <w:t>У великої рогатої худоби: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845FF1" w:rsidRPr="00D42B15">
        <w:rPr>
          <w:sz w:val="24"/>
          <w:szCs w:val="24"/>
        </w:rPr>
        <w:t>Нематодами травного каналу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Nematodirus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helvetianus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Ostertagia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ostertagi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і личинки 4-ї стадії);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Bunostomum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trigonocephalum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Haemonchus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placet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(в т.ч. личинки 3-ї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Trichostrogylus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axei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T.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colubriformis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Cooperia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pectinata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C.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Punctata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; </w:t>
      </w:r>
      <w:r w:rsidR="00845FF1" w:rsidRPr="00D42B15">
        <w:rPr>
          <w:sz w:val="24"/>
          <w:szCs w:val="24"/>
        </w:rPr>
        <w:t>Нематодами дихальних шляхів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Dictyocaulus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viviparus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і личинки 4-ї стадії); </w:t>
      </w:r>
      <w:r w:rsidR="00E96CDC" w:rsidRPr="00D42B15">
        <w:rPr>
          <w:rFonts w:eastAsia="Times New Roman" w:cs="Times New Roman"/>
          <w:sz w:val="24"/>
          <w:szCs w:val="24"/>
          <w:lang w:eastAsia="uk-UA"/>
        </w:rPr>
        <w:t>л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ичинками підшкірного овода (1-ї і 2-ї стадії):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Hypoderma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H.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lineatum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; </w:t>
      </w:r>
      <w:proofErr w:type="spellStart"/>
      <w:r w:rsidR="00845FF1" w:rsidRPr="00D42B15">
        <w:rPr>
          <w:sz w:val="24"/>
          <w:szCs w:val="24"/>
        </w:rPr>
        <w:t>Саркоптоїдозними</w:t>
      </w:r>
      <w:proofErr w:type="spellEnd"/>
      <w:r w:rsidR="00845FF1" w:rsidRPr="00D42B15">
        <w:rPr>
          <w:sz w:val="24"/>
          <w:szCs w:val="24"/>
        </w:rPr>
        <w:t xml:space="preserve"> кліщами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Psoroptes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Sarcoptes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Choroptes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; </w:t>
      </w:r>
      <w:proofErr w:type="spellStart"/>
      <w:r w:rsidR="00845FF1" w:rsidRPr="00D42B15">
        <w:rPr>
          <w:sz w:val="24"/>
          <w:szCs w:val="24"/>
        </w:rPr>
        <w:t>Демодекозними</w:t>
      </w:r>
      <w:proofErr w:type="spellEnd"/>
      <w:r w:rsidR="00845FF1" w:rsidRPr="00D42B15">
        <w:rPr>
          <w:sz w:val="24"/>
          <w:szCs w:val="24"/>
        </w:rPr>
        <w:t xml:space="preserve"> кліщами:</w:t>
      </w:r>
      <w:r w:rsidR="00845FF1"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Demodex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; </w:t>
      </w:r>
      <w:r w:rsidR="001577BC" w:rsidRPr="00D42B15">
        <w:rPr>
          <w:rFonts w:eastAsia="Times New Roman" w:cs="Times New Roman"/>
          <w:sz w:val="24"/>
          <w:szCs w:val="24"/>
          <w:lang w:eastAsia="uk-UA"/>
        </w:rPr>
        <w:t>в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ошами: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Haematopinus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eurystemus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Linognatus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vituli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;</w:t>
      </w:r>
    </w:p>
    <w:p w14:paraId="3FAE6958" w14:textId="3E2F68D2" w:rsidR="00830035" w:rsidRPr="00D42B15" w:rsidRDefault="00830035" w:rsidP="0083003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Cs/>
          <w:i/>
          <w:iCs/>
          <w:sz w:val="24"/>
          <w:szCs w:val="24"/>
          <w:lang w:eastAsia="uk-UA"/>
        </w:rPr>
        <w:t>У овець: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845FF1" w:rsidRPr="00D42B15">
        <w:rPr>
          <w:sz w:val="24"/>
          <w:szCs w:val="24"/>
        </w:rPr>
        <w:t>Нематодами травного каналу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Haemonchus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contortus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та личинки 3-ої та 4-ої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Ostertagia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cirkumcinkta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та личинки 3-ї та 4-ї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Ostertagia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trifurcata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та личинки 4-ої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Trichostrongylus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spp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.; </w:t>
      </w:r>
      <w:r w:rsidR="00845FF1" w:rsidRPr="00D42B15">
        <w:rPr>
          <w:sz w:val="24"/>
          <w:szCs w:val="24"/>
        </w:rPr>
        <w:t>Нематодами дихальних шляхів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Dictyocaulus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filaria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та личинки 4-ої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Protostrongilus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rufescens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(статевозрілі); </w:t>
      </w:r>
      <w:r w:rsidR="00845FF1" w:rsidRPr="00D42B15">
        <w:rPr>
          <w:sz w:val="24"/>
          <w:szCs w:val="24"/>
        </w:rPr>
        <w:t>Порожнинним оводом:</w:t>
      </w:r>
      <w:r w:rsidR="00845FF1"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Oestrus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var.comunis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(всі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личенкові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стадії); </w:t>
      </w:r>
      <w:proofErr w:type="spellStart"/>
      <w:r w:rsidR="00845FF1" w:rsidRPr="00D42B15">
        <w:rPr>
          <w:sz w:val="24"/>
          <w:szCs w:val="24"/>
        </w:rPr>
        <w:t>Саркоптоїдозними</w:t>
      </w:r>
      <w:proofErr w:type="spellEnd"/>
      <w:r w:rsidR="00845FF1" w:rsidRPr="00D42B15">
        <w:rPr>
          <w:sz w:val="24"/>
          <w:szCs w:val="24"/>
        </w:rPr>
        <w:t xml:space="preserve"> кліщами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Sarcoptes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scabiei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Psoroptes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var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communis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ovis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;</w:t>
      </w:r>
    </w:p>
    <w:p w14:paraId="210C3A6D" w14:textId="0CFDC7A7" w:rsidR="00830035" w:rsidRPr="00D42B15" w:rsidRDefault="00830035" w:rsidP="0083003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Cs/>
          <w:i/>
          <w:iCs/>
          <w:sz w:val="24"/>
          <w:szCs w:val="24"/>
          <w:lang w:eastAsia="uk-UA"/>
        </w:rPr>
        <w:t>У свиней: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845FF1" w:rsidRPr="00D42B15">
        <w:rPr>
          <w:sz w:val="24"/>
          <w:szCs w:val="24"/>
        </w:rPr>
        <w:t>Нематодами травного каналу:</w:t>
      </w:r>
      <w:r w:rsidR="00845FF1"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Ascaris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suum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Hyostrongylus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rubidus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(статевозрілі та личинки 4-ї стадії),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Oesophagostomum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dentatum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Strongyloides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ransomi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cтатевозрілі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); </w:t>
      </w:r>
      <w:r w:rsidR="00845FF1" w:rsidRPr="00D42B15">
        <w:rPr>
          <w:sz w:val="24"/>
          <w:szCs w:val="24"/>
        </w:rPr>
        <w:t>Нематодами дихальних шляхів:</w:t>
      </w:r>
      <w:r w:rsidR="00845FF1"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Metastrongylus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spp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. (статевозрілі); Вошам: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Haematopinus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suis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; </w:t>
      </w:r>
      <w:proofErr w:type="spellStart"/>
      <w:r w:rsidR="00845FF1" w:rsidRPr="00D42B15">
        <w:rPr>
          <w:sz w:val="24"/>
          <w:szCs w:val="24"/>
        </w:rPr>
        <w:t>Саркоптоїдозними</w:t>
      </w:r>
      <w:proofErr w:type="spellEnd"/>
      <w:r w:rsidR="00845FF1" w:rsidRPr="00D42B15">
        <w:rPr>
          <w:sz w:val="24"/>
          <w:szCs w:val="24"/>
        </w:rPr>
        <w:t xml:space="preserve"> кліщами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Sarcoptes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suis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.</w:t>
      </w:r>
    </w:p>
    <w:p w14:paraId="6D2A18D3" w14:textId="77777777" w:rsidR="00830035" w:rsidRPr="00D42B15" w:rsidRDefault="00830035" w:rsidP="00830035">
      <w:pPr>
        <w:suppressAutoHyphens/>
        <w:spacing w:line="240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8" w:name="bookmark7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5.3.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Протипоказання</w:t>
      </w:r>
      <w:bookmarkEnd w:id="8"/>
    </w:p>
    <w:p w14:paraId="03073D75" w14:textId="77777777" w:rsidR="00830035" w:rsidRPr="00D42B1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bookmarkStart w:id="9" w:name="bookmark8"/>
      <w:r w:rsidRPr="00D42B15">
        <w:rPr>
          <w:rFonts w:eastAsia="Times New Roman" w:cs="Times New Roman"/>
          <w:sz w:val="24"/>
          <w:szCs w:val="24"/>
          <w:lang w:eastAsia="uk-UA"/>
        </w:rPr>
        <w:t>Не застосовувати для нецільових тварин.</w:t>
      </w:r>
    </w:p>
    <w:p w14:paraId="47CD6D12" w14:textId="6D42550D" w:rsidR="00830035" w:rsidRPr="00D42B15" w:rsidRDefault="00DC6AAA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sz w:val="24"/>
          <w:szCs w:val="24"/>
        </w:rPr>
        <w:t>Не застосовувати тваринам, молоко яких призначено для споживання людьми</w:t>
      </w:r>
    </w:p>
    <w:p w14:paraId="2EDE34E4" w14:textId="77777777" w:rsidR="0083003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 можна вводити препарат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внутрішньом'язово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або внутрішньовенно.</w:t>
      </w:r>
    </w:p>
    <w:p w14:paraId="03ED3B02" w14:textId="77777777" w:rsidR="002C05C0" w:rsidRDefault="002C05C0" w:rsidP="002C05C0">
      <w:pPr>
        <w:tabs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7CE52360" w14:textId="77777777" w:rsidR="002C05C0" w:rsidRDefault="002C05C0" w:rsidP="002C05C0">
      <w:pPr>
        <w:tabs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5D5758DE" w14:textId="77777777" w:rsidR="002C05C0" w:rsidRPr="002C05C0" w:rsidRDefault="002C05C0" w:rsidP="002C05C0">
      <w:pPr>
        <w:tabs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1D9FE825" w14:textId="77777777" w:rsidR="00ED7641" w:rsidRPr="00D42B15" w:rsidRDefault="00ED7641" w:rsidP="00ED7641">
      <w:pPr>
        <w:pStyle w:val="a7"/>
        <w:numPr>
          <w:ilvl w:val="0"/>
          <w:numId w:val="1"/>
        </w:numPr>
        <w:suppressAutoHyphens/>
        <w:spacing w:line="240" w:lineRule="auto"/>
        <w:jc w:val="right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lastRenderedPageBreak/>
        <w:t>Продовження додатку 1</w:t>
      </w:r>
    </w:p>
    <w:p w14:paraId="1A999AB3" w14:textId="77777777" w:rsidR="00ED7641" w:rsidRPr="00D42B15" w:rsidRDefault="00ED7641" w:rsidP="00ED7641">
      <w:pPr>
        <w:pStyle w:val="a7"/>
        <w:numPr>
          <w:ilvl w:val="0"/>
          <w:numId w:val="1"/>
        </w:numPr>
        <w:spacing w:line="240" w:lineRule="auto"/>
        <w:jc w:val="right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до реєстраційного посвідчення АВ-01289-01-10</w:t>
      </w:r>
    </w:p>
    <w:p w14:paraId="11D094E7" w14:textId="77777777" w:rsidR="00ED7641" w:rsidRPr="00D42B15" w:rsidRDefault="00ED7641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09ED2D86" w14:textId="77777777" w:rsidR="00830035" w:rsidRPr="00D42B1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 застосовувати одночасно з іншими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антигельмінтними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засобами.</w:t>
      </w:r>
    </w:p>
    <w:p w14:paraId="6AF82BB8" w14:textId="77777777" w:rsidR="00830035" w:rsidRPr="00D42B1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 застосовувати для ослаблених, виснажених та хворих інфекційними хворобами тварин, а </w:t>
      </w:r>
    </w:p>
    <w:p w14:paraId="4DB21AF8" w14:textId="77777777" w:rsidR="00830035" w:rsidRPr="00D42B1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також тваринам з захворюваннями печінки та нирок.</w:t>
      </w:r>
    </w:p>
    <w:p w14:paraId="44C16FF0" w14:textId="77777777" w:rsidR="00830035" w:rsidRPr="00D42B15" w:rsidRDefault="00830035" w:rsidP="00830035">
      <w:pPr>
        <w:pStyle w:val="a7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Дуже важлива точність дозування для свиней масою тіла до 16 кг.</w:t>
      </w:r>
    </w:p>
    <w:p w14:paraId="4BF02DD7" w14:textId="77777777" w:rsidR="00830035" w:rsidRPr="00D42B15" w:rsidRDefault="00830035" w:rsidP="00830035">
      <w:pPr>
        <w:numPr>
          <w:ilvl w:val="1"/>
          <w:numId w:val="1"/>
        </w:numPr>
        <w:suppressAutoHyphens/>
        <w:spacing w:line="240" w:lineRule="auto"/>
        <w:ind w:left="0" w:firstLine="0"/>
        <w:jc w:val="left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5.4.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Побічна дія</w:t>
      </w:r>
      <w:bookmarkEnd w:id="9"/>
    </w:p>
    <w:p w14:paraId="581B8146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При застосуванні за показаннями у рекомендованих дозах побічних явищ та ускладнень, як правило, не спостерігається.</w:t>
      </w:r>
    </w:p>
    <w:p w14:paraId="323B310C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На місці ін'єкції може виникнути незначна припухлість, яка не потребує лікування.</w:t>
      </w:r>
    </w:p>
    <w:p w14:paraId="23D5724D" w14:textId="77777777" w:rsidR="00830035" w:rsidRPr="00D42B15" w:rsidRDefault="00830035" w:rsidP="00830035">
      <w:pPr>
        <w:suppressAutoHyphens/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5.5.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Особливі застереження при використанні</w:t>
      </w:r>
    </w:p>
    <w:p w14:paraId="4E8EBEC0" w14:textId="77777777" w:rsidR="00830035" w:rsidRPr="00D42B15" w:rsidRDefault="00830035" w:rsidP="00830035">
      <w:pPr>
        <w:spacing w:line="260" w:lineRule="exact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У випадку, якщо кількість препарату, що вводиться, складає більше ніж 10 мл, його необхідно вводити тварині в декілька місць.</w:t>
      </w:r>
    </w:p>
    <w:p w14:paraId="5538B03A" w14:textId="77777777" w:rsidR="00830035" w:rsidRPr="00D42B15" w:rsidRDefault="00830035" w:rsidP="00830035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5.6.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Використання під час вагітності, лактації, несучості</w:t>
      </w:r>
    </w:p>
    <w:p w14:paraId="7ACD9129" w14:textId="5FA9FA06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Забороняється застосовувати самкам за два тижні до </w:t>
      </w:r>
      <w:r w:rsidR="00533AD8" w:rsidRPr="00D42B15">
        <w:rPr>
          <w:sz w:val="24"/>
          <w:szCs w:val="24"/>
        </w:rPr>
        <w:t>родів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і протягом двох тижнів після них та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лактуючим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тваринам, молоко яких призначене для споживання людьми.</w:t>
      </w:r>
    </w:p>
    <w:p w14:paraId="3B46C7E8" w14:textId="77777777" w:rsidR="00830035" w:rsidRPr="00D42B15" w:rsidRDefault="00830035" w:rsidP="00830035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5.7.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Взаємодія з іншими засобами та інші форми взаємодії</w:t>
      </w:r>
    </w:p>
    <w:p w14:paraId="256FEC6B" w14:textId="77777777" w:rsidR="00830035" w:rsidRPr="00D42B15" w:rsidRDefault="00830035" w:rsidP="00830035">
      <w:pPr>
        <w:spacing w:line="260" w:lineRule="exact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 застосовувати одночасно з іншими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протипаразитарними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препаратами.</w:t>
      </w:r>
    </w:p>
    <w:p w14:paraId="51CD963E" w14:textId="77777777" w:rsidR="00830035" w:rsidRPr="00D42B15" w:rsidRDefault="00830035" w:rsidP="00830035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5.8.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Дози і способи введення тваринам різного віку</w:t>
      </w:r>
    </w:p>
    <w:p w14:paraId="5709AC67" w14:textId="77777777" w:rsidR="00830035" w:rsidRPr="00D42B15" w:rsidRDefault="00830035" w:rsidP="0083003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Препарат застосовують одноразово:</w:t>
      </w:r>
    </w:p>
    <w:p w14:paraId="2927CA21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-</w:t>
      </w:r>
      <w:r w:rsidRPr="00D42B15">
        <w:rPr>
          <w:rFonts w:eastAsia="Times New Roman" w:cs="Times New Roman"/>
          <w:i/>
          <w:iCs/>
          <w:sz w:val="24"/>
          <w:szCs w:val="24"/>
          <w:lang w:eastAsia="uk-UA"/>
        </w:rPr>
        <w:t>Великій рогатій худобі та вівцям: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0,2 мл на 10 кг маси тіла (0,2 мг/кг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івермектину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), підшкірно у ділянку лопатки;</w:t>
      </w:r>
    </w:p>
    <w:p w14:paraId="76821E3D" w14:textId="77777777" w:rsidR="00830035" w:rsidRPr="00D42B15" w:rsidRDefault="00830035" w:rsidP="0083003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-</w:t>
      </w:r>
      <w:r w:rsidRPr="00D42B15">
        <w:rPr>
          <w:rFonts w:eastAsia="Times New Roman" w:cs="Times New Roman"/>
          <w:i/>
          <w:iCs/>
          <w:sz w:val="24"/>
          <w:szCs w:val="24"/>
          <w:lang w:eastAsia="uk-UA"/>
        </w:rPr>
        <w:t>Свиням: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1,0 мл на 33 кг маси тіла (0,3 мг/кг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івермектину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),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внутрішньом'язово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у ділянку шиї.</w:t>
      </w:r>
    </w:p>
    <w:p w14:paraId="78CF0A96" w14:textId="77777777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Терапію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гіподермозу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великої рогатої худоби (жовтень-листопад) рекомендовано проводити в дозі 0,2 мл на 10 кг маси тіла (0,2 мг/кг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івермектину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).</w:t>
      </w:r>
    </w:p>
    <w:p w14:paraId="39D60338" w14:textId="25115266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При лікуванні тварин уражених </w:t>
      </w:r>
      <w:proofErr w:type="spellStart"/>
      <w:r w:rsidR="00533AD8" w:rsidRPr="00D42B15">
        <w:rPr>
          <w:sz w:val="24"/>
          <w:szCs w:val="24"/>
        </w:rPr>
        <w:t>псороптозом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, демодекозом,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хоріоптозом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введення препарату повторюють через 7-10 діб у таких же дозах.</w:t>
      </w:r>
    </w:p>
    <w:p w14:paraId="62465661" w14:textId="77777777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Якщо доза препарату перевищує 10 мл, то її вводять у декілька місць.</w:t>
      </w:r>
    </w:p>
    <w:p w14:paraId="3F6CBBAD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5.9.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Передозування (симптоми, невідкладні заходи, антидоти)</w:t>
      </w:r>
    </w:p>
    <w:p w14:paraId="4968C007" w14:textId="77777777" w:rsidR="00830035" w:rsidRPr="00D42B15" w:rsidRDefault="00830035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При застосуванні препарату в рекомендованих дозах симптомів передозування не спостерігали. Ознаки передозування спостерігали при введенні препарату в дозі, яка перевищує рекомендовану в 30 разів. У великої рогатої худоби ознаки передозування: атаксія, апатія; іноді – летальність, у овець: атаксія, пригнічення, у свиней: летаргія, атаксія, тремор, мідріаз. Новонароджені поросята дуже чутливі до передозування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івермектином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>, тому рекомендують точно дотримуватись рекомендованого дозування.</w:t>
      </w:r>
    </w:p>
    <w:p w14:paraId="529BA0C3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5.10.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Спеціальні застереження</w:t>
      </w:r>
    </w:p>
    <w:p w14:paraId="377338F9" w14:textId="77777777" w:rsidR="00830035" w:rsidRPr="00D42B15" w:rsidRDefault="00830035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При лікуванні паразитарних захворювань у великої рогатої худоби, які викликані личинками оводів </w:t>
      </w:r>
      <w:proofErr w:type="spellStart"/>
      <w:r w:rsidRPr="00D42B15">
        <w:rPr>
          <w:rFonts w:eastAsia="Times New Roman" w:cs="Times New Roman"/>
          <w:bCs/>
          <w:i/>
          <w:iCs/>
          <w:sz w:val="24"/>
          <w:szCs w:val="24"/>
        </w:rPr>
        <w:t>Hypoderma</w:t>
      </w:r>
      <w:proofErr w:type="spellEnd"/>
      <w:r w:rsidRPr="00D42B15">
        <w:rPr>
          <w:rFonts w:eastAsia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42B15">
        <w:rPr>
          <w:rFonts w:eastAsia="Times New Roman" w:cs="Times New Roman"/>
          <w:bCs/>
          <w:i/>
          <w:iCs/>
          <w:sz w:val="24"/>
          <w:szCs w:val="24"/>
        </w:rPr>
        <w:t>bovis</w:t>
      </w:r>
      <w:proofErr w:type="spellEnd"/>
      <w:r w:rsidRPr="00D42B15">
        <w:rPr>
          <w:rFonts w:eastAsia="Times New Roman" w:cs="Times New Roman"/>
          <w:sz w:val="24"/>
          <w:szCs w:val="24"/>
        </w:rPr>
        <w:t xml:space="preserve"> </w:t>
      </w:r>
      <w:r w:rsidRPr="00D42B15">
        <w:rPr>
          <w:rFonts w:eastAsia="Times New Roman" w:cs="Times New Roman"/>
          <w:sz w:val="24"/>
          <w:szCs w:val="24"/>
          <w:lang w:eastAsia="uk-UA"/>
        </w:rPr>
        <w:t>(підшкірний овід), можуть виникнути ускладнення внаслідок загибелі личинок у життєво важливих органах: при загибелі личинок у хребетному стовпі може виникнути параліч, у ділянці глотки – салівація, метеоризм. На місці введення препарату може виникнути набряк. Не рекомендують в одне місце вводити більше 10 мл препарату.</w:t>
      </w:r>
    </w:p>
    <w:p w14:paraId="5A5D8405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5.11.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Період виведення (</w:t>
      </w:r>
      <w:proofErr w:type="spellStart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каренція</w:t>
      </w:r>
      <w:proofErr w:type="spellEnd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)</w:t>
      </w:r>
    </w:p>
    <w:p w14:paraId="509E8C4E" w14:textId="40295D2E" w:rsidR="00ED7641" w:rsidRPr="00D42B15" w:rsidRDefault="00ED7641" w:rsidP="00ED7641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Забій тварин на м'ясо дозволяється через 28 ді</w:t>
      </w:r>
      <w:r w:rsidR="00745B7C" w:rsidRPr="00D42B15">
        <w:rPr>
          <w:rFonts w:eastAsia="Times New Roman" w:cs="Times New Roman"/>
          <w:sz w:val="24"/>
          <w:szCs w:val="24"/>
          <w:lang w:eastAsia="uk-UA"/>
        </w:rPr>
        <w:t xml:space="preserve">б </w:t>
      </w:r>
      <w:r w:rsidR="00745B7C" w:rsidRPr="00D42B15">
        <w:rPr>
          <w:sz w:val="24"/>
          <w:szCs w:val="24"/>
        </w:rPr>
        <w:t>(вівці та свині), 49 діб (ВРХ)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після останнього застосування препарату.</w:t>
      </w:r>
    </w:p>
    <w:p w14:paraId="6D797A07" w14:textId="77777777" w:rsidR="00ED7641" w:rsidRPr="00D42B15" w:rsidRDefault="00ED7641" w:rsidP="00ED7641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У випадку вимушеного забою тварин раніше встановленого терміну м'ясо згодовують непродуктивним тваринам або утилізують, залежно від висновку лікаря ветеринарної медицини.</w:t>
      </w:r>
    </w:p>
    <w:p w14:paraId="684B5BBF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5.12.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Спеціальні застереження для осіб і обслуговуючого персоналу</w:t>
      </w:r>
    </w:p>
    <w:p w14:paraId="2E0B9C4F" w14:textId="77777777" w:rsidR="00830035" w:rsidRPr="00D42B15" w:rsidRDefault="00830035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При роботі з препаратом дотримуватися основних правил гігієни та безпеки, прийняті при роботі з ветеринарними препаратами. Уникати попадання препарату на шкіру і слизові оболонки, в очі, що може викликати подразнення і алергію.</w:t>
      </w:r>
    </w:p>
    <w:p w14:paraId="0E784816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6.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Фармацевтичні особливості</w:t>
      </w:r>
    </w:p>
    <w:p w14:paraId="37722F1D" w14:textId="77777777" w:rsidR="00830035" w:rsidRPr="00D42B15" w:rsidRDefault="00830035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bookmarkStart w:id="10" w:name="bookmark9"/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6.1.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Форми несумісності (основні)</w:t>
      </w:r>
      <w:bookmarkEnd w:id="10"/>
    </w:p>
    <w:p w14:paraId="32862B13" w14:textId="77777777" w:rsidR="00830035" w:rsidRDefault="00830035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 застосовувати одночасно з іншими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протипаразитарними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препаратами.</w:t>
      </w:r>
    </w:p>
    <w:p w14:paraId="7AF937C1" w14:textId="77777777" w:rsidR="002C05C0" w:rsidRDefault="002C05C0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</w:p>
    <w:p w14:paraId="45DCD1A9" w14:textId="77777777" w:rsidR="002C05C0" w:rsidRDefault="002C05C0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</w:p>
    <w:p w14:paraId="4364259F" w14:textId="77777777" w:rsidR="002C05C0" w:rsidRDefault="002C05C0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</w:p>
    <w:p w14:paraId="74042DCF" w14:textId="77777777" w:rsidR="002C05C0" w:rsidRDefault="002C05C0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</w:p>
    <w:p w14:paraId="5F5E515D" w14:textId="77777777" w:rsidR="002C05C0" w:rsidRPr="00D42B15" w:rsidRDefault="002C05C0" w:rsidP="00ED7641">
      <w:pPr>
        <w:spacing w:line="260" w:lineRule="exact"/>
        <w:ind w:firstLine="567"/>
        <w:rPr>
          <w:rFonts w:eastAsia="Times New Roman" w:cs="Times New Roman"/>
          <w:sz w:val="24"/>
          <w:szCs w:val="24"/>
          <w:lang w:eastAsia="uk-UA"/>
        </w:rPr>
      </w:pPr>
    </w:p>
    <w:p w14:paraId="3FD028FC" w14:textId="77777777" w:rsidR="00745B7C" w:rsidRPr="00D42B15" w:rsidRDefault="00745B7C" w:rsidP="00745B7C">
      <w:pPr>
        <w:suppressAutoHyphens/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uk-UA"/>
        </w:rPr>
      </w:pPr>
      <w:bookmarkStart w:id="11" w:name="bookmark10"/>
      <w:r w:rsidRPr="00D42B15">
        <w:rPr>
          <w:rFonts w:eastAsia="Times New Roman" w:cs="Times New Roman"/>
          <w:sz w:val="24"/>
          <w:szCs w:val="24"/>
          <w:lang w:eastAsia="uk-UA"/>
        </w:rPr>
        <w:lastRenderedPageBreak/>
        <w:t>Продовження додатку 1</w:t>
      </w:r>
    </w:p>
    <w:p w14:paraId="2FC1150E" w14:textId="77777777" w:rsidR="00745B7C" w:rsidRPr="00D42B15" w:rsidRDefault="00745B7C" w:rsidP="00745B7C">
      <w:pPr>
        <w:spacing w:line="240" w:lineRule="auto"/>
        <w:ind w:firstLine="567"/>
        <w:jc w:val="right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до реєстраційного посвідчення АВ-01289-01-10</w:t>
      </w:r>
    </w:p>
    <w:p w14:paraId="58FBD270" w14:textId="77777777" w:rsidR="00745B7C" w:rsidRPr="00D42B15" w:rsidRDefault="00745B7C" w:rsidP="00ED7641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</w:p>
    <w:p w14:paraId="2B55478F" w14:textId="4FC50254" w:rsidR="00ED7641" w:rsidRPr="00D42B15" w:rsidRDefault="00830035" w:rsidP="00745B7C">
      <w:pPr>
        <w:spacing w:line="260" w:lineRule="exact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6.2.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Термін придатності</w:t>
      </w:r>
      <w:bookmarkEnd w:id="11"/>
    </w:p>
    <w:p w14:paraId="01A6F2B9" w14:textId="77777777" w:rsidR="00CF2053" w:rsidRPr="00D42B15" w:rsidRDefault="00ED7641" w:rsidP="00ED764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2 роки. </w:t>
      </w:r>
    </w:p>
    <w:p w14:paraId="7CBA5867" w14:textId="40304C67" w:rsidR="00ED7641" w:rsidRPr="00A90EF1" w:rsidRDefault="00ED7641" w:rsidP="00ED7641">
      <w:pPr>
        <w:spacing w:line="240" w:lineRule="auto"/>
        <w:ind w:firstLine="0"/>
        <w:rPr>
          <w:rFonts w:eastAsia="Times New Roman" w:cs="Times New Roman"/>
          <w:sz w:val="24"/>
          <w:szCs w:val="24"/>
          <w:lang w:val="ru-RU"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Після першого відбору з флакону </w:t>
      </w:r>
      <w:r w:rsidR="00745B7C" w:rsidRPr="00D42B15">
        <w:rPr>
          <w:rFonts w:eastAsia="Times New Roman" w:cs="Times New Roman"/>
          <w:sz w:val="24"/>
          <w:szCs w:val="24"/>
          <w:lang w:eastAsia="uk-UA"/>
        </w:rPr>
        <w:t>–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745B7C" w:rsidRPr="00D42B15">
        <w:rPr>
          <w:rFonts w:eastAsia="Times New Roman" w:cs="Times New Roman"/>
          <w:sz w:val="24"/>
          <w:szCs w:val="24"/>
          <w:lang w:eastAsia="uk-UA"/>
        </w:rPr>
        <w:t>14 діб</w:t>
      </w:r>
      <w:r w:rsidR="00D42B15">
        <w:rPr>
          <w:rFonts w:eastAsia="Times New Roman" w:cs="Times New Roman"/>
          <w:sz w:val="24"/>
          <w:szCs w:val="24"/>
          <w:lang w:eastAsia="uk-UA"/>
        </w:rPr>
        <w:t xml:space="preserve"> з</w:t>
      </w:r>
      <w:r w:rsidRPr="00D42B15">
        <w:rPr>
          <w:rFonts w:eastAsia="Times New Roman" w:cs="Times New Roman"/>
          <w:sz w:val="24"/>
          <w:szCs w:val="24"/>
          <w:lang w:eastAsia="uk-UA"/>
        </w:rPr>
        <w:t xml:space="preserve">а умови зберігання його у темному місці за температури від 5 до </w:t>
      </w:r>
      <w:r w:rsidRPr="00A90EF1">
        <w:rPr>
          <w:rFonts w:eastAsia="Times New Roman" w:cs="Times New Roman"/>
          <w:sz w:val="24"/>
          <w:szCs w:val="24"/>
          <w:lang w:eastAsia="uk-UA"/>
        </w:rPr>
        <w:t>25</w:t>
      </w:r>
      <w:r w:rsidR="00CF2053" w:rsidRPr="00A90EF1">
        <w:rPr>
          <w:rFonts w:eastAsia="Times New Roman" w:cs="Times New Roman"/>
          <w:sz w:val="24"/>
          <w:szCs w:val="24"/>
          <w:lang w:eastAsia="uk-UA"/>
        </w:rPr>
        <w:t>ºС</w:t>
      </w:r>
      <w:r w:rsidRPr="00A90EF1">
        <w:rPr>
          <w:rFonts w:eastAsia="Times New Roman" w:cs="Times New Roman"/>
          <w:sz w:val="24"/>
          <w:szCs w:val="24"/>
          <w:lang w:eastAsia="uk-UA"/>
        </w:rPr>
        <w:t>.</w:t>
      </w:r>
    </w:p>
    <w:p w14:paraId="13DE6647" w14:textId="77777777" w:rsidR="00830035" w:rsidRPr="00A90EF1" w:rsidRDefault="00830035" w:rsidP="00ED7641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A90EF1">
        <w:rPr>
          <w:rFonts w:eastAsia="Times New Roman" w:cs="Times New Roman"/>
          <w:b/>
          <w:bCs/>
          <w:sz w:val="24"/>
          <w:szCs w:val="24"/>
          <w:lang w:eastAsia="uk-UA"/>
        </w:rPr>
        <w:t>6.3.</w:t>
      </w:r>
      <w:r w:rsidR="00ED7641" w:rsidRPr="00A90EF1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A90EF1">
        <w:rPr>
          <w:rFonts w:eastAsia="Times New Roman" w:cs="Times New Roman"/>
          <w:b/>
          <w:bCs/>
          <w:sz w:val="24"/>
          <w:szCs w:val="24"/>
          <w:lang w:eastAsia="uk-UA"/>
        </w:rPr>
        <w:t>Особливі заходи зберігання</w:t>
      </w:r>
    </w:p>
    <w:p w14:paraId="56065E60" w14:textId="62BDCB61" w:rsidR="00ED7641" w:rsidRPr="00A90EF1" w:rsidRDefault="00ED7641" w:rsidP="00A90EF1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A90EF1">
        <w:rPr>
          <w:rFonts w:eastAsia="Times New Roman" w:cs="Times New Roman"/>
          <w:sz w:val="24"/>
          <w:szCs w:val="24"/>
          <w:lang w:eastAsia="uk-UA"/>
        </w:rPr>
        <w:t>Темне, недоступне для дітей, місце за температури від 5 до 25</w:t>
      </w:r>
      <w:r w:rsidR="00240669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="00CF2053" w:rsidRPr="00A90EF1">
        <w:rPr>
          <w:rFonts w:eastAsia="Times New Roman" w:cs="Times New Roman"/>
          <w:sz w:val="24"/>
          <w:szCs w:val="24"/>
          <w:lang w:eastAsia="uk-UA"/>
        </w:rPr>
        <w:t>ºС</w:t>
      </w:r>
      <w:r w:rsidRPr="00A90EF1">
        <w:rPr>
          <w:rFonts w:eastAsia="Times New Roman" w:cs="Times New Roman"/>
          <w:sz w:val="24"/>
          <w:szCs w:val="24"/>
          <w:lang w:eastAsia="uk-UA"/>
        </w:rPr>
        <w:t>.</w:t>
      </w:r>
    </w:p>
    <w:p w14:paraId="4D5F65A3" w14:textId="77777777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A90EF1">
        <w:rPr>
          <w:rFonts w:eastAsia="Times New Roman" w:cs="Times New Roman"/>
          <w:b/>
          <w:bCs/>
          <w:sz w:val="24"/>
          <w:szCs w:val="24"/>
          <w:lang w:eastAsia="uk-UA"/>
        </w:rPr>
        <w:t>6.4.</w:t>
      </w:r>
      <w:r w:rsidR="00ED7641" w:rsidRPr="00A90EF1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A90EF1">
        <w:rPr>
          <w:rFonts w:eastAsia="Times New Roman" w:cs="Times New Roman"/>
          <w:b/>
          <w:bCs/>
          <w:sz w:val="24"/>
          <w:szCs w:val="24"/>
          <w:lang w:eastAsia="uk-UA"/>
        </w:rPr>
        <w:t>Природа і склад контейнера первинного пакування</w:t>
      </w:r>
    </w:p>
    <w:p w14:paraId="5FCAF31B" w14:textId="6AF50CE4" w:rsidR="00830035" w:rsidRPr="00D42B15" w:rsidRDefault="00830035" w:rsidP="00ED7641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>Скляні, герметично закриті гумовими корками, флакони по</w:t>
      </w:r>
      <w:r w:rsidR="003C0D99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sz w:val="24"/>
          <w:szCs w:val="24"/>
          <w:lang w:eastAsia="uk-UA"/>
        </w:rPr>
        <w:t>10, 50 та 100 мл</w:t>
      </w:r>
      <w:r w:rsidR="003C0D99">
        <w:rPr>
          <w:rFonts w:eastAsia="Times New Roman" w:cs="Times New Roman"/>
          <w:sz w:val="24"/>
          <w:szCs w:val="24"/>
          <w:lang w:eastAsia="uk-UA"/>
        </w:rPr>
        <w:t>.</w:t>
      </w:r>
    </w:p>
    <w:p w14:paraId="07DD4B4C" w14:textId="77777777" w:rsidR="00830035" w:rsidRPr="00D42B15" w:rsidRDefault="00830035" w:rsidP="00ED7641">
      <w:pPr>
        <w:suppressAutoHyphens/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6.5.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Особливі заходи безпеки при поводженні з невикористаним препаратом або із його залишками</w:t>
      </w:r>
    </w:p>
    <w:p w14:paraId="4F9E5915" w14:textId="263043CC" w:rsidR="00830035" w:rsidRPr="00D42B15" w:rsidRDefault="00830035" w:rsidP="00ED7641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Невикористаний або </w:t>
      </w:r>
      <w:proofErr w:type="spellStart"/>
      <w:r w:rsidRPr="00D42B15">
        <w:rPr>
          <w:rFonts w:eastAsia="Times New Roman" w:cs="Times New Roman"/>
          <w:sz w:val="24"/>
          <w:szCs w:val="24"/>
          <w:lang w:eastAsia="uk-UA"/>
        </w:rPr>
        <w:t>протермінований</w:t>
      </w:r>
      <w:proofErr w:type="spellEnd"/>
      <w:r w:rsidRPr="00D42B15">
        <w:rPr>
          <w:rFonts w:eastAsia="Times New Roman" w:cs="Times New Roman"/>
          <w:sz w:val="24"/>
          <w:szCs w:val="24"/>
          <w:lang w:eastAsia="uk-UA"/>
        </w:rPr>
        <w:t xml:space="preserve"> препарат утилізують відповідно до </w:t>
      </w:r>
      <w:r w:rsidR="00240669">
        <w:rPr>
          <w:rFonts w:eastAsia="Times New Roman" w:cs="Times New Roman"/>
          <w:sz w:val="24"/>
          <w:szCs w:val="24"/>
          <w:lang w:eastAsia="uk-UA"/>
        </w:rPr>
        <w:t xml:space="preserve">вимог </w:t>
      </w:r>
      <w:r w:rsidRPr="00D42B15">
        <w:rPr>
          <w:rFonts w:eastAsia="Times New Roman" w:cs="Times New Roman"/>
          <w:sz w:val="24"/>
          <w:szCs w:val="24"/>
          <w:lang w:eastAsia="uk-UA"/>
        </w:rPr>
        <w:t>чинного законодавства.</w:t>
      </w:r>
    </w:p>
    <w:p w14:paraId="08CC567F" w14:textId="77777777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7.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  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Назва і місце знаходження власника реєстраційного посвідчення</w:t>
      </w:r>
    </w:p>
    <w:p w14:paraId="221EEDC7" w14:textId="77777777" w:rsidR="00ED7641" w:rsidRPr="00D42B15" w:rsidRDefault="00E401AD" w:rsidP="00E401A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        </w:t>
      </w:r>
      <w:bookmarkStart w:id="12" w:name="_Hlk211255924"/>
      <w:r w:rsidR="00ED7641" w:rsidRPr="00D42B15">
        <w:rPr>
          <w:rFonts w:eastAsia="Times New Roman" w:cs="Times New Roman"/>
          <w:sz w:val="24"/>
          <w:szCs w:val="24"/>
          <w:lang w:eastAsia="uk-UA"/>
        </w:rPr>
        <w:t>ТОВ ВФ "Базальт" (Україна)</w:t>
      </w:r>
    </w:p>
    <w:p w14:paraId="1794A225" w14:textId="77777777" w:rsidR="00ED7641" w:rsidRPr="00D42B15" w:rsidRDefault="00E401AD" w:rsidP="00E401A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        </w:t>
      </w:r>
      <w:r w:rsidR="00ED7641" w:rsidRPr="00D42B15">
        <w:rPr>
          <w:rFonts w:eastAsia="Times New Roman" w:cs="Times New Roman"/>
          <w:sz w:val="24"/>
          <w:szCs w:val="24"/>
          <w:lang w:eastAsia="uk-UA"/>
        </w:rPr>
        <w:t xml:space="preserve">61010, Харківська обл., місто Харків, вул. </w:t>
      </w:r>
      <w:proofErr w:type="spellStart"/>
      <w:r w:rsidR="00ED7641" w:rsidRPr="00D42B15">
        <w:rPr>
          <w:rFonts w:eastAsia="Times New Roman" w:cs="Times New Roman"/>
          <w:sz w:val="24"/>
          <w:szCs w:val="24"/>
          <w:lang w:eastAsia="uk-UA"/>
        </w:rPr>
        <w:t>Лисаветинська</w:t>
      </w:r>
      <w:proofErr w:type="spellEnd"/>
      <w:r w:rsidR="00ED7641" w:rsidRPr="00D42B15">
        <w:rPr>
          <w:rFonts w:eastAsia="Times New Roman" w:cs="Times New Roman"/>
          <w:sz w:val="24"/>
          <w:szCs w:val="24"/>
          <w:lang w:eastAsia="uk-UA"/>
        </w:rPr>
        <w:t>, будинок 5б, квартира 32</w:t>
      </w:r>
    </w:p>
    <w:bookmarkEnd w:id="12"/>
    <w:p w14:paraId="3C1D176B" w14:textId="77777777" w:rsidR="00830035" w:rsidRPr="00D42B15" w:rsidRDefault="00830035" w:rsidP="00ED7641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8.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  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Назва і місце знаходження виробника </w:t>
      </w:r>
    </w:p>
    <w:p w14:paraId="431843A1" w14:textId="77777777" w:rsidR="00ED7641" w:rsidRPr="00D42B15" w:rsidRDefault="00E401AD" w:rsidP="00E401A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        </w:t>
      </w:r>
      <w:r w:rsidR="00ED7641" w:rsidRPr="00D42B15">
        <w:rPr>
          <w:rFonts w:eastAsia="Times New Roman" w:cs="Times New Roman"/>
          <w:sz w:val="24"/>
          <w:szCs w:val="24"/>
          <w:lang w:eastAsia="uk-UA"/>
        </w:rPr>
        <w:t>ТОВ ВФ "Базальт" (Україна)</w:t>
      </w:r>
    </w:p>
    <w:p w14:paraId="14E75693" w14:textId="77777777" w:rsidR="00ED7641" w:rsidRPr="00D42B15" w:rsidRDefault="00E401AD" w:rsidP="00E401A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sz w:val="24"/>
          <w:szCs w:val="24"/>
          <w:lang w:eastAsia="uk-UA"/>
        </w:rPr>
        <w:t xml:space="preserve">        </w:t>
      </w:r>
      <w:r w:rsidR="00ED7641" w:rsidRPr="00D42B15">
        <w:rPr>
          <w:rFonts w:eastAsia="Times New Roman" w:cs="Times New Roman"/>
          <w:sz w:val="24"/>
          <w:szCs w:val="24"/>
          <w:lang w:eastAsia="uk-UA"/>
        </w:rPr>
        <w:t xml:space="preserve">61010, Харківська обл., місто Харків, вул. </w:t>
      </w:r>
      <w:proofErr w:type="spellStart"/>
      <w:r w:rsidR="00ED7641" w:rsidRPr="00D42B15">
        <w:rPr>
          <w:rFonts w:eastAsia="Times New Roman" w:cs="Times New Roman"/>
          <w:sz w:val="24"/>
          <w:szCs w:val="24"/>
          <w:lang w:eastAsia="uk-UA"/>
        </w:rPr>
        <w:t>Лисаветинська</w:t>
      </w:r>
      <w:proofErr w:type="spellEnd"/>
      <w:r w:rsidR="00ED7641" w:rsidRPr="00D42B15">
        <w:rPr>
          <w:rFonts w:eastAsia="Times New Roman" w:cs="Times New Roman"/>
          <w:sz w:val="24"/>
          <w:szCs w:val="24"/>
          <w:lang w:eastAsia="uk-UA"/>
        </w:rPr>
        <w:t>, будинок 5б, квартира 32</w:t>
      </w:r>
    </w:p>
    <w:p w14:paraId="7F6B602B" w14:textId="0D576E37" w:rsidR="007A0A85" w:rsidRPr="00D42B15" w:rsidRDefault="00830035" w:rsidP="00D42B1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uk-UA"/>
        </w:rPr>
      </w:pP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9.</w:t>
      </w:r>
      <w:r w:rsidR="00ED7641" w:rsidRPr="00D42B15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   </w:t>
      </w:r>
      <w:r w:rsidRPr="00D42B15">
        <w:rPr>
          <w:rFonts w:eastAsia="Times New Roman" w:cs="Times New Roman"/>
          <w:b/>
          <w:bCs/>
          <w:sz w:val="24"/>
          <w:szCs w:val="24"/>
          <w:lang w:eastAsia="uk-UA"/>
        </w:rPr>
        <w:t>Додаткова інформація</w:t>
      </w:r>
    </w:p>
    <w:sectPr w:rsidR="007A0A85" w:rsidRPr="00D42B15" w:rsidSect="00240669"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C006F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5691"/>
    <w:rsid w:val="00042781"/>
    <w:rsid w:val="000D6BDF"/>
    <w:rsid w:val="00111EB4"/>
    <w:rsid w:val="00126F17"/>
    <w:rsid w:val="001577BC"/>
    <w:rsid w:val="00180388"/>
    <w:rsid w:val="00240669"/>
    <w:rsid w:val="00260374"/>
    <w:rsid w:val="002C05C0"/>
    <w:rsid w:val="003C0D99"/>
    <w:rsid w:val="00533AD8"/>
    <w:rsid w:val="005E7E8F"/>
    <w:rsid w:val="00656950"/>
    <w:rsid w:val="0066362F"/>
    <w:rsid w:val="0066537A"/>
    <w:rsid w:val="0071308F"/>
    <w:rsid w:val="00745B7C"/>
    <w:rsid w:val="007A0A85"/>
    <w:rsid w:val="007B32AA"/>
    <w:rsid w:val="00830035"/>
    <w:rsid w:val="00835691"/>
    <w:rsid w:val="00845FF1"/>
    <w:rsid w:val="009A6471"/>
    <w:rsid w:val="00A90EF1"/>
    <w:rsid w:val="00CB039E"/>
    <w:rsid w:val="00CF2053"/>
    <w:rsid w:val="00D42B15"/>
    <w:rsid w:val="00DC6AAA"/>
    <w:rsid w:val="00E245FE"/>
    <w:rsid w:val="00E401AD"/>
    <w:rsid w:val="00E96CDC"/>
    <w:rsid w:val="00EC3465"/>
    <w:rsid w:val="00ED7641"/>
    <w:rsid w:val="00F67E42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5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</w:rPr>
  </w:style>
  <w:style w:type="paragraph" w:styleId="1">
    <w:name w:val="heading 1"/>
    <w:aliases w:val="1 Заголовок 1"/>
    <w:basedOn w:val="a"/>
    <w:next w:val="a"/>
    <w:link w:val="10"/>
    <w:uiPriority w:val="9"/>
    <w:qFormat/>
    <w:rsid w:val="00835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1 Знак"/>
    <w:basedOn w:val="a0"/>
    <w:link w:val="1"/>
    <w:uiPriority w:val="9"/>
    <w:rsid w:val="00835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6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6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69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6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6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691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B32A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32A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32AA"/>
    <w:rPr>
      <w:rFonts w:ascii="Times New Roman" w:hAnsi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A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AA"/>
    <w:rPr>
      <w:rFonts w:ascii="Times New Roman" w:hAnsi="Times New Roman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B3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32AA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marta</cp:lastModifiedBy>
  <cp:revision>25</cp:revision>
  <dcterms:created xsi:type="dcterms:W3CDTF">2025-10-13T10:30:00Z</dcterms:created>
  <dcterms:modified xsi:type="dcterms:W3CDTF">2025-10-24T10:48:00Z</dcterms:modified>
</cp:coreProperties>
</file>