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C6" w:rsidRPr="0064308A" w:rsidRDefault="009116F9" w:rsidP="00DB74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>Додаток 1</w:t>
      </w:r>
    </w:p>
    <w:p w:rsidR="001523B4" w:rsidRPr="0064308A" w:rsidRDefault="009116F9" w:rsidP="00DB74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>до реєстраційного посвідчення АВ-05498-01-14</w:t>
      </w:r>
    </w:p>
    <w:p w:rsidR="001A2BF8" w:rsidRPr="0064308A" w:rsidRDefault="001A2BF8" w:rsidP="001A2B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26A" w:rsidRPr="0064308A" w:rsidRDefault="009116F9" w:rsidP="00DB7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08A">
        <w:rPr>
          <w:rFonts w:ascii="Times New Roman" w:hAnsi="Times New Roman" w:cs="Times New Roman"/>
          <w:b/>
          <w:sz w:val="24"/>
          <w:szCs w:val="24"/>
        </w:rPr>
        <w:t>Коротка характеристика препарату</w:t>
      </w:r>
    </w:p>
    <w:p w:rsidR="00DB74C6" w:rsidRPr="0064308A" w:rsidRDefault="00F7126A" w:rsidP="00DB74C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4308A">
        <w:rPr>
          <w:rFonts w:ascii="Times New Roman" w:hAnsi="Times New Roman" w:cs="Times New Roman"/>
          <w:b/>
          <w:sz w:val="24"/>
          <w:szCs w:val="24"/>
        </w:rPr>
        <w:t>Назва</w:t>
      </w:r>
    </w:p>
    <w:p w:rsidR="00DB74C6" w:rsidRPr="0064308A" w:rsidRDefault="00F7126A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>Розчин кальцію хлориду 10% для ін’єкцій</w:t>
      </w:r>
    </w:p>
    <w:p w:rsidR="00DB74C6" w:rsidRPr="0064308A" w:rsidRDefault="00DB74C6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4308A">
        <w:rPr>
          <w:rFonts w:ascii="Times New Roman" w:hAnsi="Times New Roman" w:cs="Times New Roman"/>
          <w:b/>
          <w:sz w:val="24"/>
          <w:szCs w:val="24"/>
        </w:rPr>
        <w:t>2.Склад</w:t>
      </w:r>
    </w:p>
    <w:p w:rsidR="00DB74C6" w:rsidRPr="0064308A" w:rsidRDefault="00F7126A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 xml:space="preserve">100 мл препарату містять діючу речовину (г): </w:t>
      </w:r>
    </w:p>
    <w:p w:rsidR="00DB74C6" w:rsidRPr="0064308A" w:rsidRDefault="00F7126A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 xml:space="preserve">кальцію хлорид </w:t>
      </w:r>
      <w:r w:rsidR="001C1BEA" w:rsidRPr="0064308A">
        <w:rPr>
          <w:rFonts w:ascii="Times New Roman" w:hAnsi="Times New Roman" w:cs="Times New Roman"/>
          <w:sz w:val="24"/>
          <w:szCs w:val="24"/>
        </w:rPr>
        <w:t>-</w:t>
      </w:r>
      <w:r w:rsidRPr="0064308A">
        <w:rPr>
          <w:rFonts w:ascii="Times New Roman" w:hAnsi="Times New Roman" w:cs="Times New Roman"/>
          <w:sz w:val="24"/>
          <w:szCs w:val="24"/>
        </w:rPr>
        <w:t xml:space="preserve">10,0. </w:t>
      </w:r>
    </w:p>
    <w:p w:rsidR="00DB74C6" w:rsidRPr="0064308A" w:rsidRDefault="00F7126A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>Допоміжні речовини: вода для ін’єкцій.</w:t>
      </w:r>
    </w:p>
    <w:p w:rsidR="00804F7B" w:rsidRPr="0064308A" w:rsidRDefault="00F7126A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4308A">
        <w:rPr>
          <w:rFonts w:ascii="Times New Roman" w:hAnsi="Times New Roman" w:cs="Times New Roman"/>
          <w:b/>
          <w:sz w:val="24"/>
          <w:szCs w:val="24"/>
        </w:rPr>
        <w:t>3</w:t>
      </w:r>
      <w:r w:rsidR="003C2CE0" w:rsidRPr="0064308A">
        <w:rPr>
          <w:rFonts w:ascii="Times New Roman" w:hAnsi="Times New Roman" w:cs="Times New Roman"/>
          <w:b/>
          <w:sz w:val="24"/>
          <w:szCs w:val="24"/>
        </w:rPr>
        <w:t>. Фармацевтична (лікарська) форма</w:t>
      </w:r>
    </w:p>
    <w:p w:rsidR="00804F7B" w:rsidRPr="0064308A" w:rsidRDefault="003C2CE0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>Розчин для ін’єкцій.</w:t>
      </w:r>
    </w:p>
    <w:p w:rsidR="00804F7B" w:rsidRPr="0064308A" w:rsidRDefault="003C2CE0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4308A">
        <w:rPr>
          <w:rFonts w:ascii="Times New Roman" w:hAnsi="Times New Roman" w:cs="Times New Roman"/>
          <w:b/>
          <w:sz w:val="24"/>
          <w:szCs w:val="24"/>
        </w:rPr>
        <w:t>4. Фармакологічні властивості</w:t>
      </w:r>
    </w:p>
    <w:p w:rsidR="00804F7B" w:rsidRPr="0064308A" w:rsidRDefault="00994799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  <w:r w:rsidRPr="0064308A">
        <w:rPr>
          <w:rFonts w:ascii="Times New Roman" w:hAnsi="Times New Roman" w:cs="Times New Roman"/>
          <w:b/>
          <w:i/>
          <w:sz w:val="24"/>
          <w:szCs w:val="24"/>
          <w:lang w:val="en-US"/>
        </w:rPr>
        <w:t>ATC</w:t>
      </w:r>
      <w:r w:rsidRPr="0064308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64308A">
        <w:rPr>
          <w:rFonts w:ascii="Times New Roman" w:hAnsi="Times New Roman" w:cs="Times New Roman"/>
          <w:b/>
          <w:i/>
          <w:sz w:val="24"/>
          <w:szCs w:val="24"/>
          <w:lang w:val="en-US"/>
        </w:rPr>
        <w:t>vet</w:t>
      </w:r>
      <w:r w:rsidRPr="0064308A">
        <w:rPr>
          <w:rFonts w:ascii="Times New Roman" w:hAnsi="Times New Roman" w:cs="Times New Roman"/>
          <w:b/>
          <w:i/>
          <w:sz w:val="24"/>
          <w:szCs w:val="24"/>
        </w:rPr>
        <w:t xml:space="preserve"> класифікаційний код:</w:t>
      </w:r>
      <w:r w:rsidRPr="0064308A">
        <w:rPr>
          <w:rFonts w:ascii="Times New Roman" w:hAnsi="Times New Roman" w:cs="Times New Roman"/>
          <w:sz w:val="24"/>
          <w:szCs w:val="24"/>
        </w:rPr>
        <w:t xml:space="preserve"> </w:t>
      </w:r>
      <w:r w:rsidRPr="0064308A">
        <w:rPr>
          <w:rFonts w:ascii="Times New Roman" w:hAnsi="Times New Roman" w:cs="Times New Roman"/>
          <w:b/>
          <w:i/>
          <w:sz w:val="24"/>
          <w:szCs w:val="24"/>
          <w:lang w:val="en-US"/>
        </w:rPr>
        <w:t>QB</w:t>
      </w:r>
      <w:r w:rsidRPr="0064308A">
        <w:rPr>
          <w:rFonts w:ascii="Times New Roman" w:hAnsi="Times New Roman" w:cs="Times New Roman"/>
          <w:b/>
          <w:i/>
          <w:sz w:val="24"/>
          <w:szCs w:val="24"/>
        </w:rPr>
        <w:t>05</w:t>
      </w:r>
      <w:r w:rsidRPr="0064308A">
        <w:rPr>
          <w:rFonts w:ascii="Times New Roman" w:hAnsi="Times New Roman" w:cs="Times New Roman"/>
          <w:b/>
          <w:i/>
          <w:sz w:val="24"/>
          <w:szCs w:val="24"/>
          <w:lang w:val="en-US"/>
        </w:rPr>
        <w:t>XA</w:t>
      </w:r>
      <w:r w:rsidRPr="0064308A">
        <w:rPr>
          <w:rFonts w:ascii="Times New Roman" w:hAnsi="Times New Roman" w:cs="Times New Roman"/>
          <w:b/>
          <w:i/>
          <w:sz w:val="24"/>
          <w:szCs w:val="24"/>
        </w:rPr>
        <w:t xml:space="preserve">- Розчини електролітів. </w:t>
      </w:r>
      <w:proofErr w:type="gramStart"/>
      <w:r w:rsidRPr="0064308A">
        <w:rPr>
          <w:rFonts w:ascii="Times New Roman" w:hAnsi="Times New Roman" w:cs="Times New Roman"/>
          <w:b/>
          <w:i/>
          <w:sz w:val="24"/>
          <w:szCs w:val="24"/>
          <w:lang w:val="en-US"/>
        </w:rPr>
        <w:t>QB</w:t>
      </w:r>
      <w:r w:rsidRPr="0064308A">
        <w:rPr>
          <w:rFonts w:ascii="Times New Roman" w:hAnsi="Times New Roman" w:cs="Times New Roman"/>
          <w:b/>
          <w:i/>
          <w:sz w:val="24"/>
          <w:szCs w:val="24"/>
        </w:rPr>
        <w:t>05</w:t>
      </w:r>
      <w:r w:rsidRPr="0064308A">
        <w:rPr>
          <w:rFonts w:ascii="Times New Roman" w:hAnsi="Times New Roman" w:cs="Times New Roman"/>
          <w:b/>
          <w:i/>
          <w:sz w:val="24"/>
          <w:szCs w:val="24"/>
          <w:lang w:val="en-US"/>
        </w:rPr>
        <w:t>XA</w:t>
      </w:r>
      <w:r w:rsidRPr="0064308A">
        <w:rPr>
          <w:rFonts w:ascii="Times New Roman" w:hAnsi="Times New Roman" w:cs="Times New Roman"/>
          <w:b/>
          <w:i/>
          <w:sz w:val="24"/>
          <w:szCs w:val="24"/>
        </w:rPr>
        <w:t>07 - Кальцію хлорид.</w:t>
      </w:r>
      <w:proofErr w:type="gramEnd"/>
    </w:p>
    <w:p w:rsidR="00804F7B" w:rsidRPr="0064308A" w:rsidRDefault="00994799" w:rsidP="00620101">
      <w:pPr>
        <w:pStyle w:val="a3"/>
        <w:spacing w:before="100" w:beforeAutospacing="1" w:after="100" w:afterAutospacing="1" w:line="240" w:lineRule="auto"/>
        <w:ind w:left="0"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 xml:space="preserve">Іони кальцію ущільнюють оболонку клітин і знижують проникність мембран, мають протизапальну та проти набрякову дії. Кальцій активізує процеси зсідання крові, створюючи умови для перетворювання протромбіну у тромбін. Цей іон необхідний для формування кісткової тканини, процесу скорочення скелетних і серцевих м’язів. </w:t>
      </w:r>
    </w:p>
    <w:p w:rsidR="00804F7B" w:rsidRPr="0064308A" w:rsidRDefault="00994799" w:rsidP="00620101">
      <w:pPr>
        <w:pStyle w:val="a3"/>
        <w:spacing w:before="100" w:beforeAutospacing="1" w:after="100" w:afterAutospacing="1" w:line="240" w:lineRule="auto"/>
        <w:ind w:left="0"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 xml:space="preserve">Кальцій активізує </w:t>
      </w:r>
      <w:proofErr w:type="spellStart"/>
      <w:r w:rsidRPr="0064308A">
        <w:rPr>
          <w:rFonts w:ascii="Times New Roman" w:hAnsi="Times New Roman" w:cs="Times New Roman"/>
          <w:sz w:val="24"/>
          <w:szCs w:val="24"/>
        </w:rPr>
        <w:t>ретикулоендотеліальну</w:t>
      </w:r>
      <w:proofErr w:type="spellEnd"/>
      <w:r w:rsidRPr="0064308A">
        <w:rPr>
          <w:rFonts w:ascii="Times New Roman" w:hAnsi="Times New Roman" w:cs="Times New Roman"/>
          <w:sz w:val="24"/>
          <w:szCs w:val="24"/>
        </w:rPr>
        <w:t xml:space="preserve"> систему та фагоцитарну функцію лейкоцитів, підвищує тонус симпатичної іннервації, прискорює синтез ферментів, має десенсибілізуючі властивості, діє проти алергічно. </w:t>
      </w:r>
    </w:p>
    <w:p w:rsidR="00804F7B" w:rsidRPr="0064308A" w:rsidRDefault="00994799" w:rsidP="00620101">
      <w:pPr>
        <w:pStyle w:val="a3"/>
        <w:spacing w:before="100" w:beforeAutospacing="1" w:after="100" w:afterAutospacing="1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</w:rPr>
        <w:t>У випадку потрапляння під шкіру або в м’язи викликає сильне подразнення та некроз тканин.</w:t>
      </w:r>
      <w:r w:rsidRPr="00643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64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внутрішньовенного введення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кальцію хлорид одразу надходить у системний </w:t>
      </w:r>
      <w:proofErr w:type="spellStart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кровотік</w:t>
      </w:r>
      <w:proofErr w:type="spellEnd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минаючи фазу абсорбції. Це дозволяє досягти </w:t>
      </w:r>
      <w:r w:rsidRPr="0064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швидкого терапевтичного ефекту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(через 1–3 хвилини). Іони кальцію швидко розподіляються по позаклітинній рідині,частково переходять у кісткову тканину - особливо у тварин з дефіцитом кальцію.</w:t>
      </w:r>
      <w:r w:rsidRPr="00643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Кальцій не проникає через </w:t>
      </w:r>
      <w:proofErr w:type="spellStart"/>
      <w:r w:rsidRPr="0064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гематоенцефалічний</w:t>
      </w:r>
      <w:proofErr w:type="spellEnd"/>
      <w:r w:rsidRPr="0064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бар’єр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але добре проходить у молоко (важливо при лактації).</w:t>
      </w:r>
      <w:r w:rsidRPr="00643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04F7B" w:rsidRPr="0064308A" w:rsidRDefault="00994799" w:rsidP="00620101">
      <w:pPr>
        <w:pStyle w:val="a3"/>
        <w:spacing w:before="100" w:beforeAutospacing="1" w:after="100" w:afterAutospacing="1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Кальцію хлорид не </w:t>
      </w:r>
      <w:proofErr w:type="spellStart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метаболізується</w:t>
      </w:r>
      <w:proofErr w:type="spellEnd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але  бере участь у численних фізіологічних процесах: передача нервових імпульсів,</w:t>
      </w:r>
      <w:r w:rsidRPr="00643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 м’язів (у т.ч. серцевого),</w:t>
      </w:r>
      <w:r w:rsidRPr="00643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активація ферментів,</w:t>
      </w:r>
      <w:r w:rsidRPr="00643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коагуляція крові.</w:t>
      </w:r>
      <w:r w:rsidRPr="0064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Виводиться</w:t>
      </w:r>
      <w:r w:rsidR="00804F7B" w:rsidRPr="00643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нирками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переважно у вигляді іонізованого кальцію.</w:t>
      </w:r>
    </w:p>
    <w:p w:rsidR="00620101" w:rsidRPr="0064308A" w:rsidRDefault="00B07C24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Клінічні особливості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0101" w:rsidRPr="0064308A" w:rsidRDefault="00B07C24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 Вид тварин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0101" w:rsidRPr="0064308A" w:rsidRDefault="00B07C24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 рогата худоба, коні, вівці, свині, собаки.</w:t>
      </w:r>
    </w:p>
    <w:p w:rsidR="00620101" w:rsidRPr="0064308A" w:rsidRDefault="00B07C24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 Показання до застосування</w:t>
      </w:r>
      <w:r w:rsidR="002050A0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0101" w:rsidRPr="0064308A" w:rsidRDefault="00475453" w:rsidP="00620101">
      <w:pPr>
        <w:pStyle w:val="a3"/>
        <w:spacing w:before="100" w:beforeAutospacing="1" w:after="100" w:afterAutospacing="1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поповнення недостатньої кількості кальцію в організмі тварин за початкових стадій запальних процесів (пневмонія, плеврит, ендометрит). Як кровоспинний засіб за легеневих, паренхіма</w:t>
      </w:r>
      <w:r w:rsidR="00620101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тозних, 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кровотечах травного каналу, геморагічного діатезу, як засіб, що зменшує проникність капілярів за гіперемії, набряку гортан</w:t>
      </w:r>
      <w:r w:rsidR="00620101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і, набрякової хвороби поросят. 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десенсибілізуючий засіб за алергічних захворювань (сироваткова хвороба, свербіж шкіри, </w:t>
      </w:r>
      <w:proofErr w:type="spellStart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кровоплямиста</w:t>
      </w:r>
      <w:proofErr w:type="spellEnd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хвороба коней, кропив’янка в коней і великої рогатої худоби); як антидот при отруєнні солями магнію, розчинними солями фтористоводневої та </w:t>
      </w:r>
      <w:proofErr w:type="spellStart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щавелевої</w:t>
      </w:r>
      <w:proofErr w:type="spellEnd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кислот; як заспокійливий та </w:t>
      </w:r>
      <w:proofErr w:type="spellStart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нормалізуючий</w:t>
      </w:r>
      <w:proofErr w:type="spellEnd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нервову систему засіб за вегетативних неврозів, остеодистрофії, рахіту у молодняка </w:t>
      </w:r>
      <w:r w:rsidR="004D2A74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великої рогатої худоби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паралітичної </w:t>
      </w:r>
      <w:proofErr w:type="spellStart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міоглобінурії</w:t>
      </w:r>
      <w:proofErr w:type="spellEnd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коней, гіпотонії та атонії передшлунків у жуйних тварин. </w:t>
      </w:r>
    </w:p>
    <w:p w:rsidR="00620101" w:rsidRPr="0064308A" w:rsidRDefault="00475453" w:rsidP="00620101">
      <w:pPr>
        <w:pStyle w:val="a3"/>
        <w:spacing w:before="100" w:beforeAutospacing="1" w:after="100" w:afterAutospacing="1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акушерсько-гінекологічній практиці препарат застосовують для лікування тварин хворих на ендометрит, метрит, для стимуляції родової діяльності, пришвидшення відділення посліду, попередження абортів, за родильного парезу, післяродової гематурії у корів, передродових та післяродових залежувань, проявів тетанії вагітних тварин. </w:t>
      </w:r>
    </w:p>
    <w:p w:rsidR="00620101" w:rsidRPr="0064308A" w:rsidRDefault="002F6764" w:rsidP="00DB74C6">
      <w:pPr>
        <w:pStyle w:val="a3"/>
        <w:spacing w:before="100" w:beforeAutospacing="1" w:after="100" w:afterAutospacing="1" w:line="240" w:lineRule="auto"/>
        <w:ind w:left="0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 Протипоказання</w:t>
      </w:r>
    </w:p>
    <w:p w:rsidR="004D2A74" w:rsidRDefault="00DD5F98" w:rsidP="00620101">
      <w:pPr>
        <w:pStyle w:val="a3"/>
        <w:spacing w:before="100" w:beforeAutospacing="1" w:after="100" w:afterAutospacing="1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застосовувати при </w:t>
      </w:r>
      <w:proofErr w:type="spellStart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гіперкальціємії</w:t>
      </w:r>
      <w:proofErr w:type="spellEnd"/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схильності до тромбозів. </w:t>
      </w:r>
      <w:r w:rsidR="00FC27F3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вводити підшкірно або </w:t>
      </w:r>
      <w:proofErr w:type="spellStart"/>
      <w:r w:rsidR="00FC27F3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внутрішньом’язово</w:t>
      </w:r>
      <w:proofErr w:type="spellEnd"/>
      <w:r w:rsidR="00FC27F3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08A" w:rsidRPr="0064308A" w:rsidRDefault="0064308A" w:rsidP="0064308A">
      <w:pPr>
        <w:pStyle w:val="a3"/>
        <w:spacing w:before="100" w:beforeAutospacing="1" w:after="100" w:afterAutospacing="1" w:line="240" w:lineRule="auto"/>
        <w:ind w:firstLine="708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Продовження додатку 1</w:t>
      </w:r>
    </w:p>
    <w:p w:rsidR="0064308A" w:rsidRDefault="0064308A" w:rsidP="0064308A">
      <w:pPr>
        <w:pStyle w:val="a3"/>
        <w:spacing w:before="100" w:beforeAutospacing="1" w:after="100" w:afterAutospacing="1" w:line="240" w:lineRule="auto"/>
        <w:ind w:left="0" w:firstLine="708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реєстраційного посвідчення АВ-05498-01-14</w:t>
      </w:r>
    </w:p>
    <w:p w:rsidR="0064308A" w:rsidRPr="0064308A" w:rsidRDefault="0064308A" w:rsidP="0064308A">
      <w:pPr>
        <w:pStyle w:val="a3"/>
        <w:spacing w:before="100" w:beforeAutospacing="1" w:after="100" w:afterAutospacing="1" w:line="240" w:lineRule="auto"/>
        <w:ind w:left="0" w:firstLine="708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01" w:rsidRPr="0064308A" w:rsidRDefault="00DD5F98" w:rsidP="00DB74C6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 Побічна дія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F1F" w:rsidRPr="0064308A" w:rsidRDefault="00DD5F98" w:rsidP="0064308A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Іноді</w:t>
      </w:r>
      <w:r w:rsidR="004D2A74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тварин</w:t>
      </w:r>
      <w:r w:rsidR="00CC1EAE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виникає сповільнення пульсу, що самостійно та швидко минає</w:t>
      </w:r>
      <w:r w:rsidR="004D2A74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2BF8" w:rsidRPr="0064308A" w:rsidRDefault="00CC1EAE" w:rsidP="0064308A">
      <w:pPr>
        <w:pStyle w:val="aa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 Особливі застереження при використанні</w:t>
      </w:r>
      <w:r w:rsidR="001A2BF8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2A74" w:rsidRPr="0064308A" w:rsidRDefault="004D2A74" w:rsidP="0064308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>Препарат вводять повільно, переконавшись, що голка шприца знаходиться в просвіті вени.</w:t>
      </w:r>
    </w:p>
    <w:p w:rsidR="004D2A74" w:rsidRPr="0064308A" w:rsidRDefault="004D2A74" w:rsidP="001A2BF8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>Якщо при введенні частина препарату потрапила підшкірно, необхідно для попередження некрозу тканин вводити навколо місця невдалої ін’єкції велику кількість розчину натрію хлориду ізотонічного 0,9 %.</w:t>
      </w:r>
    </w:p>
    <w:p w:rsidR="001A2BF8" w:rsidRPr="0064308A" w:rsidRDefault="0068787A" w:rsidP="001A2BF8">
      <w:pPr>
        <w:pStyle w:val="aa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5.6 Використання під час вагітності, лактації</w:t>
      </w: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2BF8" w:rsidRPr="0064308A" w:rsidRDefault="0068787A" w:rsidP="001A2BF8">
      <w:pPr>
        <w:pStyle w:val="aa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особливостей. </w:t>
      </w:r>
    </w:p>
    <w:p w:rsidR="001A2BF8" w:rsidRPr="0064308A" w:rsidRDefault="0068787A" w:rsidP="001A2BF8">
      <w:pPr>
        <w:pStyle w:val="aa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5.7 Взаємодія з іншими засобами та інші форми взаємодії </w:t>
      </w:r>
    </w:p>
    <w:p w:rsidR="001A2BF8" w:rsidRPr="0064308A" w:rsidRDefault="0068787A" w:rsidP="001A2BF8">
      <w:pPr>
        <w:pStyle w:val="aa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Проявляє антагоністичну дію до препаратів магнію, реагує з солями щавелевої кислоти та з самою щавелевою кислотою, фтористою кислотою, утворюючи нетоксичні сполуки</w:t>
      </w:r>
      <w:r w:rsidR="00892D97"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2BF8" w:rsidRPr="0064308A" w:rsidRDefault="00892D97" w:rsidP="001A2BF8">
      <w:pPr>
        <w:pStyle w:val="aa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5.8 Дози і способи введення тваринам різного віку</w:t>
      </w:r>
    </w:p>
    <w:p w:rsidR="001A2BF8" w:rsidRPr="0064308A" w:rsidRDefault="00892D97" w:rsidP="001A2BF8">
      <w:pPr>
        <w:pStyle w:val="aa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 вводять тільки повільно внутрішньовенно!</w:t>
      </w:r>
    </w:p>
    <w:p w:rsidR="009A57D3" w:rsidRPr="0064308A" w:rsidRDefault="00892D97" w:rsidP="001A2BF8">
      <w:pPr>
        <w:pStyle w:val="aa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Повільно у дозах (на одну тварину):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212"/>
      </w:tblGrid>
      <w:tr w:rsidR="009A57D3" w:rsidRPr="0064308A" w:rsidTr="009A57D3">
        <w:trPr>
          <w:trHeight w:val="56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D3" w:rsidRPr="0064308A" w:rsidRDefault="009A57D3" w:rsidP="001A2BF8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Вид тварин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Доза, мл на тварину</w:t>
            </w:r>
          </w:p>
        </w:tc>
      </w:tr>
      <w:tr w:rsidR="009A57D3" w:rsidRPr="0064308A" w:rsidTr="009A57D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Велика рогата худоба (маса тіла </w:t>
            </w:r>
            <w:r w:rsidR="004154AE"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6</w:t>
            </w: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00</w:t>
            </w:r>
            <w:r w:rsidR="004D2A74"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кг)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  <w:t>150-400</w:t>
            </w:r>
          </w:p>
        </w:tc>
      </w:tr>
      <w:tr w:rsidR="009A57D3" w:rsidRPr="0064308A" w:rsidTr="009A57D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Коні (маса тіла 500</w:t>
            </w:r>
            <w:r w:rsidR="004D2A74"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кг)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  <w:t>100-300</w:t>
            </w:r>
          </w:p>
        </w:tc>
      </w:tr>
      <w:tr w:rsidR="009A57D3" w:rsidRPr="0064308A" w:rsidTr="009A57D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Вівці (маса тіла 50-60</w:t>
            </w:r>
            <w:r w:rsidR="004D2A74"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кг)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  <w:t>10-30</w:t>
            </w:r>
          </w:p>
        </w:tc>
      </w:tr>
      <w:tr w:rsidR="009A57D3" w:rsidRPr="0064308A" w:rsidTr="009A57D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Свині (маса тіла 50-60</w:t>
            </w:r>
            <w:r w:rsidR="004D2A74"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кг)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  <w:t>12,5-15</w:t>
            </w:r>
          </w:p>
        </w:tc>
      </w:tr>
      <w:tr w:rsidR="009A57D3" w:rsidRPr="0064308A" w:rsidTr="009A57D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Собаки (маса тіла 10</w:t>
            </w:r>
            <w:r w:rsidR="004D2A74"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64308A">
              <w:rPr>
                <w:rFonts w:ascii="Times New Roman" w:eastAsia="Trebuchet MS" w:hAnsi="Times New Roman" w:cs="Times New Roman"/>
                <w:sz w:val="24"/>
                <w:szCs w:val="24"/>
              </w:rPr>
              <w:t>кг)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D3" w:rsidRPr="0064308A" w:rsidRDefault="009A57D3" w:rsidP="00DB74C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64308A"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  <w:t>2-6</w:t>
            </w:r>
          </w:p>
        </w:tc>
      </w:tr>
    </w:tbl>
    <w:p w:rsidR="001A2BF8" w:rsidRPr="0064308A" w:rsidRDefault="00892D97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>Перед введенням препарат підігрівають до температури тіла тварини.</w:t>
      </w:r>
    </w:p>
    <w:p w:rsidR="001A2BF8" w:rsidRPr="0064308A" w:rsidRDefault="00892D97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 xml:space="preserve">Застосовують 1 раз на добу. За необхідності </w:t>
      </w:r>
      <w:r w:rsidR="004154AE" w:rsidRPr="0064308A">
        <w:rPr>
          <w:rFonts w:ascii="Times New Roman" w:hAnsi="Times New Roman" w:cs="Times New Roman"/>
          <w:sz w:val="24"/>
          <w:szCs w:val="24"/>
          <w:lang w:eastAsia="ru-RU"/>
        </w:rPr>
        <w:t>інфузію</w:t>
      </w:r>
      <w:r w:rsidRPr="0064308A">
        <w:rPr>
          <w:rFonts w:ascii="Times New Roman" w:hAnsi="Times New Roman" w:cs="Times New Roman"/>
          <w:sz w:val="24"/>
          <w:szCs w:val="24"/>
          <w:lang w:eastAsia="ru-RU"/>
        </w:rPr>
        <w:t xml:space="preserve"> повторюють через 24-48 год.</w:t>
      </w:r>
    </w:p>
    <w:p w:rsidR="001A2BF8" w:rsidRPr="0064308A" w:rsidRDefault="00F64986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5.9 Передозування (симптоми, невідкладні засоби, антидоти)</w:t>
      </w:r>
    </w:p>
    <w:p w:rsidR="001A2BF8" w:rsidRPr="0064308A" w:rsidRDefault="00F64986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>Даних немає.</w:t>
      </w:r>
    </w:p>
    <w:p w:rsidR="001A2BF8" w:rsidRPr="0064308A" w:rsidRDefault="00F64986" w:rsidP="001A2BF8">
      <w:pPr>
        <w:pStyle w:val="aa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5.10 Спеціальні застереження</w:t>
      </w:r>
    </w:p>
    <w:p w:rsidR="001A2BF8" w:rsidRPr="0064308A" w:rsidRDefault="00F64986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>Уникати потрапляння препарату під шкіру або у м’язи.</w:t>
      </w:r>
    </w:p>
    <w:p w:rsidR="001A2BF8" w:rsidRPr="0064308A" w:rsidRDefault="00F64986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5.11 Період виведення (каренції)</w:t>
      </w:r>
    </w:p>
    <w:p w:rsidR="001A2BF8" w:rsidRPr="0064308A" w:rsidRDefault="004154AE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>Не вимагається</w:t>
      </w:r>
    </w:p>
    <w:p w:rsidR="001A2BF8" w:rsidRPr="0064308A" w:rsidRDefault="00F64986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5.12 Спеціальні застереження для осіб і обслуговуючого персоналу</w:t>
      </w:r>
    </w:p>
    <w:p w:rsidR="001A2BF8" w:rsidRPr="0064308A" w:rsidRDefault="00F64986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>Дотримуватись правил асептики та техніки безпечної фіксації тварин. Вводити повільно!</w:t>
      </w:r>
    </w:p>
    <w:p w:rsidR="001A2BF8" w:rsidRPr="0064308A" w:rsidRDefault="00F64986" w:rsidP="001A2BF8">
      <w:pPr>
        <w:pStyle w:val="aa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6. Фармацевтичні особливості</w:t>
      </w:r>
    </w:p>
    <w:p w:rsidR="001A2BF8" w:rsidRPr="0064308A" w:rsidRDefault="00F64986" w:rsidP="001A2BF8">
      <w:pPr>
        <w:pStyle w:val="aa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6.1 </w:t>
      </w:r>
      <w:r w:rsidR="00D87884"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Форми несумісності (основні)</w:t>
      </w:r>
    </w:p>
    <w:p w:rsidR="001A2BF8" w:rsidRPr="0064308A" w:rsidRDefault="00D87884" w:rsidP="001A2BF8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>Не сумісний з препаратами магнію, реагує з солями щавелевої кислоти та з самою щавелевою кислотою, фтористою кислотою</w:t>
      </w:r>
      <w:r w:rsidR="001A2BF8" w:rsidRPr="0064308A">
        <w:rPr>
          <w:rFonts w:ascii="Times New Roman" w:hAnsi="Times New Roman" w:cs="Times New Roman"/>
          <w:sz w:val="24"/>
          <w:szCs w:val="24"/>
          <w:lang w:eastAsia="ru-RU"/>
        </w:rPr>
        <w:t>, утворюючи нетоксичні сполуки.</w:t>
      </w:r>
    </w:p>
    <w:p w:rsidR="001A2BF8" w:rsidRPr="0064308A" w:rsidRDefault="00D87884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6.2 Термін придатності</w:t>
      </w:r>
    </w:p>
    <w:p w:rsidR="001A2BF8" w:rsidRPr="0064308A" w:rsidRDefault="00D87884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>3 роки.</w:t>
      </w:r>
    </w:p>
    <w:p w:rsidR="001A2BF8" w:rsidRPr="0064308A" w:rsidRDefault="00D87884" w:rsidP="001A2BF8">
      <w:pPr>
        <w:pStyle w:val="aa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6.3 Особливі заходи зберігання</w:t>
      </w:r>
    </w:p>
    <w:p w:rsidR="001A2BF8" w:rsidRPr="0064308A" w:rsidRDefault="00D87884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>Сухе темне</w:t>
      </w:r>
      <w:r w:rsidR="00814DBA" w:rsidRPr="0064308A">
        <w:rPr>
          <w:rFonts w:ascii="Times New Roman" w:hAnsi="Times New Roman" w:cs="Times New Roman"/>
          <w:sz w:val="24"/>
          <w:szCs w:val="24"/>
          <w:lang w:eastAsia="ru-RU"/>
        </w:rPr>
        <w:t>, недоступне для дітей</w:t>
      </w:r>
      <w:r w:rsidRPr="0064308A">
        <w:rPr>
          <w:rFonts w:ascii="Times New Roman" w:hAnsi="Times New Roman" w:cs="Times New Roman"/>
          <w:sz w:val="24"/>
          <w:szCs w:val="24"/>
          <w:lang w:eastAsia="ru-RU"/>
        </w:rPr>
        <w:t xml:space="preserve"> місце за температури від 0 до 25 </w:t>
      </w:r>
      <w:r w:rsidRPr="0064308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 w:rsidRPr="0064308A">
        <w:rPr>
          <w:rFonts w:ascii="Times New Roman" w:hAnsi="Times New Roman" w:cs="Times New Roman"/>
          <w:sz w:val="24"/>
          <w:szCs w:val="24"/>
          <w:lang w:eastAsia="ru-RU"/>
        </w:rPr>
        <w:t>С.</w:t>
      </w:r>
    </w:p>
    <w:p w:rsidR="001A2BF8" w:rsidRPr="0064308A" w:rsidRDefault="00100B66" w:rsidP="001A2BF8">
      <w:pPr>
        <w:pStyle w:val="aa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6.4 Природа і склад контейнера первинного пакування </w:t>
      </w:r>
    </w:p>
    <w:p w:rsidR="001A2BF8" w:rsidRPr="0064308A" w:rsidRDefault="00F37BF5" w:rsidP="000072C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>Скляні стерильні флакони по 100 і 200 мл закупорені гумовими корками та обкатані алюмінієвими ковпачками.</w:t>
      </w:r>
    </w:p>
    <w:p w:rsidR="000072C2" w:rsidRPr="0064308A" w:rsidRDefault="00F37BF5" w:rsidP="001A2BF8">
      <w:pPr>
        <w:pStyle w:val="aa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6.5 Особливі заходи безпеки при поводженні з невикористаним препаратом або з його залишками</w:t>
      </w:r>
    </w:p>
    <w:p w:rsidR="000072C2" w:rsidRPr="0064308A" w:rsidRDefault="00F37BF5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sz w:val="24"/>
          <w:szCs w:val="24"/>
          <w:lang w:eastAsia="ru-RU"/>
        </w:rPr>
        <w:t>Невикористаний препарат або його залишки мають бути утилізовані згідно чинних вимог</w:t>
      </w:r>
    </w:p>
    <w:p w:rsidR="000072C2" w:rsidRPr="0064308A" w:rsidRDefault="00F37BF5" w:rsidP="001A2BF8">
      <w:pPr>
        <w:pStyle w:val="aa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7. Назва і місцезнаходження влас</w:t>
      </w:r>
      <w:r w:rsidR="000072C2"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ника реєстраційного посвідчення</w:t>
      </w:r>
    </w:p>
    <w:p w:rsidR="000072C2" w:rsidRPr="0064308A" w:rsidRDefault="00F37BF5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>ТОВ «Науково-виробниче підприємство «АГРОВЕТСЕРВІС»</w:t>
      </w:r>
    </w:p>
    <w:p w:rsidR="000072C2" w:rsidRDefault="00F37BF5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 xml:space="preserve">вул. Польова, 13, с. Кинашів, Тульчинський р-н. Вінницька </w:t>
      </w:r>
      <w:r w:rsidR="0043701B" w:rsidRPr="0064308A">
        <w:rPr>
          <w:rFonts w:ascii="Times New Roman" w:hAnsi="Times New Roman" w:cs="Times New Roman"/>
          <w:sz w:val="24"/>
          <w:szCs w:val="24"/>
        </w:rPr>
        <w:t>обл.</w:t>
      </w:r>
      <w:r w:rsidR="000072C2" w:rsidRPr="0064308A">
        <w:rPr>
          <w:rFonts w:ascii="Times New Roman" w:hAnsi="Times New Roman" w:cs="Times New Roman"/>
          <w:sz w:val="24"/>
          <w:szCs w:val="24"/>
        </w:rPr>
        <w:t>, 23607,Україна</w:t>
      </w:r>
    </w:p>
    <w:p w:rsidR="0064308A" w:rsidRDefault="0064308A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4308A" w:rsidRDefault="0064308A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4308A" w:rsidRPr="0064308A" w:rsidRDefault="0064308A" w:rsidP="0064308A">
      <w:pPr>
        <w:pStyle w:val="aa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lastRenderedPageBreak/>
        <w:t>Продовження додатку 1</w:t>
      </w:r>
    </w:p>
    <w:p w:rsidR="0064308A" w:rsidRDefault="0064308A" w:rsidP="0064308A">
      <w:pPr>
        <w:pStyle w:val="aa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>до реєстраційного посвідчення АВ-05498-01-14</w:t>
      </w:r>
    </w:p>
    <w:p w:rsidR="0064308A" w:rsidRDefault="0064308A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4308A" w:rsidRPr="0064308A" w:rsidRDefault="0064308A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72C2" w:rsidRPr="0064308A" w:rsidRDefault="00F37BF5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b/>
          <w:sz w:val="24"/>
          <w:szCs w:val="24"/>
          <w:lang w:eastAsia="ru-RU"/>
        </w:rPr>
        <w:t>8. Назва і місцезнаходження виробника</w:t>
      </w:r>
    </w:p>
    <w:p w:rsidR="000072C2" w:rsidRPr="0064308A" w:rsidRDefault="00596C7B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>ТОВ «Науково-виробниче підприємство «АГРОВЕТСЕРВІС»</w:t>
      </w:r>
    </w:p>
    <w:p w:rsidR="000072C2" w:rsidRPr="0064308A" w:rsidRDefault="00596C7B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64308A">
        <w:rPr>
          <w:rFonts w:ascii="Times New Roman" w:hAnsi="Times New Roman" w:cs="Times New Roman"/>
          <w:sz w:val="24"/>
          <w:szCs w:val="24"/>
        </w:rPr>
        <w:t xml:space="preserve">вул. Польова, 13, с. Кинашів, Тульчинський р-н. Вінницька </w:t>
      </w:r>
      <w:r w:rsidR="0043701B" w:rsidRPr="0064308A">
        <w:rPr>
          <w:rFonts w:ascii="Times New Roman" w:hAnsi="Times New Roman" w:cs="Times New Roman"/>
          <w:sz w:val="24"/>
          <w:szCs w:val="24"/>
        </w:rPr>
        <w:t>обл.</w:t>
      </w:r>
      <w:r w:rsidR="000072C2" w:rsidRPr="0064308A">
        <w:rPr>
          <w:rFonts w:ascii="Times New Roman" w:hAnsi="Times New Roman" w:cs="Times New Roman"/>
          <w:sz w:val="24"/>
          <w:szCs w:val="24"/>
        </w:rPr>
        <w:t>, 23607,Україна</w:t>
      </w:r>
    </w:p>
    <w:p w:rsidR="0081387B" w:rsidRPr="0064308A" w:rsidRDefault="00596C7B" w:rsidP="001A2BF8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308A">
        <w:rPr>
          <w:rFonts w:ascii="Times New Roman" w:hAnsi="Times New Roman" w:cs="Times New Roman"/>
          <w:b/>
          <w:sz w:val="24"/>
          <w:szCs w:val="24"/>
        </w:rPr>
        <w:t>9. Додаткова інформація</w:t>
      </w:r>
    </w:p>
    <w:sectPr w:rsidR="0081387B" w:rsidRPr="0064308A" w:rsidSect="00DB74C6">
      <w:footerReference w:type="default" r:id="rId9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A5" w:rsidRDefault="00D365A5" w:rsidP="0068787A">
      <w:pPr>
        <w:spacing w:after="0" w:line="240" w:lineRule="auto"/>
      </w:pPr>
      <w:r>
        <w:separator/>
      </w:r>
    </w:p>
  </w:endnote>
  <w:endnote w:type="continuationSeparator" w:id="0">
    <w:p w:rsidR="00D365A5" w:rsidRDefault="00D365A5" w:rsidP="0068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874730"/>
      <w:docPartObj>
        <w:docPartGallery w:val="Page Numbers (Bottom of Page)"/>
        <w:docPartUnique/>
      </w:docPartObj>
    </w:sdtPr>
    <w:sdtEndPr/>
    <w:sdtContent>
      <w:p w:rsidR="0068787A" w:rsidRDefault="0068787A">
        <w:pPr>
          <w:pStyle w:val="a6"/>
          <w:jc w:val="center"/>
        </w:pPr>
        <w:r w:rsidRPr="0064308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308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308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4308A" w:rsidRPr="0064308A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64308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8787A" w:rsidRDefault="006878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A5" w:rsidRDefault="00D365A5" w:rsidP="0068787A">
      <w:pPr>
        <w:spacing w:after="0" w:line="240" w:lineRule="auto"/>
      </w:pPr>
      <w:r>
        <w:separator/>
      </w:r>
    </w:p>
  </w:footnote>
  <w:footnote w:type="continuationSeparator" w:id="0">
    <w:p w:rsidR="00D365A5" w:rsidRDefault="00D365A5" w:rsidP="0068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6E10"/>
    <w:multiLevelType w:val="multilevel"/>
    <w:tmpl w:val="74C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77CB6"/>
    <w:multiLevelType w:val="multilevel"/>
    <w:tmpl w:val="587E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A7F3C"/>
    <w:multiLevelType w:val="multilevel"/>
    <w:tmpl w:val="04A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86F47"/>
    <w:multiLevelType w:val="multilevel"/>
    <w:tmpl w:val="AF5E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84CEB"/>
    <w:multiLevelType w:val="hybridMultilevel"/>
    <w:tmpl w:val="4CB4F2A6"/>
    <w:lvl w:ilvl="0" w:tplc="C068E2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F0F34"/>
    <w:multiLevelType w:val="hybridMultilevel"/>
    <w:tmpl w:val="5CACB930"/>
    <w:lvl w:ilvl="0" w:tplc="00806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7FD67B8"/>
    <w:multiLevelType w:val="hybridMultilevel"/>
    <w:tmpl w:val="42761D18"/>
    <w:lvl w:ilvl="0" w:tplc="398ADAC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A8"/>
    <w:rsid w:val="000072C2"/>
    <w:rsid w:val="000E54A7"/>
    <w:rsid w:val="00100B66"/>
    <w:rsid w:val="001523B4"/>
    <w:rsid w:val="001A2BF8"/>
    <w:rsid w:val="001C1BEA"/>
    <w:rsid w:val="002050A0"/>
    <w:rsid w:val="002F6764"/>
    <w:rsid w:val="0033405D"/>
    <w:rsid w:val="00362DA0"/>
    <w:rsid w:val="003C2CE0"/>
    <w:rsid w:val="00405A3A"/>
    <w:rsid w:val="004154AE"/>
    <w:rsid w:val="0043701B"/>
    <w:rsid w:val="00475453"/>
    <w:rsid w:val="004C3A2D"/>
    <w:rsid w:val="004D2A74"/>
    <w:rsid w:val="00567ED4"/>
    <w:rsid w:val="00596C7B"/>
    <w:rsid w:val="00620101"/>
    <w:rsid w:val="0064308A"/>
    <w:rsid w:val="0068787A"/>
    <w:rsid w:val="007D1F1F"/>
    <w:rsid w:val="00804F7B"/>
    <w:rsid w:val="0081387B"/>
    <w:rsid w:val="00814DBA"/>
    <w:rsid w:val="00826765"/>
    <w:rsid w:val="00861FC1"/>
    <w:rsid w:val="00892D97"/>
    <w:rsid w:val="009116F9"/>
    <w:rsid w:val="00994799"/>
    <w:rsid w:val="009A57D3"/>
    <w:rsid w:val="009E60A8"/>
    <w:rsid w:val="00B07C24"/>
    <w:rsid w:val="00B86A26"/>
    <w:rsid w:val="00C24820"/>
    <w:rsid w:val="00CC1EAE"/>
    <w:rsid w:val="00D138D4"/>
    <w:rsid w:val="00D365A5"/>
    <w:rsid w:val="00D832C4"/>
    <w:rsid w:val="00D87884"/>
    <w:rsid w:val="00DB74C6"/>
    <w:rsid w:val="00DD5F98"/>
    <w:rsid w:val="00E270F4"/>
    <w:rsid w:val="00F37BF5"/>
    <w:rsid w:val="00F64986"/>
    <w:rsid w:val="00F7126A"/>
    <w:rsid w:val="00FC27F3"/>
    <w:rsid w:val="00FC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787A"/>
    <w:rPr>
      <w:lang w:val="uk-UA"/>
    </w:rPr>
  </w:style>
  <w:style w:type="paragraph" w:styleId="a6">
    <w:name w:val="footer"/>
    <w:basedOn w:val="a"/>
    <w:link w:val="a7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87A"/>
    <w:rPr>
      <w:lang w:val="uk-UA"/>
    </w:rPr>
  </w:style>
  <w:style w:type="paragraph" w:customStyle="1" w:styleId="Default">
    <w:name w:val="Default"/>
    <w:rsid w:val="00F37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8">
    <w:name w:val="annotation text"/>
    <w:basedOn w:val="a"/>
    <w:link w:val="a9"/>
    <w:uiPriority w:val="99"/>
    <w:semiHidden/>
    <w:unhideWhenUsed/>
    <w:rsid w:val="004D2A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D2A74"/>
    <w:rPr>
      <w:sz w:val="20"/>
      <w:szCs w:val="20"/>
      <w:lang w:val="uk-UA"/>
    </w:rPr>
  </w:style>
  <w:style w:type="paragraph" w:styleId="aa">
    <w:name w:val="No Spacing"/>
    <w:uiPriority w:val="1"/>
    <w:qFormat/>
    <w:rsid w:val="004D2A74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787A"/>
    <w:rPr>
      <w:lang w:val="uk-UA"/>
    </w:rPr>
  </w:style>
  <w:style w:type="paragraph" w:styleId="a6">
    <w:name w:val="footer"/>
    <w:basedOn w:val="a"/>
    <w:link w:val="a7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87A"/>
    <w:rPr>
      <w:lang w:val="uk-UA"/>
    </w:rPr>
  </w:style>
  <w:style w:type="paragraph" w:customStyle="1" w:styleId="Default">
    <w:name w:val="Default"/>
    <w:rsid w:val="00F37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8">
    <w:name w:val="annotation text"/>
    <w:basedOn w:val="a"/>
    <w:link w:val="a9"/>
    <w:uiPriority w:val="99"/>
    <w:semiHidden/>
    <w:unhideWhenUsed/>
    <w:rsid w:val="004D2A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D2A74"/>
    <w:rPr>
      <w:sz w:val="20"/>
      <w:szCs w:val="20"/>
      <w:lang w:val="uk-UA"/>
    </w:rPr>
  </w:style>
  <w:style w:type="paragraph" w:styleId="aa">
    <w:name w:val="No Spacing"/>
    <w:uiPriority w:val="1"/>
    <w:qFormat/>
    <w:rsid w:val="004D2A74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0325-D720-4E26-80C9-C005CA16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marta</cp:lastModifiedBy>
  <cp:revision>18</cp:revision>
  <dcterms:created xsi:type="dcterms:W3CDTF">2025-06-10T03:28:00Z</dcterms:created>
  <dcterms:modified xsi:type="dcterms:W3CDTF">2025-10-24T09:18:00Z</dcterms:modified>
</cp:coreProperties>
</file>