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EAD74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Додаток 1</w:t>
      </w:r>
    </w:p>
    <w:p w14:paraId="5380E5EC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 реєстраційного посвідчення АВ-01074-01-10</w:t>
      </w:r>
    </w:p>
    <w:p w14:paraId="13018413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</w:p>
    <w:p w14:paraId="3C34919D" w14:textId="77777777" w:rsidR="00037082" w:rsidRPr="004F0796" w:rsidRDefault="00037082" w:rsidP="00BF453A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  <w:t>Коротка характеристика препарату</w:t>
      </w:r>
    </w:p>
    <w:p w14:paraId="47C2FD2A" w14:textId="77777777" w:rsidR="00037082" w:rsidRPr="004F0796" w:rsidRDefault="00037082" w:rsidP="00BF453A">
      <w:pPr>
        <w:pStyle w:val="11"/>
        <w:numPr>
          <w:ilvl w:val="0"/>
          <w:numId w:val="1"/>
        </w:numPr>
        <w:rPr>
          <w:lang w:eastAsia="uk-UA" w:bidi="uk-UA"/>
        </w:rPr>
      </w:pPr>
      <w:r w:rsidRPr="004F0796">
        <w:rPr>
          <w:lang w:eastAsia="uk-UA" w:bidi="uk-UA"/>
        </w:rPr>
        <w:t>Назва</w:t>
      </w:r>
    </w:p>
    <w:p w14:paraId="1E7718E4" w14:textId="2666A8AD" w:rsidR="00037082" w:rsidRPr="004F0796" w:rsidRDefault="00530828" w:rsidP="00BF453A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РОЗЧИН МЕТРОНІДАЗОЛУ</w:t>
      </w:r>
      <w:r w:rsidR="00037082"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5 %</w:t>
      </w:r>
    </w:p>
    <w:p w14:paraId="5A029421" w14:textId="77777777" w:rsidR="00037082" w:rsidRPr="004F0796" w:rsidRDefault="00037082" w:rsidP="00BF453A">
      <w:pPr>
        <w:pStyle w:val="11"/>
        <w:numPr>
          <w:ilvl w:val="0"/>
          <w:numId w:val="1"/>
        </w:numPr>
        <w:rPr>
          <w:lang w:eastAsia="uk-UA" w:bidi="uk-UA"/>
        </w:rPr>
      </w:pPr>
      <w:r w:rsidRPr="004F0796">
        <w:rPr>
          <w:lang w:eastAsia="uk-UA" w:bidi="uk-UA"/>
        </w:rPr>
        <w:t>Склад</w:t>
      </w:r>
    </w:p>
    <w:p w14:paraId="2FF9A3C2" w14:textId="77777777" w:rsidR="00037082" w:rsidRPr="004F0796" w:rsidRDefault="00037082" w:rsidP="00BF453A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1 мл препарату містить діючу речовину:</w:t>
      </w:r>
    </w:p>
    <w:p w14:paraId="170C274A" w14:textId="77777777" w:rsidR="00037082" w:rsidRPr="004F0796" w:rsidRDefault="00037082" w:rsidP="00BF453A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метронідазол</w:t>
      </w: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ab/>
        <w:t>- 50 мг.</w:t>
      </w:r>
    </w:p>
    <w:p w14:paraId="484C053E" w14:textId="79F307C4" w:rsidR="00037082" w:rsidRPr="004F0796" w:rsidRDefault="00037082" w:rsidP="00BF453A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Допоміжні речовини: </w:t>
      </w:r>
      <w:r w:rsidR="00C94BFD" w:rsidRPr="00D3080F">
        <w:rPr>
          <w:rFonts w:ascii="Times New Roman" w:eastAsia="Microsoft Sans Serif" w:hAnsi="Times New Roman"/>
          <w:color w:val="000000"/>
          <w:sz w:val="24"/>
          <w:szCs w:val="24"/>
          <w:lang w:eastAsia="uk-UA" w:bidi="uk-UA"/>
        </w:rPr>
        <w:t>натрію хлорид, вода для ін’єкцій</w:t>
      </w:r>
      <w:r w:rsidRPr="00D3080F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.</w:t>
      </w:r>
      <w:bookmarkStart w:id="0" w:name="_GoBack"/>
      <w:bookmarkEnd w:id="0"/>
    </w:p>
    <w:p w14:paraId="277200AE" w14:textId="77777777" w:rsidR="00037082" w:rsidRPr="004F0796" w:rsidRDefault="00037082" w:rsidP="00BF453A">
      <w:pPr>
        <w:pStyle w:val="11"/>
        <w:numPr>
          <w:ilvl w:val="0"/>
          <w:numId w:val="1"/>
        </w:numPr>
        <w:rPr>
          <w:lang w:eastAsia="uk-UA" w:bidi="uk-UA"/>
        </w:rPr>
      </w:pPr>
      <w:r w:rsidRPr="004F0796">
        <w:rPr>
          <w:lang w:eastAsia="uk-UA" w:bidi="uk-UA"/>
        </w:rPr>
        <w:t>Фармацевтична (лікарська) форма</w:t>
      </w:r>
    </w:p>
    <w:p w14:paraId="5B90CEED" w14:textId="77777777" w:rsidR="00037082" w:rsidRPr="004F0796" w:rsidRDefault="00037082" w:rsidP="00BF453A">
      <w:pPr>
        <w:widowControl w:val="0"/>
        <w:spacing w:after="0" w:line="240" w:lineRule="auto"/>
        <w:ind w:firstLine="70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Розчин для ін’єкцій.</w:t>
      </w:r>
    </w:p>
    <w:p w14:paraId="5D5F5162" w14:textId="77777777" w:rsidR="00037082" w:rsidRPr="004F0796" w:rsidRDefault="00037082" w:rsidP="00BF453A">
      <w:pPr>
        <w:pStyle w:val="11"/>
        <w:jc w:val="both"/>
        <w:rPr>
          <w:lang w:eastAsia="uk-UA" w:bidi="uk-UA"/>
        </w:rPr>
      </w:pPr>
      <w:r w:rsidRPr="004F0796">
        <w:rPr>
          <w:lang w:eastAsia="uk-UA" w:bidi="uk-UA"/>
        </w:rPr>
        <w:t>4.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Фармакологічні властивості</w:t>
      </w:r>
    </w:p>
    <w:p w14:paraId="2CC1FD09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  <w:t xml:space="preserve">ATC </w:t>
      </w:r>
      <w:proofErr w:type="spellStart"/>
      <w:r w:rsidRPr="004F0796"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  <w:t>vet</w:t>
      </w:r>
      <w:proofErr w:type="spellEnd"/>
      <w:r w:rsidRPr="004F0796"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  <w:t xml:space="preserve"> класифікаційний код QJ01- антибактеріальні ветеринарні препарати для системного застосування. QJ01XD01 - </w:t>
      </w:r>
      <w:proofErr w:type="spellStart"/>
      <w:r w:rsidRPr="004F0796"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b/>
          <w:i/>
          <w:sz w:val="24"/>
          <w:szCs w:val="24"/>
          <w:lang w:eastAsia="uk-UA" w:bidi="uk-UA"/>
        </w:rPr>
        <w:t>.</w:t>
      </w:r>
    </w:p>
    <w:p w14:paraId="29151358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</w:pP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належить до групи 5-нітроімідазолу. Механізм дії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полягає в біохімічному відновленні 5-нітрогрупи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внутріпшьоклітинними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транспортними протеїнами анаеробних бактерій і найпростіших. Відновлена 5-нітрогрупа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порушує реплікацію ДНК (відповідно синтез білка) та інгібує клітинне дихання, що веде до загибелі мікроорганізму. Ефективний проти найпростіших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Trichomonas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vaginalis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Gardnerella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vaginalis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Giardia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intestinalis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Entamoeba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histolytica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,</w:t>
      </w: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анаеробних бактерій </w:t>
      </w:r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(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Bacteroides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fragilis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B.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distasonis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B.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ovatus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B.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thetaiotaomicron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, B.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vulgatus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),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Fusobacterium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.,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Veillonela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.)</w:t>
      </w: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, деяких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грампозитивних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бактерій (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Eubacterium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.,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Clostridium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.,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Peptococcus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.,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Peptostreptococcus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spp</w:t>
      </w:r>
      <w:proofErr w:type="spellEnd"/>
      <w:r w:rsidRPr="004F0796">
        <w:rPr>
          <w:rFonts w:ascii="Times New Roman" w:eastAsia="Microsoft Sans Serif" w:hAnsi="Times New Roman"/>
          <w:i/>
          <w:sz w:val="24"/>
          <w:szCs w:val="24"/>
          <w:lang w:eastAsia="uk-UA" w:bidi="uk-UA"/>
        </w:rPr>
        <w:t>).</w:t>
      </w:r>
    </w:p>
    <w:p w14:paraId="2893DEFA" w14:textId="77777777" w:rsidR="009331EF" w:rsidRPr="004F0796" w:rsidRDefault="009331EF" w:rsidP="009331EF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проникає в тканини та рідини організму, такі як слина, молоко, вагінальні виділення та сперма. Досягає бактерицидної концентрації у більшості тканин та рідин організму тварини, включно з мозком, спинномозковою рідиною, порожнинами абсцесів,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жовчю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,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амніотичною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рідиною. </w:t>
      </w:r>
    </w:p>
    <w:p w14:paraId="4BDDE5A6" w14:textId="77777777" w:rsidR="009331EF" w:rsidRPr="004F0796" w:rsidRDefault="009331EF" w:rsidP="009331EF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За внутрішньовенного введення собакам період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напіввиведення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становить 4,48±0,89 години, об’єм розподіл – 0,95±0,10 л/кг, кліренс – 2,49±0,54 мл/кг/хв. Системний кліренс у котів становить 1,53 мл/кг/хв., період напіввиведення – 5-6 годин.</w:t>
      </w:r>
    </w:p>
    <w:p w14:paraId="1AC0006D" w14:textId="77777777" w:rsidR="00037082" w:rsidRPr="004F0796" w:rsidRDefault="009331EF" w:rsidP="009331E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переважно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метаболізується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в печінці. Як метаболіти, так і незмінений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, виводяться із сечею та фекаліями.</w:t>
      </w:r>
    </w:p>
    <w:p w14:paraId="52DD1762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Клінічні особливості</w:t>
      </w:r>
    </w:p>
    <w:p w14:paraId="06D6F6E0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5.1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Вид тварин</w:t>
      </w:r>
    </w:p>
    <w:p w14:paraId="7FC9B4E8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Собаки, коти.</w:t>
      </w:r>
    </w:p>
    <w:p w14:paraId="782E17B2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5.2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Показання до застосування</w:t>
      </w:r>
    </w:p>
    <w:p w14:paraId="535FC137" w14:textId="77777777" w:rsidR="00530828" w:rsidRPr="004F0796" w:rsidRDefault="00530828" w:rsidP="00530828">
      <w:pPr>
        <w:pStyle w:val="11"/>
        <w:jc w:val="both"/>
      </w:pPr>
      <w:r w:rsidRPr="004F0796">
        <w:rPr>
          <w:b w:val="0"/>
          <w:lang w:eastAsia="uk-UA" w:bidi="uk-UA"/>
        </w:rPr>
        <w:t xml:space="preserve">Лікування собак та котів за захворювань травного </w:t>
      </w:r>
      <w:proofErr w:type="spellStart"/>
      <w:r w:rsidRPr="004F0796">
        <w:rPr>
          <w:b w:val="0"/>
          <w:lang w:eastAsia="uk-UA" w:bidi="uk-UA"/>
        </w:rPr>
        <w:t>канала</w:t>
      </w:r>
      <w:proofErr w:type="spellEnd"/>
      <w:r w:rsidRPr="004F0796">
        <w:rPr>
          <w:b w:val="0"/>
          <w:lang w:eastAsia="uk-UA" w:bidi="uk-UA"/>
        </w:rPr>
        <w:t xml:space="preserve">, спричинених </w:t>
      </w:r>
      <w:proofErr w:type="spellStart"/>
      <w:r w:rsidRPr="004F0796">
        <w:rPr>
          <w:b w:val="0"/>
          <w:i/>
          <w:lang w:eastAsia="uk-UA" w:bidi="uk-UA"/>
        </w:rPr>
        <w:t>Giardia</w:t>
      </w:r>
      <w:proofErr w:type="spellEnd"/>
      <w:r w:rsidRPr="004F0796">
        <w:rPr>
          <w:b w:val="0"/>
          <w:i/>
          <w:lang w:eastAsia="uk-UA" w:bidi="uk-UA"/>
        </w:rPr>
        <w:t xml:space="preserve"> </w:t>
      </w:r>
      <w:proofErr w:type="spellStart"/>
      <w:r w:rsidRPr="004F0796">
        <w:rPr>
          <w:b w:val="0"/>
          <w:i/>
          <w:lang w:eastAsia="uk-UA" w:bidi="uk-UA"/>
        </w:rPr>
        <w:t>spp</w:t>
      </w:r>
      <w:proofErr w:type="spellEnd"/>
      <w:r w:rsidRPr="004F0796">
        <w:rPr>
          <w:b w:val="0"/>
          <w:i/>
          <w:lang w:eastAsia="uk-UA" w:bidi="uk-UA"/>
        </w:rPr>
        <w:t>.</w:t>
      </w:r>
      <w:r w:rsidRPr="004F0796">
        <w:rPr>
          <w:b w:val="0"/>
          <w:lang w:eastAsia="uk-UA" w:bidi="uk-UA"/>
        </w:rPr>
        <w:t xml:space="preserve"> та </w:t>
      </w:r>
      <w:proofErr w:type="spellStart"/>
      <w:r w:rsidRPr="004F0796">
        <w:rPr>
          <w:b w:val="0"/>
          <w:i/>
          <w:lang w:eastAsia="uk-UA" w:bidi="uk-UA"/>
        </w:rPr>
        <w:t>Clostridia</w:t>
      </w:r>
      <w:proofErr w:type="spellEnd"/>
      <w:r w:rsidRPr="004F0796">
        <w:rPr>
          <w:b w:val="0"/>
          <w:i/>
          <w:lang w:eastAsia="uk-UA" w:bidi="uk-UA"/>
        </w:rPr>
        <w:t xml:space="preserve"> </w:t>
      </w:r>
      <w:proofErr w:type="spellStart"/>
      <w:r w:rsidRPr="004F0796">
        <w:rPr>
          <w:b w:val="0"/>
          <w:i/>
          <w:lang w:eastAsia="uk-UA" w:bidi="uk-UA"/>
        </w:rPr>
        <w:t>spp</w:t>
      </w:r>
      <w:proofErr w:type="spellEnd"/>
      <w:r w:rsidRPr="004F0796">
        <w:rPr>
          <w:b w:val="0"/>
          <w:i/>
          <w:lang w:eastAsia="uk-UA" w:bidi="uk-UA"/>
        </w:rPr>
        <w:t>.</w:t>
      </w:r>
      <w:r w:rsidRPr="004F0796">
        <w:rPr>
          <w:b w:val="0"/>
          <w:lang w:eastAsia="uk-UA" w:bidi="uk-UA"/>
        </w:rPr>
        <w:t xml:space="preserve"> (наприклад, </w:t>
      </w:r>
      <w:r w:rsidRPr="004F0796">
        <w:rPr>
          <w:b w:val="0"/>
          <w:i/>
          <w:lang w:eastAsia="uk-UA" w:bidi="uk-UA"/>
        </w:rPr>
        <w:t xml:space="preserve">C. </w:t>
      </w:r>
      <w:proofErr w:type="spellStart"/>
      <w:r w:rsidRPr="004F0796">
        <w:rPr>
          <w:b w:val="0"/>
          <w:i/>
          <w:lang w:eastAsia="uk-UA" w:bidi="uk-UA"/>
        </w:rPr>
        <w:t>perfringens</w:t>
      </w:r>
      <w:proofErr w:type="spellEnd"/>
      <w:r w:rsidRPr="004F0796">
        <w:rPr>
          <w:b w:val="0"/>
          <w:lang w:eastAsia="uk-UA" w:bidi="uk-UA"/>
        </w:rPr>
        <w:t xml:space="preserve"> або </w:t>
      </w:r>
      <w:r w:rsidRPr="004F0796">
        <w:rPr>
          <w:b w:val="0"/>
          <w:i/>
          <w:lang w:eastAsia="uk-UA" w:bidi="uk-UA"/>
        </w:rPr>
        <w:t xml:space="preserve">C. </w:t>
      </w:r>
      <w:proofErr w:type="spellStart"/>
      <w:r w:rsidRPr="004F0796">
        <w:rPr>
          <w:b w:val="0"/>
          <w:i/>
          <w:lang w:eastAsia="uk-UA" w:bidi="uk-UA"/>
        </w:rPr>
        <w:t>difficile</w:t>
      </w:r>
      <w:proofErr w:type="spellEnd"/>
      <w:r w:rsidRPr="004F0796">
        <w:rPr>
          <w:b w:val="0"/>
          <w:lang w:eastAsia="uk-UA" w:bidi="uk-UA"/>
        </w:rPr>
        <w:t xml:space="preserve">), а також за захворювань органів сечостатевої  системи, ротової порожнини, горла та шкіри, спричинених </w:t>
      </w:r>
      <w:proofErr w:type="spellStart"/>
      <w:r w:rsidRPr="004F0796">
        <w:rPr>
          <w:b w:val="0"/>
          <w:lang w:eastAsia="uk-UA" w:bidi="uk-UA"/>
        </w:rPr>
        <w:t>облігатними</w:t>
      </w:r>
      <w:proofErr w:type="spellEnd"/>
      <w:r w:rsidRPr="004F0796">
        <w:rPr>
          <w:b w:val="0"/>
          <w:lang w:eastAsia="uk-UA" w:bidi="uk-UA"/>
        </w:rPr>
        <w:t xml:space="preserve"> анаеробними бактеріями, чутливими до </w:t>
      </w:r>
      <w:proofErr w:type="spellStart"/>
      <w:r w:rsidRPr="004F0796">
        <w:rPr>
          <w:b w:val="0"/>
          <w:lang w:eastAsia="uk-UA" w:bidi="uk-UA"/>
        </w:rPr>
        <w:t>метронідазолу</w:t>
      </w:r>
      <w:proofErr w:type="spellEnd"/>
      <w:r w:rsidRPr="004F0796">
        <w:rPr>
          <w:b w:val="0"/>
          <w:lang w:eastAsia="uk-UA" w:bidi="uk-UA"/>
        </w:rPr>
        <w:t>.</w:t>
      </w:r>
    </w:p>
    <w:p w14:paraId="68E01AAB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5.3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Протипоказання</w:t>
      </w:r>
    </w:p>
    <w:p w14:paraId="786C025C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Не застосовувати при підвищеній чутливості до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або будь-якої з допоміжних речовин.</w:t>
      </w:r>
    </w:p>
    <w:p w14:paraId="62A3875E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Не застосовувати тваринам з ураженням центральної нервової системи та у першу третину вагітності.</w:t>
      </w:r>
    </w:p>
    <w:p w14:paraId="368D1C68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hAnsi="Times New Roman"/>
          <w:sz w:val="24"/>
          <w:szCs w:val="24"/>
        </w:rPr>
        <w:t>Не застосовувати тваринам з порушенням функції печінки.</w:t>
      </w:r>
    </w:p>
    <w:p w14:paraId="5E8793E7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Не застосовувати цуценятам та кошенятам.</w:t>
      </w:r>
    </w:p>
    <w:p w14:paraId="1241E1C2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Заборонено застосовувати продуктивним тваринам.</w:t>
      </w:r>
    </w:p>
    <w:p w14:paraId="047E84FB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5.4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Побічна дія</w:t>
      </w:r>
    </w:p>
    <w:p w14:paraId="04C038D3" w14:textId="77777777" w:rsidR="00037082" w:rsidRPr="004F0796" w:rsidRDefault="009331EF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Можливе виникнення анафілактичного шоку та інших алергічних реакцій. У деяких тварин можливе виникнення блювання, судом, лейкопенії, висипання,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свербіжу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, зміни кольору сечі, гепатотоксичність.</w:t>
      </w:r>
    </w:p>
    <w:p w14:paraId="5D50AD80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 w:type="page"/>
      </w:r>
    </w:p>
    <w:p w14:paraId="7B1CDFD6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>Продовження додатку  1</w:t>
      </w:r>
    </w:p>
    <w:p w14:paraId="1DC41ADE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 реєстраційного посвідчення АВ-01074-01-10</w:t>
      </w:r>
    </w:p>
    <w:p w14:paraId="07476F86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5A8E15FC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17EE4821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5.5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Особливі застереження при використанні</w:t>
      </w:r>
    </w:p>
    <w:p w14:paraId="2B51DCD3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hAnsi="Times New Roman"/>
          <w:sz w:val="24"/>
          <w:szCs w:val="24"/>
        </w:rPr>
        <w:t>Застосування препарату повинно базуватись на визначенні чутливості збудників до</w:t>
      </w: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.</w:t>
      </w:r>
      <w:r w:rsidRPr="004F0796">
        <w:t xml:space="preserve"> </w:t>
      </w:r>
      <w:r w:rsidRPr="004F0796">
        <w:rPr>
          <w:rFonts w:ascii="Times New Roman" w:hAnsi="Times New Roman"/>
          <w:sz w:val="24"/>
          <w:szCs w:val="24"/>
        </w:rPr>
        <w:t xml:space="preserve">За відсутності даних про чутливість збудника/збудників до </w:t>
      </w:r>
      <w:proofErr w:type="spellStart"/>
      <w:r w:rsidRPr="004F0796">
        <w:rPr>
          <w:rFonts w:ascii="Times New Roman" w:hAnsi="Times New Roman"/>
          <w:sz w:val="24"/>
          <w:szCs w:val="24"/>
        </w:rPr>
        <w:t>метронідазолу</w:t>
      </w:r>
      <w:proofErr w:type="spellEnd"/>
      <w:r w:rsidRPr="004F0796">
        <w:rPr>
          <w:rFonts w:ascii="Times New Roman" w:hAnsi="Times New Roman"/>
          <w:sz w:val="24"/>
          <w:szCs w:val="24"/>
        </w:rPr>
        <w:t>, застосування препарату повинно ґрунтуватися на регіональній епізоотичній ситуації щодо антимікробної чутливості.</w:t>
      </w:r>
    </w:p>
    <w:p w14:paraId="7E916563" w14:textId="77777777" w:rsidR="00037082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Необхідно з обережністю застосовувати препарат для тварин із захворюваннями печінки та нирок. Доза препарату в таких випадках, повинна бути, відповідно, знижена. За тривалого застосування необхідно контролювати склад крові.</w:t>
      </w:r>
    </w:p>
    <w:p w14:paraId="2AEB85E5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5.6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Застосування під час вагітності, лактації, несучості</w:t>
      </w:r>
    </w:p>
    <w:p w14:paraId="287C70A5" w14:textId="77777777" w:rsidR="009331EF" w:rsidRPr="004F0796" w:rsidRDefault="009331EF" w:rsidP="009331EF">
      <w:pPr>
        <w:pStyle w:val="11"/>
        <w:rPr>
          <w:rFonts w:eastAsia="Microsoft Sans Serif"/>
          <w:b w:val="0"/>
          <w:u w:val="single"/>
          <w:lang w:eastAsia="uk-UA" w:bidi="uk-UA"/>
        </w:rPr>
      </w:pPr>
      <w:r w:rsidRPr="004F0796">
        <w:rPr>
          <w:rFonts w:eastAsia="Microsoft Sans Serif"/>
          <w:b w:val="0"/>
          <w:u w:val="single"/>
          <w:lang w:eastAsia="uk-UA" w:bidi="uk-UA"/>
        </w:rPr>
        <w:t>Вагітність:</w:t>
      </w:r>
    </w:p>
    <w:p w14:paraId="48FA243C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Дослідження на лабораторних тваринах показали суперечливі результати щодо </w:t>
      </w:r>
      <w:proofErr w:type="spellStart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тератогенної</w:t>
      </w:r>
      <w:proofErr w:type="spellEnd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ембріотоксичної</w:t>
      </w:r>
      <w:proofErr w:type="spellEnd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дії </w:t>
      </w:r>
      <w:proofErr w:type="spellStart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. Застосування не рекомендується під час вагітності. Застосовують препарат у період вагітності тварин з обережністю - тільки при важких захворюваннях (за життєвими показниками).</w:t>
      </w:r>
      <w:r w:rsidRPr="004F0796">
        <w:rPr>
          <w:rFonts w:ascii="Times New Roman" w:eastAsia="Microsoft Sans Serif" w:hAnsi="Times New Roman" w:cs="Times New Roman"/>
          <w:sz w:val="24"/>
          <w:szCs w:val="24"/>
          <w:lang w:val="ru-RU" w:eastAsia="uk-UA" w:bidi="uk-UA"/>
        </w:rPr>
        <w:t xml:space="preserve"> </w:t>
      </w: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У першу третину вагітності препарат не застосовують.</w:t>
      </w:r>
    </w:p>
    <w:p w14:paraId="3F4CF7C6" w14:textId="77777777" w:rsidR="009331EF" w:rsidRPr="004F0796" w:rsidRDefault="009331EF" w:rsidP="009331EF">
      <w:pPr>
        <w:pStyle w:val="11"/>
        <w:rPr>
          <w:rFonts w:eastAsia="Microsoft Sans Serif"/>
          <w:b w:val="0"/>
          <w:u w:val="single"/>
          <w:lang w:eastAsia="uk-UA" w:bidi="uk-UA"/>
        </w:rPr>
      </w:pPr>
      <w:r w:rsidRPr="004F0796">
        <w:rPr>
          <w:rFonts w:eastAsia="Microsoft Sans Serif"/>
          <w:b w:val="0"/>
          <w:u w:val="single"/>
          <w:lang w:eastAsia="uk-UA" w:bidi="uk-UA"/>
        </w:rPr>
        <w:t>Лактація:</w:t>
      </w:r>
    </w:p>
    <w:p w14:paraId="06CA48F1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proofErr w:type="spellStart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виділяється з молоком. Застосування не рекомендується під час лактації.</w:t>
      </w:r>
    </w:p>
    <w:p w14:paraId="195CE925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5.7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Взаємодія з іншими засобами та інші форми взаємодії</w:t>
      </w:r>
    </w:p>
    <w:p w14:paraId="1C68EEA2" w14:textId="77777777" w:rsidR="00037082" w:rsidRPr="004F0796" w:rsidRDefault="009331EF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потенціює ефект непрямих антикоагулянтів, збільшує токсичність літію (підвищує його концентрацію в крові). Фенобарбітал та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фенітоїн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прискорюють метаболізм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, що призводить до зменшення його концентрації в сироватці крові.</w:t>
      </w:r>
    </w:p>
    <w:p w14:paraId="00978D8E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5.8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Дози і способи введення тваринам різного віку</w:t>
      </w:r>
    </w:p>
    <w:p w14:paraId="511E25C0" w14:textId="77777777" w:rsidR="00037082" w:rsidRPr="004F0796" w:rsidRDefault="009331EF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Внутрішньом’язово або внутрішньовенно у дозі 2,0-3,0 мл препарату на 10 кг маси тіла тварини (10-15 мг </w:t>
      </w:r>
      <w:proofErr w:type="spellStart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метронідазолу</w:t>
      </w:r>
      <w:proofErr w:type="spellEnd"/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 xml:space="preserve"> на 1 кг маси тіла тварини). Препарат вводять 2 рази на добу до зникнення клінічних симптомів  упродовж 1-5 діб.</w:t>
      </w:r>
    </w:p>
    <w:p w14:paraId="0C9B1431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5.9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Передозування (симптоми, невідкладні заходи, антидоти)</w:t>
      </w:r>
    </w:p>
    <w:p w14:paraId="346247C9" w14:textId="77777777" w:rsidR="009331EF" w:rsidRPr="004F0796" w:rsidRDefault="009331EF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/>
          <w:sz w:val="24"/>
          <w:szCs w:val="24"/>
          <w:lang w:eastAsia="uk-UA" w:bidi="uk-UA"/>
        </w:rPr>
        <w:t>За передозування можливе виникнення алергічних реакцій, а також блювання, нудоти, слинотечі, судом, лейкопенії, висипки, слабкості, підвищення температури, зміни кольору сечі. У цих випадках необхідно припинити застосування препарату та призначити симптоматичне лікування.</w:t>
      </w:r>
    </w:p>
    <w:p w14:paraId="3968B566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5.10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Спеціальні застереження</w:t>
      </w:r>
    </w:p>
    <w:p w14:paraId="0103D98F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Немає.</w:t>
      </w:r>
    </w:p>
    <w:p w14:paraId="0BBDEBB7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5.11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Період виведення (</w:t>
      </w:r>
      <w:proofErr w:type="spellStart"/>
      <w:r w:rsidRPr="004F0796">
        <w:rPr>
          <w:lang w:eastAsia="uk-UA" w:bidi="uk-UA"/>
        </w:rPr>
        <w:t>каренція</w:t>
      </w:r>
      <w:proofErr w:type="spellEnd"/>
      <w:r w:rsidRPr="004F0796">
        <w:rPr>
          <w:lang w:eastAsia="uk-UA" w:bidi="uk-UA"/>
        </w:rPr>
        <w:t>)</w:t>
      </w:r>
    </w:p>
    <w:p w14:paraId="6ED61115" w14:textId="77777777" w:rsidR="00A20A5D" w:rsidRPr="004F0796" w:rsidRDefault="00A20A5D" w:rsidP="00037082">
      <w:pPr>
        <w:pStyle w:val="11"/>
        <w:rPr>
          <w:b w:val="0"/>
          <w:bCs/>
          <w:lang w:eastAsia="uk-UA" w:bidi="uk-UA"/>
        </w:rPr>
      </w:pPr>
      <w:r w:rsidRPr="004F0796">
        <w:rPr>
          <w:b w:val="0"/>
          <w:bCs/>
        </w:rPr>
        <w:t>Для непродуктивних тварин не застосовується</w:t>
      </w:r>
      <w:r w:rsidRPr="004F0796">
        <w:rPr>
          <w:b w:val="0"/>
          <w:bCs/>
          <w:lang w:eastAsia="uk-UA" w:bidi="uk-UA"/>
        </w:rPr>
        <w:t xml:space="preserve"> </w:t>
      </w:r>
    </w:p>
    <w:p w14:paraId="2FE76698" w14:textId="462404B9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5.12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Спеціальні застереження для осіб і обслуговуючого персоналу</w:t>
      </w:r>
    </w:p>
    <w:p w14:paraId="5B57A2E1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</w:p>
    <w:p w14:paraId="4C108923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Фармацевтичні особливості</w:t>
      </w:r>
    </w:p>
    <w:p w14:paraId="3169DB62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6.1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Форми несумісності (основні)</w:t>
      </w:r>
    </w:p>
    <w:p w14:paraId="45120602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Не відомі.</w:t>
      </w:r>
    </w:p>
    <w:p w14:paraId="5F7D5889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6.2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Термін придатності</w:t>
      </w:r>
    </w:p>
    <w:p w14:paraId="66BA697E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3 роки.</w:t>
      </w:r>
    </w:p>
    <w:p w14:paraId="186DEBEE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6.3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Особливі заходи зберігання</w:t>
      </w:r>
    </w:p>
    <w:p w14:paraId="4C00C52E" w14:textId="2449AD12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Сухе темне, недоступне для дітей місце при температурі від 5 до 30 °С.</w:t>
      </w:r>
    </w:p>
    <w:p w14:paraId="549946A2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6.4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Природа і склад контейнера первинного пакування</w:t>
      </w:r>
    </w:p>
    <w:p w14:paraId="17379549" w14:textId="77777777" w:rsidR="00037082" w:rsidRPr="004F0796" w:rsidRDefault="00037082" w:rsidP="0003708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Флакони з скла, закриті гумовими корками під алюмінієву обкатку по 10, 50 і 100 мл.</w:t>
      </w:r>
    </w:p>
    <w:p w14:paraId="4A66E297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6.5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Особливі заходи безпеки при поводженні з невикористаним препаратом або із його залишками</w:t>
      </w:r>
    </w:p>
    <w:p w14:paraId="78EF58B8" w14:textId="77777777" w:rsidR="004F0796" w:rsidRPr="004F0796" w:rsidRDefault="00037082" w:rsidP="004F0796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Порожню упаковку та залишки невикористаного препарату потрібно утилізувати </w:t>
      </w:r>
      <w:r w:rsidR="004F0796"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>Продовження додатку  1</w:t>
      </w:r>
    </w:p>
    <w:p w14:paraId="112B83B5" w14:textId="77777777" w:rsidR="004F0796" w:rsidRPr="004F0796" w:rsidRDefault="004F0796" w:rsidP="004F0796">
      <w:pPr>
        <w:widowControl w:val="0"/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 реєстраційного посвідчення АВ-01074-01-10</w:t>
      </w:r>
    </w:p>
    <w:p w14:paraId="069C08DC" w14:textId="77777777" w:rsidR="004F0796" w:rsidRPr="004F0796" w:rsidRDefault="004F0796" w:rsidP="009331EF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31BE1030" w14:textId="77777777" w:rsidR="004F0796" w:rsidRPr="004F0796" w:rsidRDefault="004F0796" w:rsidP="004F0796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1146D547" w14:textId="1A6BB9A8" w:rsidR="00037082" w:rsidRPr="004F0796" w:rsidRDefault="00037082" w:rsidP="004F0796">
      <w:pPr>
        <w:widowControl w:val="0"/>
        <w:spacing w:after="0" w:line="240" w:lineRule="auto"/>
        <w:ind w:firstLine="709"/>
        <w:jc w:val="both"/>
        <w:rPr>
          <w:lang w:eastAsia="uk-UA" w:bidi="uk-UA"/>
        </w:rPr>
      </w:pPr>
      <w:r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</w:t>
      </w:r>
      <w:r w:rsidR="009331EF"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гідно з чинним законодавством.</w:t>
      </w:r>
      <w:r w:rsidR="009331EF" w:rsidRPr="004F079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ab/>
      </w:r>
    </w:p>
    <w:p w14:paraId="6570B1F9" w14:textId="77777777" w:rsidR="00037082" w:rsidRPr="004F0796" w:rsidRDefault="00037082" w:rsidP="00037082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7.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Назва та місцезнаходження власника реєстраційного посвідчення</w:t>
      </w:r>
    </w:p>
    <w:p w14:paraId="2F688B9A" w14:textId="77777777" w:rsidR="006F7E8A" w:rsidRPr="004F0796" w:rsidRDefault="006F7E8A" w:rsidP="006F7E8A">
      <w:pPr>
        <w:pStyle w:val="11"/>
        <w:rPr>
          <w:rFonts w:eastAsia="Microsoft Sans Serif"/>
          <w:b w:val="0"/>
          <w:lang w:eastAsia="uk-UA" w:bidi="uk-UA"/>
        </w:rPr>
      </w:pPr>
      <w:r w:rsidRPr="004F0796">
        <w:rPr>
          <w:rFonts w:eastAsia="Microsoft Sans Serif"/>
          <w:b w:val="0"/>
          <w:lang w:eastAsia="uk-UA" w:bidi="uk-UA"/>
        </w:rPr>
        <w:t>ТОВ ВФ «БАЗАЛЬТ»</w:t>
      </w:r>
    </w:p>
    <w:p w14:paraId="503789C1" w14:textId="77777777" w:rsidR="00D820E3" w:rsidRDefault="00D820E3" w:rsidP="006F7E8A">
      <w:pPr>
        <w:pStyle w:val="11"/>
        <w:rPr>
          <w:rFonts w:eastAsia="Microsoft Sans Serif"/>
          <w:b w:val="0"/>
          <w:lang w:eastAsia="uk-UA" w:bidi="uk-UA"/>
        </w:rPr>
      </w:pPr>
      <w:r w:rsidRPr="00D820E3">
        <w:rPr>
          <w:rFonts w:eastAsia="Microsoft Sans Serif"/>
          <w:b w:val="0"/>
          <w:lang w:eastAsia="uk-UA" w:bidi="uk-UA"/>
        </w:rPr>
        <w:t xml:space="preserve">61010, Харківська обл., місто Харків, </w:t>
      </w:r>
      <w:proofErr w:type="spellStart"/>
      <w:r w:rsidRPr="00D820E3">
        <w:rPr>
          <w:rFonts w:eastAsia="Microsoft Sans Serif"/>
          <w:b w:val="0"/>
          <w:lang w:eastAsia="uk-UA" w:bidi="uk-UA"/>
        </w:rPr>
        <w:t>вул.Лисаветинська</w:t>
      </w:r>
      <w:proofErr w:type="spellEnd"/>
      <w:r w:rsidRPr="00D820E3">
        <w:rPr>
          <w:rFonts w:eastAsia="Microsoft Sans Serif"/>
          <w:b w:val="0"/>
          <w:lang w:eastAsia="uk-UA" w:bidi="uk-UA"/>
        </w:rPr>
        <w:t>, будинок 5б, квартира 32</w:t>
      </w:r>
    </w:p>
    <w:p w14:paraId="692B6BEA" w14:textId="53C1E33D" w:rsidR="00037082" w:rsidRPr="004F0796" w:rsidRDefault="00037082" w:rsidP="006F7E8A">
      <w:pPr>
        <w:pStyle w:val="11"/>
        <w:rPr>
          <w:lang w:eastAsia="uk-UA" w:bidi="uk-UA"/>
        </w:rPr>
      </w:pPr>
      <w:r w:rsidRPr="004F0796">
        <w:rPr>
          <w:lang w:eastAsia="uk-UA" w:bidi="uk-UA"/>
        </w:rPr>
        <w:t>8.</w:t>
      </w:r>
      <w:r w:rsidR="00BF453A" w:rsidRPr="004F0796">
        <w:rPr>
          <w:lang w:eastAsia="uk-UA" w:bidi="uk-UA"/>
        </w:rPr>
        <w:t xml:space="preserve"> </w:t>
      </w:r>
      <w:r w:rsidRPr="004F0796">
        <w:rPr>
          <w:lang w:eastAsia="uk-UA" w:bidi="uk-UA"/>
        </w:rPr>
        <w:t>Назва та місцезнаходження виробника готового продукту</w:t>
      </w:r>
    </w:p>
    <w:p w14:paraId="41D7D709" w14:textId="77777777" w:rsidR="006F7E8A" w:rsidRPr="004F0796" w:rsidRDefault="006F7E8A" w:rsidP="006F7E8A">
      <w:pPr>
        <w:pStyle w:val="11"/>
        <w:rPr>
          <w:rFonts w:eastAsia="Microsoft Sans Serif"/>
          <w:b w:val="0"/>
          <w:lang w:eastAsia="uk-UA" w:bidi="uk-UA"/>
        </w:rPr>
      </w:pPr>
      <w:r w:rsidRPr="004F0796">
        <w:rPr>
          <w:rFonts w:eastAsia="Microsoft Sans Serif"/>
          <w:b w:val="0"/>
          <w:lang w:eastAsia="uk-UA" w:bidi="uk-UA"/>
        </w:rPr>
        <w:t>ТОВ ВФ «БАЗАЛЬТ»</w:t>
      </w:r>
    </w:p>
    <w:p w14:paraId="7E970A02" w14:textId="7231611C" w:rsidR="00037082" w:rsidRPr="004F0796" w:rsidRDefault="00D820E3" w:rsidP="0055296C">
      <w:pPr>
        <w:pStyle w:val="11"/>
        <w:ind w:left="708" w:firstLine="1"/>
        <w:rPr>
          <w:lang w:eastAsia="uk-UA" w:bidi="uk-UA"/>
        </w:rPr>
      </w:pPr>
      <w:r w:rsidRPr="00D820E3">
        <w:rPr>
          <w:rFonts w:eastAsia="Microsoft Sans Serif"/>
          <w:b w:val="0"/>
          <w:lang w:eastAsia="uk-UA" w:bidi="uk-UA"/>
        </w:rPr>
        <w:t xml:space="preserve">61010, Харківська обл., місто Харків, </w:t>
      </w:r>
      <w:proofErr w:type="spellStart"/>
      <w:r w:rsidRPr="00D820E3">
        <w:rPr>
          <w:rFonts w:eastAsia="Microsoft Sans Serif"/>
          <w:b w:val="0"/>
          <w:lang w:eastAsia="uk-UA" w:bidi="uk-UA"/>
        </w:rPr>
        <w:t>вул.Лисаветинська</w:t>
      </w:r>
      <w:proofErr w:type="spellEnd"/>
      <w:r w:rsidRPr="00D820E3">
        <w:rPr>
          <w:rFonts w:eastAsia="Microsoft Sans Serif"/>
          <w:b w:val="0"/>
          <w:lang w:eastAsia="uk-UA" w:bidi="uk-UA"/>
        </w:rPr>
        <w:t>, будинок 5б, квартира 32</w:t>
      </w:r>
      <w:r w:rsidR="00037082" w:rsidRPr="004F0796">
        <w:rPr>
          <w:lang w:eastAsia="uk-UA" w:bidi="uk-UA"/>
        </w:rPr>
        <w:t>9.</w:t>
      </w:r>
      <w:r w:rsidR="00BF453A" w:rsidRPr="004F0796">
        <w:rPr>
          <w:lang w:eastAsia="uk-UA" w:bidi="uk-UA"/>
        </w:rPr>
        <w:t xml:space="preserve"> </w:t>
      </w:r>
      <w:r w:rsidR="0055296C">
        <w:rPr>
          <w:lang w:eastAsia="uk-UA" w:bidi="uk-UA"/>
        </w:rPr>
        <w:t xml:space="preserve">  </w:t>
      </w:r>
      <w:r w:rsidR="00037082" w:rsidRPr="004F0796">
        <w:rPr>
          <w:lang w:eastAsia="uk-UA" w:bidi="uk-UA"/>
        </w:rPr>
        <w:t>Додаткова інформація</w:t>
      </w:r>
    </w:p>
    <w:p w14:paraId="0367D888" w14:textId="77777777" w:rsidR="007A0A85" w:rsidRPr="001E3014" w:rsidRDefault="007A0A85">
      <w:pPr>
        <w:rPr>
          <w:rFonts w:ascii="Times New Roman" w:hAnsi="Times New Roman" w:cs="Times New Roman"/>
          <w:sz w:val="24"/>
          <w:szCs w:val="24"/>
        </w:rPr>
      </w:pPr>
    </w:p>
    <w:sectPr w:rsidR="007A0A85" w:rsidRPr="001E3014" w:rsidSect="00532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73AF"/>
    <w:multiLevelType w:val="hybridMultilevel"/>
    <w:tmpl w:val="412C7F3C"/>
    <w:lvl w:ilvl="0" w:tplc="B686B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7082"/>
    <w:rsid w:val="00037082"/>
    <w:rsid w:val="00095794"/>
    <w:rsid w:val="00180388"/>
    <w:rsid w:val="00186F86"/>
    <w:rsid w:val="001E3014"/>
    <w:rsid w:val="00260374"/>
    <w:rsid w:val="004F0796"/>
    <w:rsid w:val="00530828"/>
    <w:rsid w:val="00532D9D"/>
    <w:rsid w:val="0055296C"/>
    <w:rsid w:val="0062685F"/>
    <w:rsid w:val="0066362F"/>
    <w:rsid w:val="006F7E8A"/>
    <w:rsid w:val="007A0A85"/>
    <w:rsid w:val="009331EF"/>
    <w:rsid w:val="009B326B"/>
    <w:rsid w:val="00A20A5D"/>
    <w:rsid w:val="00AC12B2"/>
    <w:rsid w:val="00BF453A"/>
    <w:rsid w:val="00C94BFD"/>
    <w:rsid w:val="00D20D5F"/>
    <w:rsid w:val="00D3080F"/>
    <w:rsid w:val="00D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ECA51"/>
  <w15:docId w15:val="{D73C5009-8072-443C-A43F-7FAACFC1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708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3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0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0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082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037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082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0370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0370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7082"/>
    <w:rPr>
      <w:b/>
      <w:bCs/>
      <w:smallCaps/>
      <w:color w:val="0F4761" w:themeColor="accent1" w:themeShade="BF"/>
      <w:spacing w:val="5"/>
    </w:rPr>
  </w:style>
  <w:style w:type="paragraph" w:customStyle="1" w:styleId="11">
    <w:name w:val="11під"/>
    <w:basedOn w:val="a"/>
    <w:link w:val="110"/>
    <w:qFormat/>
    <w:rsid w:val="00037082"/>
    <w:pPr>
      <w:spacing w:after="0" w:line="240" w:lineRule="auto"/>
      <w:ind w:firstLine="709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0">
    <w:name w:val="11під Знак"/>
    <w:basedOn w:val="a0"/>
    <w:link w:val="11"/>
    <w:rsid w:val="00037082"/>
    <w:rPr>
      <w:rFonts w:ascii="Times New Roman" w:eastAsia="Calibri" w:hAnsi="Times New Roman" w:cs="Times New Roman"/>
      <w:b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7E8A"/>
    <w:rPr>
      <w:rFonts w:ascii="Segoe UI" w:hAnsi="Segoe UI" w:cs="Segoe U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331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331E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331EF"/>
    <w:rPr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31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331EF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Vasyl</cp:lastModifiedBy>
  <cp:revision>15</cp:revision>
  <cp:lastPrinted>2025-07-15T10:53:00Z</cp:lastPrinted>
  <dcterms:created xsi:type="dcterms:W3CDTF">2025-02-26T11:22:00Z</dcterms:created>
  <dcterms:modified xsi:type="dcterms:W3CDTF">2025-10-24T13:19:00Z</dcterms:modified>
</cp:coreProperties>
</file>