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sz w:val="24"/>
          <w:szCs w:val="24"/>
        </w:rPr>
      </w:pPr>
      <w:bookmarkStart w:id="0" w:name="bookmark0"/>
      <w:r w:rsidRPr="0048459D">
        <w:rPr>
          <w:rStyle w:val="11pt"/>
          <w:sz w:val="24"/>
          <w:szCs w:val="24"/>
        </w:rPr>
        <w:t>Додаток 1</w:t>
      </w:r>
    </w:p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sz w:val="24"/>
          <w:szCs w:val="24"/>
        </w:rPr>
      </w:pPr>
      <w:r w:rsidRPr="0048459D">
        <w:rPr>
          <w:rStyle w:val="11pt"/>
          <w:sz w:val="24"/>
          <w:szCs w:val="24"/>
        </w:rPr>
        <w:t>до реєстраційного посвідчення АА-01891-01-10</w:t>
      </w:r>
    </w:p>
    <w:p w:rsidR="0072068B" w:rsidRPr="0048459D" w:rsidRDefault="0072068B" w:rsidP="00585C5E">
      <w:pPr>
        <w:pStyle w:val="a5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72068B" w:rsidRPr="0048459D" w:rsidRDefault="0072068B" w:rsidP="00585C5E">
      <w:pPr>
        <w:pStyle w:val="a5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72068B" w:rsidRPr="0048459D" w:rsidRDefault="0072068B" w:rsidP="00651275">
      <w:pPr>
        <w:pStyle w:val="30"/>
        <w:keepNext/>
        <w:keepLines/>
        <w:shd w:val="clear" w:color="auto" w:fill="auto"/>
        <w:spacing w:line="230" w:lineRule="exact"/>
        <w:ind w:firstLine="360"/>
        <w:jc w:val="center"/>
        <w:rPr>
          <w:sz w:val="24"/>
          <w:szCs w:val="24"/>
        </w:rPr>
      </w:pPr>
      <w:r w:rsidRPr="0048459D">
        <w:rPr>
          <w:sz w:val="24"/>
          <w:szCs w:val="24"/>
        </w:rPr>
        <w:t>Коротка характеристика препарату</w:t>
      </w:r>
    </w:p>
    <w:p w:rsidR="0072068B" w:rsidRPr="0048459D" w:rsidRDefault="0072068B" w:rsidP="00585C5E">
      <w:pPr>
        <w:pStyle w:val="30"/>
        <w:keepNext/>
        <w:keepLines/>
        <w:shd w:val="clear" w:color="auto" w:fill="auto"/>
        <w:spacing w:line="230" w:lineRule="exact"/>
        <w:ind w:firstLine="360"/>
        <w:jc w:val="both"/>
        <w:rPr>
          <w:sz w:val="24"/>
          <w:szCs w:val="24"/>
        </w:rPr>
      </w:pPr>
      <w:r w:rsidRPr="0048459D">
        <w:rPr>
          <w:sz w:val="24"/>
          <w:szCs w:val="24"/>
        </w:rPr>
        <w:t>1. Назва</w:t>
      </w:r>
      <w:bookmarkEnd w:id="0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Сергон ПГ з розчинником.</w:t>
      </w:r>
    </w:p>
    <w:p w:rsidR="0072068B" w:rsidRPr="0048459D" w:rsidRDefault="0072068B" w:rsidP="00585C5E">
      <w:pPr>
        <w:pStyle w:val="30"/>
        <w:keepNext/>
        <w:keepLines/>
        <w:numPr>
          <w:ilvl w:val="0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1" w:name="bookmark1"/>
      <w:r w:rsidRPr="0048459D">
        <w:rPr>
          <w:sz w:val="24"/>
          <w:szCs w:val="24"/>
        </w:rPr>
        <w:t xml:space="preserve"> Склад</w:t>
      </w:r>
      <w:bookmarkEnd w:id="1"/>
    </w:p>
    <w:p w:rsidR="0072068B" w:rsidRPr="0048459D" w:rsidRDefault="0072068B" w:rsidP="00585C5E">
      <w:pPr>
        <w:pStyle w:val="40"/>
        <w:shd w:val="clear" w:color="auto" w:fill="auto"/>
        <w:tabs>
          <w:tab w:val="left" w:pos="5673"/>
        </w:tabs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2 мл (1 доза) препарату містять діючі речовини: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673"/>
        </w:tabs>
        <w:spacing w:line="274" w:lineRule="exact"/>
        <w:ind w:firstLine="360"/>
        <w:rPr>
          <w:b w:val="0"/>
          <w:bCs w:val="0"/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гонадотропін сироватки жеребних кобил (ГСЖК) – 400 МО;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673"/>
        </w:tabs>
        <w:spacing w:line="274" w:lineRule="exact"/>
        <w:ind w:firstLine="360"/>
        <w:rPr>
          <w:b w:val="0"/>
          <w:bCs w:val="0"/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хоріонічний гонадотропін (ХГ)</w:t>
      </w:r>
      <w:r w:rsidRPr="0048459D">
        <w:rPr>
          <w:rStyle w:val="41"/>
          <w:bCs w:val="0"/>
          <w:sz w:val="24"/>
          <w:szCs w:val="24"/>
        </w:rPr>
        <w:tab/>
        <w:t>– 200 МО.</w:t>
      </w:r>
    </w:p>
    <w:p w:rsidR="0072068B" w:rsidRPr="0048459D" w:rsidRDefault="0072068B" w:rsidP="00F0740B">
      <w:pPr>
        <w:pStyle w:val="40"/>
        <w:shd w:val="clear" w:color="auto" w:fill="auto"/>
        <w:tabs>
          <w:tab w:val="center" w:pos="3638"/>
          <w:tab w:val="right" w:pos="6326"/>
          <w:tab w:val="right" w:pos="7410"/>
          <w:tab w:val="center" w:pos="7996"/>
          <w:tab w:val="right" w:pos="10329"/>
        </w:tabs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Допоміжні речовини: маннітол,</w:t>
      </w:r>
      <w:r w:rsidRPr="0048459D">
        <w:rPr>
          <w:rStyle w:val="41"/>
          <w:bCs w:val="0"/>
          <w:sz w:val="24"/>
          <w:szCs w:val="24"/>
        </w:rPr>
        <w:tab/>
        <w:t xml:space="preserve"> дигідрогенофосфат</w:t>
      </w:r>
      <w:r w:rsidRPr="0048459D">
        <w:rPr>
          <w:rStyle w:val="41"/>
          <w:bCs w:val="0"/>
          <w:sz w:val="24"/>
          <w:szCs w:val="24"/>
        </w:rPr>
        <w:tab/>
        <w:t xml:space="preserve"> дигідрат </w:t>
      </w:r>
      <w:r w:rsidRPr="0048459D">
        <w:rPr>
          <w:rStyle w:val="41"/>
          <w:bCs w:val="0"/>
          <w:sz w:val="24"/>
          <w:szCs w:val="24"/>
        </w:rPr>
        <w:tab/>
        <w:t>натрію, гідрогенофосфат додекагідрат натрію.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1 мл розчинника містить:</w:t>
      </w:r>
    </w:p>
    <w:p w:rsidR="0072068B" w:rsidRPr="0048459D" w:rsidRDefault="0072068B" w:rsidP="00585C5E">
      <w:pPr>
        <w:pStyle w:val="40"/>
        <w:shd w:val="clear" w:color="auto" w:fill="auto"/>
        <w:tabs>
          <w:tab w:val="right" w:pos="5080"/>
          <w:tab w:val="right" w:pos="5983"/>
        </w:tabs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дигідрогенофосфат дигідрат натрію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</w:rPr>
        <w:tab/>
        <w:t>– 0,66 мг;</w:t>
      </w:r>
    </w:p>
    <w:p w:rsidR="0072068B" w:rsidRPr="0048459D" w:rsidRDefault="0072068B" w:rsidP="00585C5E">
      <w:pPr>
        <w:pStyle w:val="40"/>
        <w:shd w:val="clear" w:color="auto" w:fill="auto"/>
        <w:tabs>
          <w:tab w:val="right" w:pos="5983"/>
        </w:tabs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гідрогенофосфат додекагідрат натрію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</w:rPr>
        <w:tab/>
        <w:t>– 1,27 мг;</w:t>
      </w:r>
    </w:p>
    <w:p w:rsidR="0072068B" w:rsidRPr="0048459D" w:rsidRDefault="0072068B" w:rsidP="00585C5E">
      <w:pPr>
        <w:pStyle w:val="40"/>
        <w:shd w:val="clear" w:color="auto" w:fill="auto"/>
        <w:tabs>
          <w:tab w:val="right" w:pos="5080"/>
          <w:tab w:val="right" w:pos="5983"/>
        </w:tabs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 xml:space="preserve">воду для ін’єкцій 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</w:rPr>
        <w:tab/>
        <w:t>– до 1,0 мл.</w:t>
      </w:r>
    </w:p>
    <w:p w:rsidR="0072068B" w:rsidRPr="0048459D" w:rsidRDefault="0072068B" w:rsidP="00585C5E">
      <w:pPr>
        <w:pStyle w:val="30"/>
        <w:keepNext/>
        <w:keepLines/>
        <w:numPr>
          <w:ilvl w:val="0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2" w:name="bookmark2"/>
      <w:r w:rsidRPr="0048459D">
        <w:rPr>
          <w:sz w:val="24"/>
          <w:szCs w:val="24"/>
        </w:rPr>
        <w:t xml:space="preserve"> Фармацевтична форма</w:t>
      </w:r>
      <w:bookmarkEnd w:id="2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Порошок та розчинник для розчину для ін’єкцій.</w:t>
      </w:r>
    </w:p>
    <w:p w:rsidR="0072068B" w:rsidRPr="0048459D" w:rsidRDefault="0072068B" w:rsidP="00585C5E">
      <w:pPr>
        <w:pStyle w:val="30"/>
        <w:keepNext/>
        <w:keepLines/>
        <w:numPr>
          <w:ilvl w:val="0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3" w:name="bookmark3"/>
      <w:r w:rsidRPr="0048459D">
        <w:rPr>
          <w:sz w:val="24"/>
          <w:szCs w:val="24"/>
        </w:rPr>
        <w:t xml:space="preserve"> Фармакологічні властивості</w:t>
      </w:r>
      <w:bookmarkEnd w:id="3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48459D">
        <w:rPr>
          <w:rStyle w:val="41"/>
          <w:b/>
          <w:bCs w:val="0"/>
          <w:i/>
          <w:sz w:val="24"/>
          <w:szCs w:val="24"/>
        </w:rPr>
        <w:t>АТС-vet класифікаційний код:</w:t>
      </w:r>
      <w:r w:rsidRPr="0048459D">
        <w:rPr>
          <w:rStyle w:val="41"/>
          <w:bCs w:val="0"/>
          <w:sz w:val="24"/>
          <w:szCs w:val="24"/>
        </w:rPr>
        <w:t xml:space="preserve"> </w:t>
      </w:r>
      <w:r w:rsidRPr="0048459D">
        <w:rPr>
          <w:rStyle w:val="41"/>
          <w:b/>
          <w:bCs w:val="0"/>
          <w:i/>
          <w:sz w:val="24"/>
          <w:szCs w:val="24"/>
        </w:rPr>
        <w:t>QG03GA – гонадотропіни.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Комбінований гормональний препарат, що містить гонадотропін сироватки крові жеребних кобил (ГСЖК) і хоріонічний гонадотропін (ХГ). Сироватковий гонадотропін стимулює ріст, розвиток та дозрівання примордіальних фолікулів. Хоріонічний гонадотропін впливає на овуляцію фолікулів, а також сприяє утворенню та розвитку жовтого тіла. Комбінація цих гормонів сприяє розвитку повноцінних статевих циклів у свиней.</w:t>
      </w:r>
    </w:p>
    <w:p w:rsidR="0072068B" w:rsidRPr="0048459D" w:rsidRDefault="0072068B" w:rsidP="003B0607">
      <w:pPr>
        <w:pStyle w:val="40"/>
        <w:shd w:val="clear" w:color="auto" w:fill="auto"/>
        <w:ind w:firstLine="360"/>
        <w:rPr>
          <w:bCs w:val="0"/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При внутрішньом’язовому застосуванні сироватковий і хоріонічний гонадотропіни жеребних кобил добре всмоктуються, досягають максимальних концентрацій у плазмі крові і зберігаються протягом 35 (ГСЖК) та 27,3-54,9 (ХГ) годин, відповідно; при підшкірному введенні – протягом 5 діб.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Гонадотропіни з організму виводяться, головним чином, із сечею.</w:t>
      </w:r>
    </w:p>
    <w:p w:rsidR="0072068B" w:rsidRPr="0048459D" w:rsidRDefault="0072068B" w:rsidP="00585C5E">
      <w:pPr>
        <w:pStyle w:val="30"/>
        <w:keepNext/>
        <w:keepLines/>
        <w:numPr>
          <w:ilvl w:val="0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4" w:name="bookmark4"/>
      <w:r w:rsidRPr="0048459D">
        <w:rPr>
          <w:sz w:val="24"/>
          <w:szCs w:val="24"/>
        </w:rPr>
        <w:t xml:space="preserve"> Клінічні особливості</w:t>
      </w:r>
      <w:bookmarkEnd w:id="4"/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5" w:name="bookmark5"/>
      <w:r w:rsidRPr="0048459D">
        <w:rPr>
          <w:sz w:val="24"/>
          <w:szCs w:val="24"/>
        </w:rPr>
        <w:t xml:space="preserve"> Вид тварин</w:t>
      </w:r>
      <w:bookmarkEnd w:id="5"/>
    </w:p>
    <w:p w:rsidR="0072068B" w:rsidRPr="0048459D" w:rsidRDefault="0072068B" w:rsidP="00585C5E">
      <w:pPr>
        <w:pStyle w:val="3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48459D">
        <w:rPr>
          <w:rStyle w:val="31"/>
          <w:bCs w:val="0"/>
          <w:sz w:val="24"/>
          <w:szCs w:val="24"/>
        </w:rPr>
        <w:t>Свині.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6" w:name="bookmark6"/>
      <w:r w:rsidRPr="0048459D">
        <w:rPr>
          <w:sz w:val="24"/>
          <w:szCs w:val="24"/>
        </w:rPr>
        <w:t xml:space="preserve"> Показання до застосування</w:t>
      </w:r>
      <w:bookmarkEnd w:id="6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Запобігання затримки статевої зрілості у ремонтних свинок. Профілактика післяпологового анеструсу у свиноматок після першого опоросу. Лікування основних свиноматок і свиноматок після першого опоросу за післяпологового анеструсу.  Профілактика анеструсу, спричиненого сезонними або погодними факторами.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7" w:name="bookmark7"/>
      <w:r w:rsidRPr="0048459D">
        <w:rPr>
          <w:sz w:val="24"/>
          <w:szCs w:val="24"/>
        </w:rPr>
        <w:t xml:space="preserve"> Протипоказання</w:t>
      </w:r>
      <w:bookmarkEnd w:id="7"/>
    </w:p>
    <w:p w:rsidR="0072068B" w:rsidRPr="0048459D" w:rsidRDefault="0072068B" w:rsidP="00585C5E">
      <w:pPr>
        <w:pStyle w:val="3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48459D">
        <w:rPr>
          <w:rStyle w:val="31"/>
          <w:bCs w:val="0"/>
          <w:sz w:val="24"/>
          <w:szCs w:val="24"/>
        </w:rPr>
        <w:t>Відсутні.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8" w:name="bookmark8"/>
      <w:r w:rsidRPr="0048459D">
        <w:rPr>
          <w:sz w:val="24"/>
          <w:szCs w:val="24"/>
        </w:rPr>
        <w:t xml:space="preserve"> Побічна дія</w:t>
      </w:r>
      <w:bookmarkEnd w:id="8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У чутливих тварин можливі алергічні реакції. При анафілактичній реакції застосовувати глюкокортикостероїди або адреналін.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9" w:name="bookmark9"/>
      <w:r w:rsidRPr="0048459D">
        <w:rPr>
          <w:sz w:val="24"/>
          <w:szCs w:val="24"/>
        </w:rPr>
        <w:t xml:space="preserve"> Особливі застереження при використанні</w:t>
      </w:r>
      <w:bookmarkEnd w:id="9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Перед застосуванням вміст флакону з необхідною дозою препарату розвести розчинником, що додається до препарату, і добре струсити.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10" w:name="bookmark10"/>
      <w:r w:rsidRPr="0048459D">
        <w:rPr>
          <w:sz w:val="24"/>
          <w:szCs w:val="24"/>
        </w:rPr>
        <w:t xml:space="preserve"> Використання під час вагітності, лактації, несучості</w:t>
      </w:r>
      <w:bookmarkEnd w:id="10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Немає обмежень.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11" w:name="bookmark11"/>
      <w:r w:rsidRPr="0048459D">
        <w:rPr>
          <w:sz w:val="24"/>
          <w:szCs w:val="24"/>
        </w:rPr>
        <w:t xml:space="preserve"> Взаємодія з іншими засобами та інші форми взаємодії</w:t>
      </w:r>
      <w:bookmarkEnd w:id="11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Немає.</w:t>
      </w:r>
    </w:p>
    <w:p w:rsidR="0072068B" w:rsidRPr="0048459D" w:rsidRDefault="0072068B" w:rsidP="00585C5E">
      <w:pPr>
        <w:pStyle w:val="30"/>
        <w:keepNext/>
        <w:keepLines/>
        <w:numPr>
          <w:ilvl w:val="1"/>
          <w:numId w:val="1"/>
        </w:numPr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12" w:name="bookmark12"/>
      <w:r w:rsidRPr="0048459D">
        <w:rPr>
          <w:sz w:val="24"/>
          <w:szCs w:val="24"/>
        </w:rPr>
        <w:t xml:space="preserve"> Дози і способи введення тваринам різного віку</w:t>
      </w:r>
      <w:bookmarkEnd w:id="12"/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rStyle w:val="41"/>
          <w:bCs w:val="0"/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 xml:space="preserve">Препарат вводять у дозі 2 мл на одну тварину, одноразово, підшкірно або внутрішньом’язово в ділянці шиї за вухом. 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b w:val="0"/>
          <w:sz w:val="24"/>
          <w:szCs w:val="24"/>
        </w:rPr>
      </w:pPr>
      <w:r w:rsidRPr="0048459D">
        <w:rPr>
          <w:b w:val="0"/>
          <w:sz w:val="24"/>
          <w:szCs w:val="24"/>
        </w:rPr>
        <w:t>Тічка розпочнеться через 3-6 діб після застосування препарату.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</w:p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rStyle w:val="11pt"/>
          <w:sz w:val="24"/>
          <w:szCs w:val="24"/>
        </w:rPr>
      </w:pPr>
    </w:p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sz w:val="24"/>
          <w:szCs w:val="24"/>
        </w:rPr>
      </w:pPr>
      <w:r w:rsidRPr="0048459D">
        <w:rPr>
          <w:rStyle w:val="11pt"/>
          <w:sz w:val="24"/>
          <w:szCs w:val="24"/>
        </w:rPr>
        <w:lastRenderedPageBreak/>
        <w:t>Продовження додатку 1</w:t>
      </w:r>
    </w:p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sz w:val="24"/>
          <w:szCs w:val="24"/>
        </w:rPr>
      </w:pPr>
      <w:r w:rsidRPr="0048459D">
        <w:rPr>
          <w:rStyle w:val="11pt"/>
          <w:sz w:val="24"/>
          <w:szCs w:val="24"/>
        </w:rPr>
        <w:t>до реєстраційного посвідчення АА-01891-01-10</w:t>
      </w:r>
    </w:p>
    <w:p w:rsidR="0072068B" w:rsidRPr="0048459D" w:rsidRDefault="0072068B" w:rsidP="001939E1">
      <w:pPr>
        <w:pStyle w:val="a5"/>
        <w:shd w:val="clear" w:color="auto" w:fill="auto"/>
        <w:spacing w:line="240" w:lineRule="auto"/>
        <w:ind w:left="5387"/>
        <w:jc w:val="right"/>
        <w:rPr>
          <w:sz w:val="24"/>
          <w:szCs w:val="24"/>
        </w:rPr>
      </w:pPr>
      <w:r w:rsidRPr="0048459D">
        <w:rPr>
          <w:rStyle w:val="11pt"/>
          <w:sz w:val="24"/>
          <w:szCs w:val="24"/>
        </w:rPr>
        <w:t xml:space="preserve"> 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4"/>
        <w:gridCol w:w="3684"/>
        <w:gridCol w:w="4254"/>
      </w:tblGrid>
      <w:tr w:rsidR="0072068B" w:rsidRPr="0048459D" w:rsidTr="004B17A8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48459D">
              <w:rPr>
                <w:rStyle w:val="a7"/>
                <w:bCs/>
                <w:sz w:val="24"/>
                <w:szCs w:val="24"/>
              </w:rPr>
              <w:t>Тварини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48459D">
              <w:rPr>
                <w:rStyle w:val="a7"/>
                <w:bCs/>
                <w:sz w:val="24"/>
                <w:szCs w:val="24"/>
              </w:rPr>
              <w:t>Показання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jc w:val="both"/>
              <w:rPr>
                <w:sz w:val="24"/>
                <w:szCs w:val="24"/>
              </w:rPr>
            </w:pPr>
            <w:r w:rsidRPr="0048459D">
              <w:rPr>
                <w:rStyle w:val="a7"/>
                <w:bCs/>
                <w:sz w:val="24"/>
                <w:szCs w:val="24"/>
              </w:rPr>
              <w:t>Термін лікування</w:t>
            </w:r>
          </w:p>
        </w:tc>
      </w:tr>
      <w:tr w:rsidR="0072068B" w:rsidRPr="0048459D" w:rsidTr="00A93ED0">
        <w:trPr>
          <w:trHeight w:val="44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Свиноматки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2"/>
              <w:shd w:val="clear" w:color="auto" w:fill="auto"/>
              <w:spacing w:line="230" w:lineRule="exact"/>
              <w:ind w:right="140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Відновлення статевого циклу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ac"/>
              <w:ind w:right="86"/>
            </w:pPr>
            <w:r w:rsidRPr="0048459D">
              <w:rPr>
                <w:rStyle w:val="1"/>
                <w:rFonts w:cs="Times New Roman"/>
                <w:sz w:val="24"/>
              </w:rPr>
              <w:t>0-2 доба після закінчення лактації</w:t>
            </w:r>
          </w:p>
        </w:tc>
      </w:tr>
      <w:tr w:rsidR="0072068B" w:rsidRPr="0048459D" w:rsidTr="00A93ED0">
        <w:trPr>
          <w:trHeight w:val="592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2"/>
              <w:shd w:val="clear" w:color="auto" w:fill="auto"/>
              <w:spacing w:line="230" w:lineRule="exact"/>
              <w:ind w:right="140"/>
              <w:rPr>
                <w:rStyle w:val="1"/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Збільшення кількості поросят у приплоді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ac"/>
              <w:ind w:right="86"/>
            </w:pPr>
            <w:r w:rsidRPr="0048459D">
              <w:rPr>
                <w:rStyle w:val="1"/>
                <w:rFonts w:cs="Times New Roman"/>
                <w:sz w:val="24"/>
              </w:rPr>
              <w:t>0-2 доба після закінчення лактації</w:t>
            </w:r>
          </w:p>
          <w:p w:rsidR="0072068B" w:rsidRPr="0048459D" w:rsidRDefault="0072068B" w:rsidP="00A93ED0">
            <w:pPr>
              <w:pStyle w:val="ac"/>
              <w:ind w:right="86"/>
              <w:rPr>
                <w:rStyle w:val="1"/>
                <w:rFonts w:cs="Times New Roman"/>
                <w:sz w:val="24"/>
              </w:rPr>
            </w:pPr>
          </w:p>
        </w:tc>
      </w:tr>
      <w:tr w:rsidR="0072068B" w:rsidRPr="0048459D" w:rsidTr="00A93ED0">
        <w:trPr>
          <w:trHeight w:val="592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rPr>
                <w:rStyle w:val="1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2"/>
              <w:shd w:val="clear" w:color="auto" w:fill="auto"/>
              <w:spacing w:line="230" w:lineRule="exact"/>
              <w:ind w:right="140"/>
              <w:rPr>
                <w:rStyle w:val="1"/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Відсутність статевої охоти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ac"/>
              <w:ind w:right="86"/>
              <w:rPr>
                <w:rStyle w:val="1"/>
                <w:rFonts w:cs="Times New Roman"/>
                <w:sz w:val="24"/>
              </w:rPr>
            </w:pPr>
            <w:r w:rsidRPr="0048459D">
              <w:rPr>
                <w:rStyle w:val="1"/>
                <w:rFonts w:cs="Times New Roman"/>
                <w:sz w:val="24"/>
              </w:rPr>
              <w:t>Приблизно на 10-у добу після закінчення лактації</w:t>
            </w:r>
          </w:p>
        </w:tc>
      </w:tr>
      <w:tr w:rsidR="0072068B" w:rsidRPr="0048459D" w:rsidTr="00A93ED0">
        <w:trPr>
          <w:trHeight w:val="4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Ремонтні свинки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2"/>
              <w:shd w:val="clear" w:color="auto" w:fill="auto"/>
              <w:spacing w:line="230" w:lineRule="exact"/>
              <w:ind w:right="140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Відсутність статевої охоти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A93ED0">
            <w:pPr>
              <w:pStyle w:val="2"/>
              <w:shd w:val="clear" w:color="auto" w:fill="auto"/>
              <w:spacing w:line="274" w:lineRule="exact"/>
              <w:ind w:right="86"/>
              <w:rPr>
                <w:sz w:val="24"/>
                <w:szCs w:val="24"/>
              </w:rPr>
            </w:pPr>
            <w:r w:rsidRPr="0048459D">
              <w:rPr>
                <w:sz w:val="24"/>
                <w:szCs w:val="24"/>
              </w:rPr>
              <w:t>У віці від 8 до 10 місяців</w:t>
            </w:r>
          </w:p>
        </w:tc>
      </w:tr>
      <w:tr w:rsidR="0072068B" w:rsidRPr="0048459D" w:rsidTr="004B17A8">
        <w:trPr>
          <w:trHeight w:val="70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30" w:lineRule="exact"/>
              <w:ind w:right="140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Індукція тічки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68B" w:rsidRPr="0048459D" w:rsidRDefault="0072068B" w:rsidP="00535BB5">
            <w:pPr>
              <w:pStyle w:val="2"/>
              <w:shd w:val="clear" w:color="auto" w:fill="auto"/>
              <w:spacing w:line="274" w:lineRule="exact"/>
              <w:ind w:right="86"/>
              <w:jc w:val="both"/>
              <w:rPr>
                <w:sz w:val="24"/>
                <w:szCs w:val="24"/>
              </w:rPr>
            </w:pPr>
            <w:r w:rsidRPr="0048459D">
              <w:rPr>
                <w:rStyle w:val="1"/>
                <w:sz w:val="24"/>
                <w:szCs w:val="24"/>
              </w:rPr>
              <w:t>Тварини у віці 5,5-6,5 місяців та ж.в. від 85 до 100 кг можуть бути запліднені у першу тічку після лікування. Якщо запліднення провести у другу тічку, то зростає ймовірність більшого приплоду.</w:t>
            </w:r>
          </w:p>
        </w:tc>
      </w:tr>
    </w:tbl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>Передозування (симптоми, невідкладні заходи, антидоти)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Відсутнє.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Спеціальні застереження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Немає.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Період виведення (каренції)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М’ясо – 0 діб.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Спеціальні застереження для осіб і обслуговуючого персоналу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Необхідно дотримуватись правил роботи з ветеринарними препаратами.</w:t>
      </w:r>
    </w:p>
    <w:p w:rsidR="0072068B" w:rsidRPr="0048459D" w:rsidRDefault="0072068B" w:rsidP="00585C5E">
      <w:pPr>
        <w:pStyle w:val="40"/>
        <w:numPr>
          <w:ilvl w:val="0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Фармацевтичні особливості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Форми несумісності (основні)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Відсутні.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Термін придатності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3 роки. Розпочатий флакон використати протягом 12 годин.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Особливі заходи зберігання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Сухе темне, недоступне для дітей місце за температури від 2 до 15 °С. Розпочатий флакон зберігати за температури від 2 до 8 °С.</w:t>
      </w:r>
    </w:p>
    <w:p w:rsidR="0072068B" w:rsidRPr="0048459D" w:rsidRDefault="0072068B" w:rsidP="00585C5E">
      <w:pPr>
        <w:pStyle w:val="40"/>
        <w:numPr>
          <w:ilvl w:val="1"/>
          <w:numId w:val="1"/>
        </w:numPr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 Природа і склад контейнера первинного упакування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Скляні флакони по 2 мл та 10 мл закриті гумовим корком під алюмінієву обкатку або обкатку типу «фліп-офф», з розчинником. Флакони упаковані в картонні або пластикові коробки.</w:t>
      </w:r>
    </w:p>
    <w:p w:rsidR="0072068B" w:rsidRPr="0048459D" w:rsidRDefault="0072068B" w:rsidP="00651275">
      <w:pPr>
        <w:pStyle w:val="40"/>
        <w:shd w:val="clear" w:color="auto" w:fill="auto"/>
        <w:spacing w:line="274" w:lineRule="exact"/>
        <w:ind w:firstLine="284"/>
        <w:rPr>
          <w:rStyle w:val="41"/>
          <w:bCs w:val="0"/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Розмір пакування: 5 х 1 дозі + 5 х 2 мл розчинника; 10 х 1 дозі + 10 х 2 мл розчинника; 5 х 5 доз + 5 х 10 мл розчинника.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72068B" w:rsidRPr="0048459D" w:rsidRDefault="0072068B" w:rsidP="00585C5E">
      <w:pPr>
        <w:pStyle w:val="40"/>
        <w:shd w:val="clear" w:color="auto" w:fill="auto"/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Усі невикористані матеріали та залишки препарату повинні бути знешкоджені відповідно до національних вимог.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>7. Назва та місцезнаходження власника реєстраційного посвідчення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Біовета, а.с.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>Bioveta, a.s.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Коменскего 212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 xml:space="preserve">Komenskeho </w:t>
      </w:r>
      <w:r w:rsidRPr="0048459D">
        <w:rPr>
          <w:rStyle w:val="41"/>
          <w:bCs w:val="0"/>
          <w:sz w:val="24"/>
          <w:szCs w:val="24"/>
        </w:rPr>
        <w:t>212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 xml:space="preserve">683 23 Івановіце на </w:t>
      </w:r>
      <w:r w:rsidRPr="0048459D">
        <w:rPr>
          <w:rStyle w:val="41"/>
          <w:bCs w:val="0"/>
          <w:sz w:val="24"/>
          <w:szCs w:val="24"/>
          <w:lang w:eastAsia="ru-RU"/>
        </w:rPr>
        <w:t>Гане</w:t>
      </w:r>
      <w:r w:rsidRPr="0048459D">
        <w:rPr>
          <w:rStyle w:val="41"/>
          <w:bCs w:val="0"/>
          <w:sz w:val="24"/>
          <w:szCs w:val="24"/>
          <w:lang w:eastAsia="ru-RU"/>
        </w:rPr>
        <w:tab/>
      </w:r>
      <w:r w:rsidRPr="0048459D">
        <w:rPr>
          <w:rStyle w:val="41"/>
          <w:bCs w:val="0"/>
          <w:sz w:val="24"/>
          <w:szCs w:val="24"/>
        </w:rPr>
        <w:t xml:space="preserve">683 23 </w:t>
      </w:r>
      <w:r w:rsidRPr="0048459D">
        <w:rPr>
          <w:rStyle w:val="41"/>
          <w:bCs w:val="0"/>
          <w:sz w:val="24"/>
          <w:szCs w:val="24"/>
          <w:lang w:eastAsia="de-DE"/>
        </w:rPr>
        <w:t>Ivanovice na Hane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Чехія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>Czech Republic</w:t>
      </w:r>
      <w:r w:rsidRPr="0048459D">
        <w:rPr>
          <w:sz w:val="24"/>
          <w:szCs w:val="24"/>
        </w:rPr>
        <w:t xml:space="preserve"> 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sz w:val="24"/>
          <w:szCs w:val="24"/>
        </w:rPr>
        <w:t>8. Назва та місцезнаходження виробника (виробників)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Біовета, а.с.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>Bioveta, a.s.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Коменскего 212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 xml:space="preserve">Komenskeho </w:t>
      </w:r>
      <w:r w:rsidRPr="0048459D">
        <w:rPr>
          <w:rStyle w:val="41"/>
          <w:bCs w:val="0"/>
          <w:sz w:val="24"/>
          <w:szCs w:val="24"/>
        </w:rPr>
        <w:t>212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 xml:space="preserve">683 23 Івановіце на </w:t>
      </w:r>
      <w:r w:rsidRPr="0048459D">
        <w:rPr>
          <w:rStyle w:val="41"/>
          <w:bCs w:val="0"/>
          <w:sz w:val="24"/>
          <w:szCs w:val="24"/>
          <w:lang w:eastAsia="ru-RU"/>
        </w:rPr>
        <w:t>Гане</w:t>
      </w:r>
      <w:r w:rsidRPr="0048459D">
        <w:rPr>
          <w:rStyle w:val="41"/>
          <w:bCs w:val="0"/>
          <w:sz w:val="24"/>
          <w:szCs w:val="24"/>
          <w:lang w:eastAsia="ru-RU"/>
        </w:rPr>
        <w:tab/>
      </w:r>
      <w:r w:rsidRPr="0048459D">
        <w:rPr>
          <w:rStyle w:val="41"/>
          <w:bCs w:val="0"/>
          <w:sz w:val="24"/>
          <w:szCs w:val="24"/>
        </w:rPr>
        <w:t xml:space="preserve">683 23 </w:t>
      </w:r>
      <w:r w:rsidRPr="0048459D">
        <w:rPr>
          <w:rStyle w:val="41"/>
          <w:bCs w:val="0"/>
          <w:sz w:val="24"/>
          <w:szCs w:val="24"/>
          <w:lang w:eastAsia="de-DE"/>
        </w:rPr>
        <w:t>Ivanovice na Hane</w:t>
      </w:r>
    </w:p>
    <w:p w:rsidR="0072068B" w:rsidRPr="0048459D" w:rsidRDefault="0072068B" w:rsidP="00585C5E">
      <w:pPr>
        <w:pStyle w:val="40"/>
        <w:shd w:val="clear" w:color="auto" w:fill="auto"/>
        <w:tabs>
          <w:tab w:val="left" w:pos="5234"/>
        </w:tabs>
        <w:spacing w:line="274" w:lineRule="exact"/>
        <w:ind w:firstLine="284"/>
        <w:rPr>
          <w:sz w:val="24"/>
          <w:szCs w:val="24"/>
        </w:rPr>
      </w:pPr>
      <w:r w:rsidRPr="0048459D">
        <w:rPr>
          <w:rStyle w:val="41"/>
          <w:bCs w:val="0"/>
          <w:sz w:val="24"/>
          <w:szCs w:val="24"/>
        </w:rPr>
        <w:t>Чехія</w:t>
      </w:r>
      <w:r w:rsidRPr="0048459D">
        <w:rPr>
          <w:rStyle w:val="41"/>
          <w:bCs w:val="0"/>
          <w:sz w:val="24"/>
          <w:szCs w:val="24"/>
        </w:rPr>
        <w:tab/>
      </w:r>
      <w:r w:rsidRPr="0048459D">
        <w:rPr>
          <w:rStyle w:val="41"/>
          <w:bCs w:val="0"/>
          <w:sz w:val="24"/>
          <w:szCs w:val="24"/>
          <w:lang w:eastAsia="en-US"/>
        </w:rPr>
        <w:t>Czech Republic</w:t>
      </w:r>
      <w:r w:rsidRPr="0048459D">
        <w:rPr>
          <w:sz w:val="24"/>
          <w:szCs w:val="24"/>
        </w:rPr>
        <w:t xml:space="preserve"> </w:t>
      </w:r>
    </w:p>
    <w:p w:rsidR="0072068B" w:rsidRPr="0048459D" w:rsidRDefault="0072068B" w:rsidP="00585C5E">
      <w:pPr>
        <w:pStyle w:val="40"/>
        <w:numPr>
          <w:ilvl w:val="0"/>
          <w:numId w:val="5"/>
        </w:numPr>
        <w:shd w:val="clear" w:color="auto" w:fill="auto"/>
        <w:spacing w:line="274" w:lineRule="exact"/>
        <w:ind w:left="0" w:firstLine="284"/>
        <w:rPr>
          <w:sz w:val="24"/>
          <w:szCs w:val="24"/>
        </w:rPr>
      </w:pPr>
      <w:r w:rsidRPr="0048459D">
        <w:rPr>
          <w:sz w:val="24"/>
          <w:szCs w:val="24"/>
        </w:rPr>
        <w:t xml:space="preserve">Додаткова інформація </w:t>
      </w:r>
      <w:bookmarkStart w:id="13" w:name="_GoBack"/>
      <w:bookmarkEnd w:id="13"/>
    </w:p>
    <w:sectPr w:rsidR="0072068B" w:rsidRPr="0048459D" w:rsidSect="00F1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568" w:right="454" w:bottom="454" w:left="1134" w:header="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8B" w:rsidRDefault="0072068B">
      <w:r>
        <w:separator/>
      </w:r>
    </w:p>
  </w:endnote>
  <w:endnote w:type="continuationSeparator" w:id="0">
    <w:p w:rsidR="0072068B" w:rsidRDefault="0072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Default="007206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Pr="00F16EC8" w:rsidRDefault="0072068B">
    <w:pPr>
      <w:pStyle w:val="aa"/>
      <w:jc w:val="center"/>
      <w:rPr>
        <w:rFonts w:ascii="Times New Roman" w:hAnsi="Times New Roman" w:cs="Times New Roman"/>
      </w:rPr>
    </w:pPr>
    <w:r w:rsidRPr="00F16EC8">
      <w:rPr>
        <w:rFonts w:ascii="Times New Roman" w:hAnsi="Times New Roman" w:cs="Times New Roman"/>
      </w:rPr>
      <w:fldChar w:fldCharType="begin"/>
    </w:r>
    <w:r w:rsidRPr="00F16EC8">
      <w:rPr>
        <w:rFonts w:ascii="Times New Roman" w:hAnsi="Times New Roman" w:cs="Times New Roman"/>
      </w:rPr>
      <w:instrText>PAGE   \* MERGEFORMAT</w:instrText>
    </w:r>
    <w:r w:rsidRPr="00F16EC8">
      <w:rPr>
        <w:rFonts w:ascii="Times New Roman" w:hAnsi="Times New Roman" w:cs="Times New Roman"/>
      </w:rPr>
      <w:fldChar w:fldCharType="separate"/>
    </w:r>
    <w:r w:rsidR="0048459D" w:rsidRPr="0048459D">
      <w:rPr>
        <w:rFonts w:ascii="Times New Roman" w:hAnsi="Times New Roman" w:cs="Times New Roman"/>
        <w:noProof/>
        <w:lang w:val="ru-RU"/>
      </w:rPr>
      <w:t>2</w:t>
    </w:r>
    <w:r w:rsidRPr="00F16EC8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Default="0048459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295.85pt;margin-top:805.4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" filled="f" stroked="f">
          <v:textbox style="mso-fit-shape-to-text:t" inset="0,0,0,0">
            <w:txbxContent>
              <w:p w:rsidR="0072068B" w:rsidRDefault="0072068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82FC2">
                  <w:rPr>
                    <w:rStyle w:val="11pt"/>
                    <w:noProof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8B" w:rsidRDefault="0072068B"/>
  </w:footnote>
  <w:footnote w:type="continuationSeparator" w:id="0">
    <w:p w:rsidR="0072068B" w:rsidRDefault="00720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Default="007206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Default="007206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8B" w:rsidRDefault="007206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4436"/>
    <w:multiLevelType w:val="hybridMultilevel"/>
    <w:tmpl w:val="3E025A44"/>
    <w:lvl w:ilvl="0" w:tplc="91EA4C86">
      <w:start w:val="9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C397102"/>
    <w:multiLevelType w:val="hybridMultilevel"/>
    <w:tmpl w:val="21726C5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F81FE6"/>
    <w:multiLevelType w:val="multilevel"/>
    <w:tmpl w:val="C5BC509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2E529B3"/>
    <w:multiLevelType w:val="multilevel"/>
    <w:tmpl w:val="18EEB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63D64AF"/>
    <w:multiLevelType w:val="hybridMultilevel"/>
    <w:tmpl w:val="3F04DFA0"/>
    <w:lvl w:ilvl="0" w:tplc="FECEAC2A">
      <w:start w:val="9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7A4D41C1"/>
    <w:multiLevelType w:val="hybridMultilevel"/>
    <w:tmpl w:val="B8C039A8"/>
    <w:lvl w:ilvl="0" w:tplc="532E62FC">
      <w:start w:val="5"/>
      <w:numFmt w:val="decimal"/>
      <w:lvlText w:val="%1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719"/>
    <w:rsid w:val="00033C10"/>
    <w:rsid w:val="00061ABB"/>
    <w:rsid w:val="000C4577"/>
    <w:rsid w:val="000D099B"/>
    <w:rsid w:val="001278AB"/>
    <w:rsid w:val="00164346"/>
    <w:rsid w:val="001939E1"/>
    <w:rsid w:val="002170F3"/>
    <w:rsid w:val="002642F1"/>
    <w:rsid w:val="002A72F6"/>
    <w:rsid w:val="00302E02"/>
    <w:rsid w:val="00304D1C"/>
    <w:rsid w:val="00317723"/>
    <w:rsid w:val="0033566F"/>
    <w:rsid w:val="00382FC2"/>
    <w:rsid w:val="003B0607"/>
    <w:rsid w:val="003F35E1"/>
    <w:rsid w:val="00413BBD"/>
    <w:rsid w:val="00454BCE"/>
    <w:rsid w:val="0048459D"/>
    <w:rsid w:val="004B17A8"/>
    <w:rsid w:val="00535BB5"/>
    <w:rsid w:val="00585C5E"/>
    <w:rsid w:val="005A2C70"/>
    <w:rsid w:val="005B6602"/>
    <w:rsid w:val="005F359C"/>
    <w:rsid w:val="006232A6"/>
    <w:rsid w:val="00637719"/>
    <w:rsid w:val="00651275"/>
    <w:rsid w:val="0067665F"/>
    <w:rsid w:val="00681A5C"/>
    <w:rsid w:val="0068463A"/>
    <w:rsid w:val="006A6D0D"/>
    <w:rsid w:val="006E1470"/>
    <w:rsid w:val="00705E4B"/>
    <w:rsid w:val="0072068B"/>
    <w:rsid w:val="00724F72"/>
    <w:rsid w:val="007626E0"/>
    <w:rsid w:val="00765C69"/>
    <w:rsid w:val="0079133B"/>
    <w:rsid w:val="007A187B"/>
    <w:rsid w:val="00824CC0"/>
    <w:rsid w:val="0083517F"/>
    <w:rsid w:val="0086298D"/>
    <w:rsid w:val="0089168D"/>
    <w:rsid w:val="008D61CE"/>
    <w:rsid w:val="00905A3C"/>
    <w:rsid w:val="00912DD7"/>
    <w:rsid w:val="0094064F"/>
    <w:rsid w:val="00941729"/>
    <w:rsid w:val="00974B04"/>
    <w:rsid w:val="00997249"/>
    <w:rsid w:val="009B178C"/>
    <w:rsid w:val="009E2B51"/>
    <w:rsid w:val="009F2937"/>
    <w:rsid w:val="00A14794"/>
    <w:rsid w:val="00A5685F"/>
    <w:rsid w:val="00A56F46"/>
    <w:rsid w:val="00A6506C"/>
    <w:rsid w:val="00A93ED0"/>
    <w:rsid w:val="00AF24DA"/>
    <w:rsid w:val="00B063B5"/>
    <w:rsid w:val="00B14B26"/>
    <w:rsid w:val="00B252B2"/>
    <w:rsid w:val="00B354DD"/>
    <w:rsid w:val="00B4339E"/>
    <w:rsid w:val="00B75587"/>
    <w:rsid w:val="00B828DB"/>
    <w:rsid w:val="00BB12D5"/>
    <w:rsid w:val="00BC3E10"/>
    <w:rsid w:val="00BE148B"/>
    <w:rsid w:val="00BE779B"/>
    <w:rsid w:val="00C01C38"/>
    <w:rsid w:val="00C20D87"/>
    <w:rsid w:val="00C251C4"/>
    <w:rsid w:val="00C40FD5"/>
    <w:rsid w:val="00C73F83"/>
    <w:rsid w:val="00C76AC5"/>
    <w:rsid w:val="00D02B82"/>
    <w:rsid w:val="00D71CF9"/>
    <w:rsid w:val="00E534B6"/>
    <w:rsid w:val="00F0740B"/>
    <w:rsid w:val="00F14A18"/>
    <w:rsid w:val="00F16EC8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662A8613-6E0A-429B-BD94-51570FE1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Заголовок №3_"/>
    <w:link w:val="30"/>
    <w:uiPriority w:val="99"/>
    <w:locked/>
    <w:rPr>
      <w:rFonts w:ascii="Times New Roman" w:hAnsi="Times New Roman"/>
      <w:b/>
      <w:sz w:val="23"/>
      <w:u w:val="none"/>
    </w:rPr>
  </w:style>
  <w:style w:type="character" w:customStyle="1" w:styleId="a4">
    <w:name w:val="Колонтитул_"/>
    <w:link w:val="a5"/>
    <w:uiPriority w:val="99"/>
    <w:locked/>
    <w:rPr>
      <w:rFonts w:ascii="Times New Roman" w:hAnsi="Times New Roman"/>
      <w:sz w:val="19"/>
      <w:u w:val="none"/>
    </w:rPr>
  </w:style>
  <w:style w:type="character" w:customStyle="1" w:styleId="11pt">
    <w:name w:val="Колонтитул + 11 pt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b/>
      <w:sz w:val="23"/>
      <w:u w:val="none"/>
    </w:rPr>
  </w:style>
  <w:style w:type="character" w:customStyle="1" w:styleId="41">
    <w:name w:val="Основной текст (4) + Не 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31">
    <w:name w:val="Заголовок №3 + Не 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a6">
    <w:name w:val="Основной текст_"/>
    <w:link w:val="2"/>
    <w:uiPriority w:val="99"/>
    <w:locked/>
    <w:rPr>
      <w:rFonts w:ascii="Times New Roman" w:hAnsi="Times New Roman"/>
      <w:sz w:val="23"/>
      <w:u w:val="none"/>
    </w:rPr>
  </w:style>
  <w:style w:type="character" w:customStyle="1" w:styleId="a7">
    <w:name w:val="Основной текст + Полужирный"/>
    <w:uiPriority w:val="99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1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line="24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header"/>
    <w:basedOn w:val="a"/>
    <w:link w:val="a9"/>
    <w:uiPriority w:val="99"/>
    <w:rsid w:val="00382FC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382FC2"/>
    <w:rPr>
      <w:color w:val="000000"/>
    </w:rPr>
  </w:style>
  <w:style w:type="paragraph" w:styleId="aa">
    <w:name w:val="footer"/>
    <w:basedOn w:val="a"/>
    <w:link w:val="ab"/>
    <w:uiPriority w:val="99"/>
    <w:rsid w:val="00382FC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382FC2"/>
    <w:rPr>
      <w:color w:val="000000"/>
    </w:rPr>
  </w:style>
  <w:style w:type="paragraph" w:styleId="ac">
    <w:name w:val="No Spacing"/>
    <w:uiPriority w:val="99"/>
    <w:qFormat/>
    <w:rsid w:val="00C01C38"/>
    <w:pPr>
      <w:widowControl w:val="0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5127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51275"/>
    <w:rPr>
      <w:rFonts w:ascii="Tahoma" w:hAnsi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2944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38</cp:revision>
  <cp:lastPrinted>2025-02-26T08:07:00Z</cp:lastPrinted>
  <dcterms:created xsi:type="dcterms:W3CDTF">2019-03-26T09:03:00Z</dcterms:created>
  <dcterms:modified xsi:type="dcterms:W3CDTF">2025-10-24T13:26:00Z</dcterms:modified>
</cp:coreProperties>
</file>