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F7" w:rsidRPr="0080071F" w:rsidRDefault="00D01AF7" w:rsidP="00D01AF7">
      <w:pPr>
        <w:ind w:firstLine="426"/>
        <w:jc w:val="center"/>
        <w:rPr>
          <w:b/>
          <w:bCs/>
          <w:lang w:val="uk-UA"/>
        </w:rPr>
      </w:pPr>
      <w:r w:rsidRPr="0080071F">
        <w:rPr>
          <w:b/>
          <w:bCs/>
          <w:lang w:val="uk-UA"/>
        </w:rPr>
        <w:t>Коротка характеристика препарату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 xml:space="preserve">1. Назва </w:t>
      </w:r>
    </w:p>
    <w:p w:rsidR="00D01AF7" w:rsidRPr="0080071F" w:rsidRDefault="00D01AF7" w:rsidP="00D01AF7">
      <w:pPr>
        <w:ind w:firstLine="426"/>
        <w:jc w:val="both"/>
      </w:pPr>
      <w:r w:rsidRPr="0080071F">
        <w:t>ТОБРАНОРМ</w:t>
      </w:r>
    </w:p>
    <w:p w:rsidR="00D01AF7" w:rsidRPr="0080071F" w:rsidRDefault="00D01AF7" w:rsidP="00D01AF7">
      <w:pPr>
        <w:ind w:firstLine="426"/>
        <w:jc w:val="both"/>
        <w:rPr>
          <w:b/>
          <w:bCs/>
          <w:lang w:val="uk-UA"/>
        </w:rPr>
      </w:pPr>
      <w:r w:rsidRPr="0080071F">
        <w:rPr>
          <w:b/>
          <w:bCs/>
          <w:lang w:val="uk-UA"/>
        </w:rPr>
        <w:t>2. Склад</w:t>
      </w:r>
    </w:p>
    <w:p w:rsidR="00D01AF7" w:rsidRPr="0080071F" w:rsidRDefault="00D01AF7" w:rsidP="00D01AF7">
      <w:pPr>
        <w:ind w:firstLine="426"/>
        <w:jc w:val="both"/>
        <w:rPr>
          <w:i/>
          <w:iCs/>
        </w:rPr>
      </w:pPr>
      <w:r w:rsidRPr="0080071F">
        <w:t xml:space="preserve">1 мл препарату містить </w:t>
      </w:r>
      <w:r w:rsidRPr="0080071F">
        <w:rPr>
          <w:iCs/>
        </w:rPr>
        <w:t>діючу речовину:</w:t>
      </w:r>
    </w:p>
    <w:p w:rsidR="00D01AF7" w:rsidRPr="0080071F" w:rsidRDefault="00D01AF7" w:rsidP="00D01AF7">
      <w:pPr>
        <w:ind w:firstLine="426"/>
        <w:jc w:val="both"/>
      </w:pPr>
      <w:r w:rsidRPr="0080071F">
        <w:t>тобраміцин – 3 мг;</w:t>
      </w:r>
    </w:p>
    <w:p w:rsidR="00D01AF7" w:rsidRPr="0080071F" w:rsidRDefault="00D01AF7" w:rsidP="00D01AF7">
      <w:pPr>
        <w:ind w:firstLine="426"/>
        <w:jc w:val="both"/>
      </w:pPr>
      <w:r w:rsidRPr="0080071F">
        <w:rPr>
          <w:i/>
          <w:iCs/>
        </w:rPr>
        <w:t xml:space="preserve">допоміжні речовини: </w:t>
      </w:r>
      <w:r w:rsidRPr="0080071F">
        <w:t>бензалконію хлорид, хлорид натрію, сульфат натрію, тилоксапол, борна кислота, сульфатна кислота, гідроксид натрію, вода для ін'єкцій.</w:t>
      </w:r>
    </w:p>
    <w:p w:rsidR="00D01AF7" w:rsidRPr="0080071F" w:rsidRDefault="00D01AF7" w:rsidP="00D01AF7">
      <w:pPr>
        <w:ind w:firstLine="426"/>
        <w:jc w:val="both"/>
        <w:rPr>
          <w:b/>
          <w:bCs/>
          <w:lang w:val="uk-UA"/>
        </w:rPr>
      </w:pPr>
      <w:r w:rsidRPr="0080071F">
        <w:rPr>
          <w:b/>
          <w:bCs/>
          <w:lang w:val="uk-UA"/>
        </w:rPr>
        <w:t>3.Фармацевтична</w:t>
      </w:r>
      <w:bookmarkStart w:id="0" w:name="_GoBack"/>
      <w:bookmarkEnd w:id="0"/>
      <w:r w:rsidRPr="0080071F">
        <w:rPr>
          <w:b/>
          <w:bCs/>
          <w:lang w:val="uk-UA"/>
        </w:rPr>
        <w:t xml:space="preserve"> форма</w:t>
      </w:r>
    </w:p>
    <w:p w:rsidR="00D01AF7" w:rsidRPr="0080071F" w:rsidRDefault="00D01AF7" w:rsidP="00D01AF7">
      <w:pPr>
        <w:ind w:firstLine="426"/>
        <w:jc w:val="both"/>
        <w:rPr>
          <w:bCs/>
          <w:lang w:val="uk-UA"/>
        </w:rPr>
      </w:pPr>
      <w:r w:rsidRPr="0080071F">
        <w:rPr>
          <w:lang w:val="uk-UA"/>
        </w:rPr>
        <w:t>К</w:t>
      </w:r>
      <w:r w:rsidRPr="0080071F">
        <w:t>раплі очні, розчин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4.Фармакологічні властивості</w:t>
      </w:r>
    </w:p>
    <w:p w:rsidR="00D01AF7" w:rsidRPr="0080071F" w:rsidRDefault="00D01AF7" w:rsidP="00D01AF7">
      <w:pPr>
        <w:widowControl w:val="0"/>
        <w:ind w:firstLine="426"/>
        <w:jc w:val="both"/>
        <w:rPr>
          <w:b/>
          <w:i/>
          <w:iCs/>
          <w:lang w:val="uk-UA" w:eastAsia="en-US"/>
        </w:rPr>
      </w:pPr>
      <w:r w:rsidRPr="0080071F">
        <w:rPr>
          <w:b/>
          <w:i/>
          <w:iCs/>
          <w:lang w:val="uk-UA" w:eastAsia="en-US"/>
        </w:rPr>
        <w:t>ATCvet класифікаційний код QS01 – ветеринарні препарати, які застосовуються в офтальмології. QS01AA12 – тобраміцин.</w:t>
      </w:r>
    </w:p>
    <w:p w:rsidR="00D63E21" w:rsidRPr="0080071F" w:rsidRDefault="00D63E21" w:rsidP="00D63E21">
      <w:pPr>
        <w:ind w:firstLine="426"/>
        <w:jc w:val="both"/>
        <w:rPr>
          <w:lang w:val="uk-UA"/>
        </w:rPr>
      </w:pPr>
      <w:r w:rsidRPr="0080071F">
        <w:rPr>
          <w:lang w:val="uk-UA"/>
        </w:rPr>
        <w:t xml:space="preserve">Тобраміцин – швидкодіючий бактерицидний антибіотик групи аміноглікозидів. Діє бактерицидно, пригнічуючи синтез білка на рибосомному рівні та порушуючи цілісність зовнішньої бактеріальної мембрани. </w:t>
      </w:r>
    </w:p>
    <w:p w:rsidR="00D63E21" w:rsidRPr="0080071F" w:rsidRDefault="00D63E21" w:rsidP="00D63E21">
      <w:pPr>
        <w:ind w:firstLine="426"/>
        <w:jc w:val="both"/>
        <w:rPr>
          <w:lang w:val="uk-UA"/>
        </w:rPr>
      </w:pPr>
      <w:r w:rsidRPr="0080071F">
        <w:rPr>
          <w:lang w:val="uk-UA"/>
        </w:rPr>
        <w:t>Тобраміцин є ефективним при лікуванні захворювань, що спричинених грапозитивними (коагулазо-позитивними і коагулазо-негативними</w:t>
      </w:r>
      <w:r w:rsidRPr="0080071F">
        <w:rPr>
          <w:i/>
          <w:lang w:val="uk-UA"/>
        </w:rPr>
        <w:t xml:space="preserve"> S</w:t>
      </w:r>
      <w:r w:rsidRPr="0080071F">
        <w:rPr>
          <w:i/>
        </w:rPr>
        <w:t>taphylococcus</w:t>
      </w:r>
      <w:r w:rsidRPr="0080071F">
        <w:rPr>
          <w:i/>
          <w:lang w:val="uk-UA"/>
        </w:rPr>
        <w:t xml:space="preserve"> aureus</w:t>
      </w:r>
      <w:r w:rsidRPr="0080071F">
        <w:rPr>
          <w:lang w:val="uk-UA"/>
        </w:rPr>
        <w:t xml:space="preserve"> і </w:t>
      </w:r>
      <w:r w:rsidRPr="0080071F">
        <w:rPr>
          <w:i/>
          <w:lang w:val="uk-UA"/>
        </w:rPr>
        <w:t>S. epidermidis</w:t>
      </w:r>
      <w:r w:rsidRPr="0080071F">
        <w:rPr>
          <w:lang w:val="uk-UA"/>
        </w:rPr>
        <w:t xml:space="preserve">, пеніцилінрезистентними штамами стрептококів, включно з деякими бета-гемолітичними видами групи А, та деякими негемолітичними штами </w:t>
      </w:r>
      <w:r w:rsidRPr="0080071F">
        <w:rPr>
          <w:i/>
          <w:lang w:val="uk-UA"/>
        </w:rPr>
        <w:t>Streptococcus pneumoniae</w:t>
      </w:r>
      <w:r w:rsidRPr="0080071F">
        <w:rPr>
          <w:iCs/>
          <w:lang w:val="uk-UA"/>
        </w:rPr>
        <w:t>)</w:t>
      </w:r>
      <w:r w:rsidRPr="0080071F">
        <w:rPr>
          <w:i/>
          <w:lang w:val="uk-UA"/>
        </w:rPr>
        <w:t xml:space="preserve"> </w:t>
      </w:r>
      <w:r w:rsidRPr="0080071F">
        <w:rPr>
          <w:iCs/>
          <w:lang w:val="uk-UA"/>
        </w:rPr>
        <w:t>та грамнегативними</w:t>
      </w:r>
      <w:r w:rsidRPr="0080071F">
        <w:rPr>
          <w:i/>
          <w:lang w:val="uk-UA"/>
        </w:rPr>
        <w:t xml:space="preserve"> </w:t>
      </w:r>
      <w:r w:rsidRPr="0080071F">
        <w:rPr>
          <w:iCs/>
          <w:lang w:val="uk-UA"/>
        </w:rPr>
        <w:t>(</w:t>
      </w:r>
      <w:r w:rsidRPr="0080071F">
        <w:rPr>
          <w:i/>
          <w:lang w:val="uk-UA"/>
        </w:rPr>
        <w:t>Pseudomonas aeruginosa, Escherichia coli, Klebsiella pneumoniae, Enterobacter aerogenes, Proteus mirabilis, Morganella morganii</w:t>
      </w:r>
      <w:r w:rsidRPr="0080071F">
        <w:rPr>
          <w:lang w:val="uk-UA"/>
        </w:rPr>
        <w:t xml:space="preserve">, більшістю штамів </w:t>
      </w:r>
      <w:r w:rsidRPr="0080071F">
        <w:rPr>
          <w:i/>
          <w:lang w:val="uk-UA"/>
        </w:rPr>
        <w:t xml:space="preserve">P. vulgaris, Haemophilus influenzae </w:t>
      </w:r>
      <w:r w:rsidRPr="0080071F">
        <w:rPr>
          <w:lang w:val="uk-UA"/>
        </w:rPr>
        <w:t>і</w:t>
      </w:r>
      <w:r w:rsidRPr="0080071F">
        <w:rPr>
          <w:i/>
          <w:lang w:val="uk-UA"/>
        </w:rPr>
        <w:t xml:space="preserve"> H. aegyptius, Moraxella lacunata, Acinetobacter calcoaceticus</w:t>
      </w:r>
      <w:r w:rsidRPr="0080071F">
        <w:rPr>
          <w:lang w:val="uk-UA"/>
        </w:rPr>
        <w:t xml:space="preserve"> і деякими видами </w:t>
      </w:r>
      <w:r w:rsidRPr="0080071F">
        <w:rPr>
          <w:i/>
          <w:lang w:val="uk-UA"/>
        </w:rPr>
        <w:t>Neisseria</w:t>
      </w:r>
      <w:r w:rsidRPr="0080071F">
        <w:rPr>
          <w:iCs/>
          <w:lang w:val="uk-UA"/>
        </w:rPr>
        <w:t>)</w:t>
      </w:r>
      <w:r w:rsidRPr="0080071F">
        <w:rPr>
          <w:i/>
          <w:lang w:val="uk-UA"/>
        </w:rPr>
        <w:t xml:space="preserve"> </w:t>
      </w:r>
      <w:r w:rsidRPr="0080071F">
        <w:rPr>
          <w:iCs/>
          <w:lang w:val="uk-UA"/>
        </w:rPr>
        <w:t>мікроорганізмами.</w:t>
      </w:r>
      <w:r w:rsidRPr="0080071F">
        <w:rPr>
          <w:lang w:val="uk-UA"/>
        </w:rPr>
        <w:t xml:space="preserve"> </w:t>
      </w:r>
    </w:p>
    <w:p w:rsidR="00D63E21" w:rsidRPr="0080071F" w:rsidRDefault="00D63E21" w:rsidP="00D63E21">
      <w:pPr>
        <w:ind w:firstLine="426"/>
        <w:jc w:val="both"/>
        <w:rPr>
          <w:lang w:val="uk-UA"/>
        </w:rPr>
      </w:pPr>
      <w:r w:rsidRPr="0080071F">
        <w:rPr>
          <w:lang w:val="uk-UA"/>
        </w:rPr>
        <w:t>Дослідження чутливості бактерій демонструють, що в деяких випадках мікроорганізми, стійкі до гентаміцину, зберігають чутливість до тобраміцину. Резистентність до тобраміцину має кілька різних механізмів виникнення, включаючи зміни рибосомальних субодиниць у бактеріальній клітині, порушення транспортування тобраміцину до клітини та інактивацію тобраміцину групою аденілюючих, фосфорилюючих та ацетилюючих ферментів. Генетична інформація щодо продукування інактивуючих ферментів може переноситися у хромосомах або плазмідах бактерій. Можливе виникнення перехресної резистентності до інших аміноглікозидів.</w:t>
      </w:r>
    </w:p>
    <w:p w:rsidR="00D63E21" w:rsidRPr="0080071F" w:rsidRDefault="00D63E21" w:rsidP="00D63E21">
      <w:pPr>
        <w:ind w:firstLine="426"/>
        <w:jc w:val="both"/>
        <w:rPr>
          <w:lang w:val="uk-UA"/>
        </w:rPr>
      </w:pPr>
      <w:r w:rsidRPr="0080071F">
        <w:rPr>
          <w:lang w:val="uk-UA"/>
        </w:rPr>
        <w:t>Системна абсорбція тобраміцину після місцевого офтальмологічного застосування є низькою. У лабораторних тварин тобраміцин після застосування у вигляді 0,3% очного розчину погано абсорбується через рогівку та кон’юнктиву. Максимальна концентрація в внутрішньоочній рідині досягається приблизно через 2 години після закапування та становить близько 3 мкг/мл, після чого рівень активної речовини швидко знижується.</w:t>
      </w:r>
    </w:p>
    <w:p w:rsidR="00D63E21" w:rsidRPr="0080071F" w:rsidRDefault="00D63E21" w:rsidP="00D63E21">
      <w:pPr>
        <w:ind w:firstLine="426"/>
        <w:jc w:val="both"/>
      </w:pPr>
      <w:r w:rsidRPr="0080071F">
        <w:t xml:space="preserve">Тобраміцин виводиться переважно з сечею у незміненому вигляді. Він швидко та ефективно екскретується через нирки шляхом клубочкової фільтрації. </w:t>
      </w:r>
    </w:p>
    <w:p w:rsidR="00D01AF7" w:rsidRPr="0080071F" w:rsidRDefault="00D63E21" w:rsidP="00D63E21">
      <w:pPr>
        <w:ind w:firstLine="426"/>
        <w:jc w:val="both"/>
      </w:pPr>
      <w:r w:rsidRPr="0080071F">
        <w:t>Фармакокінетика при підвищенні дози офтальмологічного застосування у котів і собак не досліджувалася, тому неможливо визначити лінійність дози у цих видів.</w:t>
      </w:r>
    </w:p>
    <w:p w:rsidR="00D01AF7" w:rsidRPr="0080071F" w:rsidRDefault="00D01AF7" w:rsidP="00D01AF7">
      <w:pPr>
        <w:ind w:firstLine="426"/>
        <w:rPr>
          <w:b/>
          <w:lang w:val="uk-UA"/>
        </w:rPr>
      </w:pPr>
      <w:r w:rsidRPr="0080071F">
        <w:rPr>
          <w:b/>
          <w:lang w:val="uk-UA"/>
        </w:rPr>
        <w:t>5.Клінічні особливості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5.1 Вид тварин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lang w:val="uk-UA"/>
        </w:rPr>
        <w:t>Собаки, коти.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5.2 Показання до застосування</w:t>
      </w:r>
    </w:p>
    <w:p w:rsidR="00D01AF7" w:rsidRPr="0080071F" w:rsidRDefault="00D63E21" w:rsidP="00D01AF7">
      <w:pPr>
        <w:ind w:firstLine="426"/>
        <w:jc w:val="both"/>
        <w:rPr>
          <w:rFonts w:eastAsia="Calibri"/>
          <w:lang w:val="uk-UA"/>
        </w:rPr>
      </w:pPr>
      <w:r w:rsidRPr="0080071F">
        <w:rPr>
          <w:rFonts w:eastAsia="Calibri"/>
          <w:lang w:val="uk-UA"/>
        </w:rPr>
        <w:t>Лікування собак і котів за захворювань очей, придатків ока (бактеріальних та алергічних кон’юнктивітах, дакріоциститах, синдромах вишневого та червоного ока)</w:t>
      </w:r>
      <w:r w:rsidRPr="0080071F">
        <w:rPr>
          <w:lang w:val="uk-UA"/>
        </w:rPr>
        <w:t xml:space="preserve">, що спричинені </w:t>
      </w:r>
      <w:r w:rsidRPr="0080071F">
        <w:rPr>
          <w:shd w:val="clear" w:color="auto" w:fill="FFFFFF"/>
          <w:lang w:val="uk-UA"/>
        </w:rPr>
        <w:t>мікроорганізмами,</w:t>
      </w:r>
      <w:r w:rsidRPr="0080071F">
        <w:rPr>
          <w:lang w:val="uk-UA"/>
        </w:rPr>
        <w:t xml:space="preserve"> чутливими до тобраміцину</w:t>
      </w:r>
      <w:r w:rsidRPr="0080071F">
        <w:rPr>
          <w:shd w:val="clear" w:color="auto" w:fill="FFFFFF"/>
          <w:lang w:val="uk-UA"/>
        </w:rPr>
        <w:t>.</w:t>
      </w:r>
      <w:r w:rsidR="00D01AF7" w:rsidRPr="0080071F">
        <w:rPr>
          <w:shd w:val="clear" w:color="auto" w:fill="FFFFFF"/>
          <w:lang w:val="uk-UA"/>
        </w:rPr>
        <w:t>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5.3 Протипоказання</w:t>
      </w:r>
    </w:p>
    <w:p w:rsidR="00D63E21" w:rsidRPr="0080071F" w:rsidRDefault="00D63E21" w:rsidP="00D63E21">
      <w:pPr>
        <w:ind w:firstLine="426"/>
        <w:jc w:val="both"/>
        <w:rPr>
          <w:lang w:val="uk-UA"/>
        </w:rPr>
      </w:pPr>
      <w:r w:rsidRPr="0080071F">
        <w:rPr>
          <w:lang w:val="uk-UA"/>
        </w:rPr>
        <w:t>Підвищена індивідуальна чутливість тварин до аміноглікозидів або до будь-якої з допоміжних речовин.</w:t>
      </w:r>
    </w:p>
    <w:p w:rsidR="00D63E21" w:rsidRPr="0080071F" w:rsidRDefault="00D63E21" w:rsidP="00D63E21">
      <w:pPr>
        <w:ind w:firstLine="426"/>
        <w:jc w:val="both"/>
      </w:pPr>
      <w:r w:rsidRPr="0080071F">
        <w:rPr>
          <w:lang w:val="uk-UA"/>
        </w:rPr>
        <w:t>Н</w:t>
      </w:r>
      <w:r w:rsidRPr="0080071F">
        <w:t>е слід застосовувати кошенятам і цуценятам молодше 7-денного віку.</w:t>
      </w:r>
    </w:p>
    <w:p w:rsidR="00D63E21" w:rsidRPr="0080071F" w:rsidRDefault="00D63E21" w:rsidP="00D63E21">
      <w:pPr>
        <w:ind w:firstLine="426"/>
        <w:jc w:val="both"/>
      </w:pPr>
      <w:r w:rsidRPr="0080071F">
        <w:lastRenderedPageBreak/>
        <w:t>Не закапувати у вухо. Ототоксичність може призвести до незворотного та постійного пошкодження вуха.</w:t>
      </w:r>
    </w:p>
    <w:p w:rsidR="00D63E21" w:rsidRPr="0080071F" w:rsidRDefault="00D63E21" w:rsidP="00D63E21">
      <w:pPr>
        <w:ind w:firstLine="426"/>
        <w:jc w:val="both"/>
      </w:pPr>
      <w:r w:rsidRPr="0080071F">
        <w:t xml:space="preserve">Не застосовувати </w:t>
      </w:r>
      <w:r w:rsidRPr="0080071F">
        <w:rPr>
          <w:lang w:val="uk-UA"/>
        </w:rPr>
        <w:t>за</w:t>
      </w:r>
      <w:r w:rsidRPr="0080071F">
        <w:t xml:space="preserve"> вірусних та </w:t>
      </w:r>
      <w:r w:rsidRPr="0080071F">
        <w:rPr>
          <w:lang w:val="uk-UA"/>
        </w:rPr>
        <w:t>мікозних</w:t>
      </w:r>
      <w:r w:rsidRPr="0080071F">
        <w:t xml:space="preserve"> ураженнях очей.</w:t>
      </w:r>
    </w:p>
    <w:p w:rsidR="00D01AF7" w:rsidRPr="0080071F" w:rsidRDefault="00D63E21" w:rsidP="00D63E21">
      <w:pPr>
        <w:ind w:firstLine="426"/>
        <w:jc w:val="both"/>
      </w:pPr>
      <w:r w:rsidRPr="0080071F">
        <w:t>Не застосовувати одночасно з нестероїдними протизапальними препаратами, сильно діючими діуретиками (фуросемідом), колістином, циклоспорином, ванкоміцином, оскільки підвищується ризик розвитку нефротоксичності, ототоксичності.</w:t>
      </w:r>
    </w:p>
    <w:p w:rsidR="00D63E21" w:rsidRPr="0080071F" w:rsidRDefault="00D63E21" w:rsidP="00D63E21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5.4 Побічна дія</w:t>
      </w:r>
    </w:p>
    <w:p w:rsidR="00D63E21" w:rsidRPr="0080071F" w:rsidRDefault="00D63E21" w:rsidP="00D63E21">
      <w:pPr>
        <w:ind w:firstLine="426"/>
        <w:jc w:val="both"/>
        <w:rPr>
          <w:rFonts w:eastAsia="Aptos"/>
          <w:lang w:val="uk-UA" w:eastAsia="en-US"/>
        </w:rPr>
      </w:pPr>
      <w:r w:rsidRPr="0080071F">
        <w:rPr>
          <w:shd w:val="clear" w:color="auto" w:fill="FFFFFF"/>
          <w:lang w:val="uk-UA"/>
        </w:rPr>
        <w:t>Можливі побічні ефекти включають свербіж і набряк повік, світлобоязнь, а також почервоніння кон'юнктиви.</w:t>
      </w:r>
      <w:r w:rsidRPr="0080071F">
        <w:rPr>
          <w:rFonts w:eastAsia="Aptos"/>
          <w:lang w:val="uk-UA" w:eastAsia="en-US"/>
        </w:rPr>
        <w:t xml:space="preserve"> У деяких тварин можлива короткочасна реакція на введення препарату (печіння), що самостійно проходить протягом хвилини без лікарського втручання.</w:t>
      </w:r>
    </w:p>
    <w:p w:rsidR="00D63E21" w:rsidRPr="0080071F" w:rsidRDefault="00D63E21" w:rsidP="00D63E21">
      <w:pPr>
        <w:ind w:firstLine="426"/>
        <w:jc w:val="both"/>
        <w:rPr>
          <w:b/>
          <w:lang w:val="uk-UA"/>
        </w:rPr>
      </w:pPr>
      <w:r w:rsidRPr="0080071F">
        <w:rPr>
          <w:lang w:val="uk-UA"/>
        </w:rPr>
        <w:t xml:space="preserve">Якщо подразнення не зникає або посилюється, припиніть використання препарату та зверніться до </w:t>
      </w:r>
      <w:r w:rsidRPr="0080071F">
        <w:t>лікар</w:t>
      </w:r>
      <w:r w:rsidRPr="0080071F">
        <w:rPr>
          <w:lang w:val="uk-UA"/>
        </w:rPr>
        <w:t xml:space="preserve">я </w:t>
      </w:r>
      <w:r w:rsidRPr="0080071F">
        <w:t>ветеринарної медицини</w:t>
      </w:r>
      <w:r w:rsidRPr="0080071F">
        <w:rPr>
          <w:lang w:val="uk-UA"/>
        </w:rPr>
        <w:t>.</w:t>
      </w:r>
    </w:p>
    <w:p w:rsidR="00D63E21" w:rsidRPr="0080071F" w:rsidRDefault="00D63E21" w:rsidP="00D63E21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5.5 Особливі застереження при використанні</w:t>
      </w:r>
    </w:p>
    <w:p w:rsidR="00D63E21" w:rsidRPr="0080071F" w:rsidRDefault="00D63E21" w:rsidP="00D63E21">
      <w:pPr>
        <w:ind w:firstLine="426"/>
        <w:jc w:val="both"/>
      </w:pPr>
      <w:r w:rsidRPr="0080071F">
        <w:t xml:space="preserve">З обережністю застосовувати при </w:t>
      </w:r>
      <w:r w:rsidRPr="0080071F">
        <w:rPr>
          <w:lang w:val="uk-UA"/>
        </w:rPr>
        <w:t xml:space="preserve">пошкодженні </w:t>
      </w:r>
      <w:r w:rsidRPr="0080071F">
        <w:t xml:space="preserve">рогівки. </w:t>
      </w:r>
    </w:p>
    <w:p w:rsidR="00D63E21" w:rsidRPr="0080071F" w:rsidRDefault="00D63E21" w:rsidP="00D63E21">
      <w:pPr>
        <w:ind w:firstLine="426"/>
        <w:jc w:val="both"/>
      </w:pPr>
      <w:r w:rsidRPr="0080071F">
        <w:t>Перед застосуванням рекомендовано зробити тест на чутливість збудника до тобраміцину.</w:t>
      </w:r>
    </w:p>
    <w:p w:rsidR="00D63E21" w:rsidRPr="0080071F" w:rsidRDefault="00D63E21" w:rsidP="00D63E21">
      <w:pPr>
        <w:ind w:firstLine="426"/>
        <w:jc w:val="both"/>
      </w:pPr>
      <w:r w:rsidRPr="0080071F">
        <w:t>Застосування тваринам з порушенням нервово-м’язової передачі (міастенія), а також при порушеннях функції нирок, вестибулярного та слухового апарату має базуватись на оцінці користі/ризиків відповідальним лікарем ветеринарної медицини в кожному конкретному випадку.</w:t>
      </w:r>
    </w:p>
    <w:p w:rsidR="00D63E21" w:rsidRPr="0080071F" w:rsidRDefault="00D63E21" w:rsidP="00D63E21">
      <w:pPr>
        <w:ind w:firstLine="426"/>
        <w:jc w:val="both"/>
      </w:pPr>
      <w:r w:rsidRPr="0080071F">
        <w:t>Перед застосуванням флакон з препаратом струсити.</w:t>
      </w:r>
    </w:p>
    <w:p w:rsidR="00D63E21" w:rsidRPr="0080071F" w:rsidRDefault="00D63E21" w:rsidP="00D63E21">
      <w:pPr>
        <w:ind w:firstLine="426"/>
        <w:jc w:val="both"/>
      </w:pPr>
      <w:r w:rsidRPr="0080071F">
        <w:t>Препарат при застосуванні має бути кімнатної температури.</w:t>
      </w:r>
    </w:p>
    <w:p w:rsidR="00D63E21" w:rsidRPr="0080071F" w:rsidRDefault="00D63E21" w:rsidP="00D63E21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5.6 Використання під час вагітності, лактації</w:t>
      </w:r>
    </w:p>
    <w:p w:rsidR="00D63E21" w:rsidRPr="0080071F" w:rsidRDefault="00D63E21" w:rsidP="00D63E21">
      <w:pPr>
        <w:ind w:firstLine="426"/>
        <w:jc w:val="both"/>
      </w:pPr>
      <w:r w:rsidRPr="0080071F">
        <w:t>З обережністю застосовувати вагітним тваринам.</w:t>
      </w:r>
    </w:p>
    <w:p w:rsidR="00D63E21" w:rsidRPr="0080071F" w:rsidRDefault="00D63E21" w:rsidP="00D63E21">
      <w:pPr>
        <w:ind w:firstLine="426"/>
        <w:jc w:val="both"/>
      </w:pPr>
      <w:r w:rsidRPr="0080071F">
        <w:t>Використання препарату у період вагітності чи лактації повинно базуватись на оцінці користі/ризиків відповідальним лікарем ветеринарної медицини в кожному конкретному випадку.</w:t>
      </w:r>
    </w:p>
    <w:p w:rsidR="00D63E21" w:rsidRPr="0080071F" w:rsidRDefault="00D63E21" w:rsidP="00D63E21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5.7 Взаємодія з іншими засобами та інші форми взаємодії</w:t>
      </w:r>
    </w:p>
    <w:p w:rsidR="00D63E21" w:rsidRPr="0080071F" w:rsidRDefault="00D63E21" w:rsidP="00D63E21">
      <w:pPr>
        <w:ind w:firstLine="426"/>
        <w:jc w:val="both"/>
        <w:rPr>
          <w:lang w:val="uk-UA"/>
        </w:rPr>
      </w:pPr>
      <w:r w:rsidRPr="0080071F">
        <w:t>Не застосовувати одночасно з нестероїдними протизапальними препаратами, сильно діючими діуретиками (фуросемідом), колістином, циклоспорином, ванкоміцином, оскільки підвищується ризик розвитку нефротоксичності, ототоксичності.</w:t>
      </w:r>
    </w:p>
    <w:p w:rsidR="00D63E21" w:rsidRPr="0080071F" w:rsidRDefault="00D63E21" w:rsidP="00D63E21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5.8 Доза та способи введення тваринам різного віку</w:t>
      </w:r>
    </w:p>
    <w:p w:rsidR="00D63E21" w:rsidRPr="0080071F" w:rsidRDefault="00D63E21" w:rsidP="00D63E21">
      <w:pPr>
        <w:ind w:firstLine="426"/>
        <w:jc w:val="both"/>
        <w:rPr>
          <w:shd w:val="clear" w:color="auto" w:fill="FFFFFF"/>
        </w:rPr>
      </w:pPr>
      <w:r w:rsidRPr="0080071F">
        <w:rPr>
          <w:shd w:val="clear" w:color="auto" w:fill="FFFFFF"/>
        </w:rPr>
        <w:t xml:space="preserve">Для </w:t>
      </w:r>
      <w:r w:rsidRPr="0080071F">
        <w:rPr>
          <w:shd w:val="clear" w:color="auto" w:fill="FFFFFF"/>
          <w:lang w:val="uk-UA"/>
        </w:rPr>
        <w:t>котів</w:t>
      </w:r>
      <w:r w:rsidRPr="0080071F">
        <w:rPr>
          <w:shd w:val="clear" w:color="auto" w:fill="FFFFFF"/>
        </w:rPr>
        <w:t xml:space="preserve"> будь-якої маси тіла дозування становить 1-2 краплі </w:t>
      </w:r>
      <w:r w:rsidRPr="0080071F">
        <w:rPr>
          <w:shd w:val="clear" w:color="auto" w:fill="FFFFFF"/>
          <w:lang w:val="uk-UA"/>
        </w:rPr>
        <w:t xml:space="preserve">препарату </w:t>
      </w:r>
      <w:r w:rsidRPr="0080071F">
        <w:rPr>
          <w:shd w:val="clear" w:color="auto" w:fill="FFFFFF"/>
        </w:rPr>
        <w:t xml:space="preserve">у кон’юнктивальний мішок (-ки) ураженого ока (очей) кожні 12 годин або кожні 4 години при гострій інфекції. </w:t>
      </w:r>
    </w:p>
    <w:p w:rsidR="00D63E21" w:rsidRPr="0080071F" w:rsidRDefault="00D63E21" w:rsidP="00D63E21">
      <w:pPr>
        <w:ind w:firstLine="426"/>
        <w:jc w:val="both"/>
        <w:rPr>
          <w:shd w:val="clear" w:color="auto" w:fill="FFFFFF"/>
        </w:rPr>
      </w:pPr>
      <w:r w:rsidRPr="0080071F">
        <w:rPr>
          <w:shd w:val="clear" w:color="auto" w:fill="FFFFFF"/>
        </w:rPr>
        <w:t xml:space="preserve">Для собак будь-якої маси тіла дозування становить 1-2 краплі </w:t>
      </w:r>
      <w:r w:rsidRPr="0080071F">
        <w:rPr>
          <w:shd w:val="clear" w:color="auto" w:fill="FFFFFF"/>
          <w:lang w:val="uk-UA"/>
        </w:rPr>
        <w:t xml:space="preserve">препарату </w:t>
      </w:r>
      <w:r w:rsidRPr="0080071F">
        <w:rPr>
          <w:shd w:val="clear" w:color="auto" w:fill="FFFFFF"/>
        </w:rPr>
        <w:t>у кон’юнктивальний мішок (-ки) ураженого ока (очей) кожні 12 годин або кожні 4 години при гострій інфекції.</w:t>
      </w:r>
    </w:p>
    <w:p w:rsidR="00D63E21" w:rsidRPr="0080071F" w:rsidRDefault="00D63E21" w:rsidP="00D63E21">
      <w:pPr>
        <w:ind w:firstLine="426"/>
        <w:jc w:val="both"/>
      </w:pPr>
      <w:r w:rsidRPr="0080071F">
        <w:rPr>
          <w:shd w:val="clear" w:color="auto" w:fill="FFFFFF"/>
        </w:rPr>
        <w:t xml:space="preserve">Курс лікування 5-10 </w:t>
      </w:r>
      <w:r w:rsidRPr="0080071F">
        <w:rPr>
          <w:shd w:val="clear" w:color="auto" w:fill="FFFFFF"/>
          <w:lang w:val="uk-UA"/>
        </w:rPr>
        <w:t>діб</w:t>
      </w:r>
      <w:r w:rsidRPr="0080071F">
        <w:rPr>
          <w:shd w:val="clear" w:color="auto" w:fill="FFFFFF"/>
        </w:rPr>
        <w:t>.</w:t>
      </w:r>
      <w:r w:rsidRPr="0080071F">
        <w:rPr>
          <w:shd w:val="clear" w:color="auto" w:fill="FFFFFF"/>
          <w:lang w:val="uk-UA"/>
        </w:rPr>
        <w:t xml:space="preserve"> </w:t>
      </w:r>
      <w:r w:rsidRPr="0080071F">
        <w:rPr>
          <w:shd w:val="clear" w:color="auto" w:fill="FFFFFF"/>
        </w:rPr>
        <w:t xml:space="preserve">Не </w:t>
      </w:r>
      <w:r w:rsidRPr="0080071F">
        <w:t>торкайтеся крапельницею будь-якої поверхні</w:t>
      </w:r>
      <w:r w:rsidRPr="0080071F">
        <w:rPr>
          <w:shd w:val="clear" w:color="auto" w:fill="FFFFFF"/>
        </w:rPr>
        <w:t xml:space="preserve">, включаючи поверхню ока вашого </w:t>
      </w:r>
      <w:r w:rsidRPr="0080071F">
        <w:t>вихованця.</w:t>
      </w:r>
      <w:r w:rsidRPr="0080071F">
        <w:rPr>
          <w:shd w:val="clear" w:color="auto" w:fill="FFFFFF"/>
        </w:rPr>
        <w:t xml:space="preserve"> </w:t>
      </w:r>
    </w:p>
    <w:p w:rsidR="00D63E21" w:rsidRPr="0080071F" w:rsidRDefault="00D63E21" w:rsidP="00D63E21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5.9 Передозування</w:t>
      </w:r>
    </w:p>
    <w:p w:rsidR="00D63E21" w:rsidRPr="0080071F" w:rsidRDefault="00D63E21" w:rsidP="00D63E21">
      <w:pPr>
        <w:shd w:val="clear" w:color="auto" w:fill="FFFFFF"/>
        <w:ind w:firstLine="426"/>
        <w:jc w:val="both"/>
        <w:rPr>
          <w:rFonts w:eastAsia="Arial Unicode MS"/>
        </w:rPr>
      </w:pPr>
      <w:r w:rsidRPr="0080071F">
        <w:rPr>
          <w:rFonts w:eastAsia="Arial Unicode MS"/>
        </w:rPr>
        <w:t>Будь-якого токсичного впливу у випадку передозування при місцевому застосуванні препарату, а також при випадковому ковтанні вмісту 1 флакона, зважаючи на характеристики цього препарату, не очікується.</w:t>
      </w:r>
    </w:p>
    <w:p w:rsidR="00D63E21" w:rsidRPr="0080071F" w:rsidRDefault="00D63E21" w:rsidP="00D63E21">
      <w:pPr>
        <w:shd w:val="clear" w:color="auto" w:fill="FFFFFF"/>
        <w:ind w:firstLine="426"/>
        <w:jc w:val="both"/>
        <w:rPr>
          <w:rFonts w:eastAsia="Arial Unicode MS"/>
          <w:lang w:val="uk-UA"/>
        </w:rPr>
      </w:pPr>
      <w:r w:rsidRPr="0080071F">
        <w:rPr>
          <w:rFonts w:eastAsia="Arial Unicode MS"/>
        </w:rPr>
        <w:t>Можливі клінічні ознаки та симптоми передозування препаратом ТОБРА</w:t>
      </w:r>
      <w:r w:rsidRPr="0080071F">
        <w:rPr>
          <w:rFonts w:eastAsia="Arial Unicode MS"/>
          <w:lang w:val="uk-UA"/>
        </w:rPr>
        <w:t>НОРМ</w:t>
      </w:r>
      <w:r w:rsidRPr="0080071F">
        <w:rPr>
          <w:rFonts w:eastAsia="Arial Unicode MS"/>
        </w:rPr>
        <w:t xml:space="preserve"> (крапчастий кератит, еритема, підвищена сльозотеча, набряк та свербіж повік) можуть бути подібними до побічних реакцій, що спостерігалися у деяких пацієнтів.</w:t>
      </w:r>
    </w:p>
    <w:p w:rsidR="00D63E21" w:rsidRPr="0080071F" w:rsidRDefault="00D63E21" w:rsidP="00D63E21">
      <w:pPr>
        <w:shd w:val="clear" w:color="auto" w:fill="FFFFFF"/>
        <w:ind w:firstLine="426"/>
        <w:jc w:val="both"/>
        <w:rPr>
          <w:rFonts w:eastAsia="Arial Unicode MS"/>
          <w:lang w:val="uk-UA"/>
        </w:rPr>
      </w:pPr>
      <w:r w:rsidRPr="0080071F">
        <w:rPr>
          <w:rFonts w:eastAsia="Arial Unicode MS"/>
          <w:shd w:val="clear" w:color="auto" w:fill="FFFFFF"/>
        </w:rPr>
        <w:t>У разі передозування препаратом ТОБРА</w:t>
      </w:r>
      <w:r w:rsidRPr="0080071F">
        <w:rPr>
          <w:rFonts w:eastAsia="Arial Unicode MS"/>
          <w:shd w:val="clear" w:color="auto" w:fill="FFFFFF"/>
          <w:lang w:val="uk-UA"/>
        </w:rPr>
        <w:t xml:space="preserve">НОРМ </w:t>
      </w:r>
      <w:r w:rsidRPr="0080071F">
        <w:rPr>
          <w:rFonts w:eastAsia="Arial Unicode MS"/>
          <w:shd w:val="clear" w:color="auto" w:fill="FFFFFF"/>
        </w:rPr>
        <w:t>при місцевому застосуванні вимити надлишок препарату з ока (очей) теплою водою.</w:t>
      </w:r>
    </w:p>
    <w:p w:rsidR="00D63E21" w:rsidRPr="0080071F" w:rsidRDefault="00D63E21" w:rsidP="00D63E21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5.10 Спеціальні застереження</w:t>
      </w:r>
    </w:p>
    <w:p w:rsidR="00D63E21" w:rsidRPr="0080071F" w:rsidRDefault="00D63E21" w:rsidP="00D63E21">
      <w:pPr>
        <w:ind w:firstLine="426"/>
        <w:jc w:val="both"/>
      </w:pPr>
      <w:r w:rsidRPr="0080071F">
        <w:t>Перед застосуванням флакон з препаратом струсити.</w:t>
      </w:r>
    </w:p>
    <w:p w:rsidR="00D01AF7" w:rsidRPr="0080071F" w:rsidRDefault="00D63E21" w:rsidP="00D63E21">
      <w:pPr>
        <w:ind w:firstLine="426"/>
        <w:jc w:val="both"/>
      </w:pPr>
      <w:r w:rsidRPr="0080071F">
        <w:t>Препарат при застосуванні має бути кімнатної температури.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5.11 Період виведення (каренції)</w:t>
      </w:r>
    </w:p>
    <w:p w:rsidR="00D01AF7" w:rsidRPr="0080071F" w:rsidRDefault="00D01AF7" w:rsidP="00D01AF7">
      <w:pPr>
        <w:ind w:firstLine="426"/>
        <w:jc w:val="both"/>
        <w:rPr>
          <w:lang w:val="uk-UA"/>
        </w:rPr>
      </w:pPr>
      <w:r w:rsidRPr="0080071F">
        <w:rPr>
          <w:lang w:val="uk-UA"/>
        </w:rPr>
        <w:t>Не застосовується для продуктивних тварин.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5.12 Спеціальні застереження для осіб і обслуговуючого персоналу</w:t>
      </w:r>
    </w:p>
    <w:p w:rsidR="00D01AF7" w:rsidRPr="0080071F" w:rsidRDefault="00D01AF7" w:rsidP="00D01AF7">
      <w:pPr>
        <w:ind w:firstLine="426"/>
        <w:jc w:val="both"/>
        <w:rPr>
          <w:lang w:val="uk-UA"/>
        </w:rPr>
      </w:pPr>
      <w:r w:rsidRPr="0080071F">
        <w:rPr>
          <w:lang w:val="uk-UA"/>
        </w:rPr>
        <w:lastRenderedPageBreak/>
        <w:t>Персонал, який працює з препаратом, повинен дотримуватись основних правил гігієни та безпеки, прийнятих для роботи з ветеринарними препаратами.</w:t>
      </w:r>
    </w:p>
    <w:p w:rsidR="00D01AF7" w:rsidRPr="0080071F" w:rsidRDefault="00D01AF7" w:rsidP="00D01AF7">
      <w:pPr>
        <w:ind w:firstLine="426"/>
        <w:jc w:val="both"/>
        <w:rPr>
          <w:lang w:val="uk-UA"/>
        </w:rPr>
      </w:pPr>
      <w:r w:rsidRPr="0080071F">
        <w:rPr>
          <w:lang w:val="uk-UA"/>
        </w:rPr>
        <w:t>Після закінчення обробки ретельно вимити руки теплою водою з милом.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6. Фармацевтичні особливості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6.1 Форми несумісності (основні)</w:t>
      </w:r>
    </w:p>
    <w:p w:rsidR="00D01AF7" w:rsidRPr="0080071F" w:rsidRDefault="00D01AF7" w:rsidP="00D01AF7">
      <w:pPr>
        <w:ind w:firstLine="426"/>
        <w:jc w:val="both"/>
      </w:pPr>
      <w:r w:rsidRPr="0080071F">
        <w:t>Не застосовувати одночасно з нестероїдними протизапальними препаратами, сильно діючими діуретиками (фуросемідом), колістином, циклоспорином, ванкоміцином, оскільки підвищується ризик розвитку нефротоксичності, ототоксичності.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6.2 Терміни придатності</w:t>
      </w:r>
    </w:p>
    <w:p w:rsidR="00D01AF7" w:rsidRPr="0080071F" w:rsidRDefault="00D01AF7" w:rsidP="00D01AF7">
      <w:pPr>
        <w:ind w:firstLine="426"/>
        <w:jc w:val="both"/>
        <w:rPr>
          <w:rFonts w:eastAsia="Courier New"/>
          <w:lang w:val="uk-UA"/>
        </w:rPr>
      </w:pPr>
      <w:r w:rsidRPr="0080071F">
        <w:rPr>
          <w:rFonts w:eastAsia="Courier New"/>
          <w:lang w:val="uk-UA"/>
        </w:rPr>
        <w:t>2 роки.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6.3 Особливі заходи зберігання</w:t>
      </w:r>
    </w:p>
    <w:p w:rsidR="00D01AF7" w:rsidRPr="0080071F" w:rsidRDefault="00D01AF7" w:rsidP="00D01AF7">
      <w:pPr>
        <w:ind w:firstLine="426"/>
        <w:jc w:val="both"/>
      </w:pPr>
      <w:r w:rsidRPr="0080071F">
        <w:t>Темне, недоступне для дітей місце за температури від 5 до 25</w:t>
      </w:r>
      <w:r w:rsidR="00E07E6A" w:rsidRPr="0080071F">
        <w:rPr>
          <w:lang w:val="uk-UA"/>
        </w:rPr>
        <w:t xml:space="preserve"> </w:t>
      </w:r>
      <w:r w:rsidRPr="0080071F">
        <w:t xml:space="preserve">°С. </w:t>
      </w:r>
    </w:p>
    <w:p w:rsidR="00D01AF7" w:rsidRPr="0080071F" w:rsidRDefault="00D01AF7" w:rsidP="00D01AF7">
      <w:pPr>
        <w:ind w:firstLine="426"/>
        <w:jc w:val="both"/>
      </w:pPr>
      <w:r w:rsidRPr="0080071F">
        <w:t>Після відкриття флакону – 28 діб за умови зберігання його у темному місці за температури від 5 до 25</w:t>
      </w:r>
      <w:r w:rsidR="00E07E6A" w:rsidRPr="0080071F">
        <w:rPr>
          <w:lang w:val="uk-UA"/>
        </w:rPr>
        <w:t xml:space="preserve"> </w:t>
      </w:r>
      <w:r w:rsidRPr="0080071F">
        <w:t>°С.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6.4 Природа і склад контейнера первинного упакування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lang w:val="uk-UA"/>
        </w:rPr>
        <w:t>Полімерні флакони-крапельниці об’ємом по 5, 10 мл.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6.5 Особливі заходи безпеки при поводженні з невикористаним препаратом або з його залишками</w:t>
      </w:r>
    </w:p>
    <w:p w:rsidR="00D01AF7" w:rsidRPr="0080071F" w:rsidRDefault="00D01AF7" w:rsidP="00D01AF7">
      <w:pPr>
        <w:ind w:firstLine="426"/>
        <w:jc w:val="both"/>
        <w:rPr>
          <w:lang w:val="uk-UA"/>
        </w:rPr>
      </w:pPr>
      <w:r w:rsidRPr="0080071F">
        <w:rPr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7. Назва та місце знаходження власника реєстраційного посвідчення</w:t>
      </w:r>
    </w:p>
    <w:p w:rsidR="00D01AF7" w:rsidRPr="0080071F" w:rsidRDefault="00D01AF7" w:rsidP="00D01AF7">
      <w:pPr>
        <w:ind w:firstLine="426"/>
        <w:jc w:val="both"/>
      </w:pPr>
      <w:r w:rsidRPr="0080071F">
        <w:t>ТОВ «БІОТЕСТЛАБ»</w:t>
      </w:r>
    </w:p>
    <w:p w:rsidR="00D01AF7" w:rsidRPr="0080071F" w:rsidRDefault="00D01AF7" w:rsidP="00D01AF7">
      <w:pPr>
        <w:ind w:firstLine="426"/>
        <w:jc w:val="both"/>
        <w:rPr>
          <w:lang w:val="uk-UA"/>
        </w:rPr>
      </w:pPr>
      <w:r w:rsidRPr="0080071F">
        <w:t>Україна, 08601, Київська обл., м. Васильків, вул. Володимирська, 57</w:t>
      </w:r>
      <w:r w:rsidRPr="0080071F">
        <w:rPr>
          <w:lang w:val="uk-UA"/>
        </w:rPr>
        <w:t>А</w:t>
      </w:r>
      <w:r w:rsidRPr="0080071F">
        <w:t>.</w:t>
      </w:r>
    </w:p>
    <w:p w:rsidR="00D01AF7" w:rsidRPr="0080071F" w:rsidRDefault="00D01AF7" w:rsidP="00D01AF7">
      <w:pPr>
        <w:ind w:firstLine="426"/>
        <w:jc w:val="both"/>
        <w:rPr>
          <w:lang w:val="uk-UA"/>
        </w:rPr>
      </w:pPr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8. Назва та місцезнаходження виробника (виробників)</w:t>
      </w:r>
    </w:p>
    <w:p w:rsidR="00D01AF7" w:rsidRPr="0080071F" w:rsidRDefault="00D01AF7" w:rsidP="00D01AF7">
      <w:pPr>
        <w:ind w:firstLine="426"/>
        <w:jc w:val="both"/>
      </w:pPr>
      <w:r w:rsidRPr="0080071F">
        <w:t>ТОВ «БІОТЕСТЛАБ»</w:t>
      </w:r>
    </w:p>
    <w:p w:rsidR="00D01AF7" w:rsidRPr="0080071F" w:rsidRDefault="00D01AF7" w:rsidP="00D01AF7">
      <w:pPr>
        <w:ind w:firstLine="426"/>
        <w:jc w:val="both"/>
      </w:pPr>
      <w:r w:rsidRPr="0080071F">
        <w:t xml:space="preserve">Україна, 08601, Київська обл., Обухівський район, м. Васильків, вул. Лістрового Олександра, буд. 1/3. </w:t>
      </w:r>
    </w:p>
    <w:p w:rsidR="00D01AF7" w:rsidRPr="0080071F" w:rsidRDefault="0080071F" w:rsidP="00D01AF7">
      <w:pPr>
        <w:ind w:firstLine="426"/>
        <w:jc w:val="both"/>
      </w:pPr>
      <w:hyperlink r:id="rId7" w:history="1">
        <w:r w:rsidR="00D01AF7" w:rsidRPr="0080071F">
          <w:rPr>
            <w:rFonts w:eastAsia="Arial Unicode MS"/>
            <w:u w:val="single"/>
          </w:rPr>
          <w:t>www.biotestlab.ua</w:t>
        </w:r>
      </w:hyperlink>
    </w:p>
    <w:p w:rsidR="00D01AF7" w:rsidRPr="0080071F" w:rsidRDefault="00D01AF7" w:rsidP="00D01AF7">
      <w:pPr>
        <w:ind w:firstLine="426"/>
        <w:jc w:val="both"/>
        <w:rPr>
          <w:b/>
          <w:lang w:val="uk-UA"/>
        </w:rPr>
      </w:pPr>
      <w:r w:rsidRPr="0080071F">
        <w:rPr>
          <w:b/>
          <w:lang w:val="uk-UA"/>
        </w:rPr>
        <w:t>9. Додаткова інформація</w:t>
      </w:r>
    </w:p>
    <w:p w:rsidR="00D01AF7" w:rsidRPr="0080071F" w:rsidRDefault="00D01AF7" w:rsidP="00D01AF7">
      <w:pPr>
        <w:ind w:firstLine="426"/>
        <w:jc w:val="both"/>
        <w:rPr>
          <w:lang w:val="uk-UA"/>
        </w:rPr>
      </w:pPr>
      <w:r w:rsidRPr="0080071F">
        <w:rPr>
          <w:lang w:val="uk-UA"/>
        </w:rPr>
        <w:t>Відсутня.</w:t>
      </w:r>
    </w:p>
    <w:p w:rsidR="00CA606C" w:rsidRPr="0080071F" w:rsidRDefault="00CA606C" w:rsidP="00D01AF7">
      <w:pPr>
        <w:ind w:firstLine="426"/>
      </w:pPr>
    </w:p>
    <w:sectPr w:rsidR="00CA606C" w:rsidRPr="0080071F" w:rsidSect="00CD33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320" w:rsidRDefault="00CD3320" w:rsidP="00CD3320">
      <w:r>
        <w:separator/>
      </w:r>
    </w:p>
  </w:endnote>
  <w:endnote w:type="continuationSeparator" w:id="0">
    <w:p w:rsidR="00CD3320" w:rsidRDefault="00CD3320" w:rsidP="00CD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062418"/>
      <w:docPartObj>
        <w:docPartGallery w:val="Page Numbers (Bottom of Page)"/>
        <w:docPartUnique/>
      </w:docPartObj>
    </w:sdtPr>
    <w:sdtEndPr/>
    <w:sdtContent>
      <w:p w:rsidR="00A53A67" w:rsidRDefault="00A54D25">
        <w:pPr>
          <w:pStyle w:val="a8"/>
          <w:jc w:val="center"/>
        </w:pPr>
        <w:r>
          <w:fldChar w:fldCharType="begin"/>
        </w:r>
        <w:r w:rsidR="00A53A67">
          <w:instrText>PAGE   \* MERGEFORMAT</w:instrText>
        </w:r>
        <w:r>
          <w:fldChar w:fldCharType="separate"/>
        </w:r>
        <w:r w:rsidR="0080071F">
          <w:rPr>
            <w:noProof/>
          </w:rPr>
          <w:t>3</w:t>
        </w:r>
        <w:r>
          <w:fldChar w:fldCharType="end"/>
        </w:r>
      </w:p>
    </w:sdtContent>
  </w:sdt>
  <w:p w:rsidR="00A53A67" w:rsidRDefault="00A53A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846259"/>
      <w:docPartObj>
        <w:docPartGallery w:val="Page Numbers (Bottom of Page)"/>
        <w:docPartUnique/>
      </w:docPartObj>
    </w:sdtPr>
    <w:sdtEndPr/>
    <w:sdtContent>
      <w:p w:rsidR="00A53A67" w:rsidRDefault="00A54D25">
        <w:pPr>
          <w:pStyle w:val="a8"/>
          <w:jc w:val="center"/>
        </w:pPr>
        <w:r>
          <w:fldChar w:fldCharType="begin"/>
        </w:r>
        <w:r w:rsidR="00A53A67">
          <w:instrText>PAGE   \* MERGEFORMAT</w:instrText>
        </w:r>
        <w:r>
          <w:fldChar w:fldCharType="separate"/>
        </w:r>
        <w:r w:rsidR="0080071F">
          <w:rPr>
            <w:noProof/>
          </w:rPr>
          <w:t>1</w:t>
        </w:r>
        <w:r>
          <w:fldChar w:fldCharType="end"/>
        </w:r>
      </w:p>
    </w:sdtContent>
  </w:sdt>
  <w:p w:rsidR="00901840" w:rsidRDefault="009018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320" w:rsidRDefault="00CD3320" w:rsidP="00CD3320">
      <w:r>
        <w:separator/>
      </w:r>
    </w:p>
  </w:footnote>
  <w:footnote w:type="continuationSeparator" w:id="0">
    <w:p w:rsidR="00CD3320" w:rsidRDefault="00CD3320" w:rsidP="00CD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20" w:rsidRPr="00877901" w:rsidRDefault="00CD3320" w:rsidP="00CD3320">
    <w:pPr>
      <w:widowControl w:val="0"/>
      <w:ind w:firstLine="425"/>
      <w:jc w:val="right"/>
      <w:rPr>
        <w:bCs/>
        <w:color w:val="000000"/>
        <w:spacing w:val="3"/>
      </w:rPr>
    </w:pPr>
    <w:r>
      <w:rPr>
        <w:bCs/>
        <w:color w:val="000000"/>
        <w:spacing w:val="3"/>
      </w:rPr>
      <w:t>Продовження Додат</w:t>
    </w:r>
    <w:r w:rsidRPr="00877901">
      <w:rPr>
        <w:bCs/>
        <w:color w:val="000000"/>
        <w:spacing w:val="3"/>
      </w:rPr>
      <w:t>к</w:t>
    </w:r>
    <w:r>
      <w:rPr>
        <w:bCs/>
        <w:color w:val="000000"/>
        <w:spacing w:val="3"/>
      </w:rPr>
      <w:t>у</w:t>
    </w:r>
    <w:r w:rsidRPr="00877901">
      <w:rPr>
        <w:bCs/>
        <w:color w:val="000000"/>
        <w:spacing w:val="3"/>
      </w:rPr>
      <w:t xml:space="preserve"> 1 </w:t>
    </w:r>
  </w:p>
  <w:p w:rsidR="00CD3320" w:rsidRDefault="00CD3320" w:rsidP="00901840">
    <w:pPr>
      <w:widowControl w:val="0"/>
      <w:ind w:firstLine="425"/>
      <w:jc w:val="right"/>
      <w:rPr>
        <w:bCs/>
        <w:color w:val="000000"/>
        <w:spacing w:val="3"/>
        <w:lang w:val="uk-UA"/>
      </w:rPr>
    </w:pPr>
    <w:r w:rsidRPr="00877901">
      <w:rPr>
        <w:bCs/>
        <w:color w:val="000000"/>
        <w:spacing w:val="3"/>
      </w:rPr>
      <w:t>до реєстраційного посвідчення</w:t>
    </w:r>
    <w:r>
      <w:rPr>
        <w:bCs/>
        <w:color w:val="000000"/>
        <w:spacing w:val="3"/>
      </w:rPr>
      <w:t xml:space="preserve"> </w:t>
    </w:r>
  </w:p>
  <w:p w:rsidR="00901840" w:rsidRPr="00901840" w:rsidRDefault="00901840" w:rsidP="00901840">
    <w:pPr>
      <w:widowControl w:val="0"/>
      <w:ind w:firstLine="425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20" w:rsidRPr="00877901" w:rsidRDefault="00CD3320" w:rsidP="00CD3320">
    <w:pPr>
      <w:widowControl w:val="0"/>
      <w:ind w:firstLine="425"/>
      <w:jc w:val="right"/>
      <w:rPr>
        <w:bCs/>
        <w:color w:val="000000"/>
        <w:spacing w:val="3"/>
      </w:rPr>
    </w:pPr>
    <w:r w:rsidRPr="00877901">
      <w:rPr>
        <w:bCs/>
        <w:color w:val="000000"/>
        <w:spacing w:val="3"/>
      </w:rPr>
      <w:t xml:space="preserve">Додаток 1 </w:t>
    </w:r>
  </w:p>
  <w:p w:rsidR="005E0156" w:rsidRDefault="00CD3320" w:rsidP="005E0156">
    <w:pPr>
      <w:widowControl w:val="0"/>
      <w:ind w:firstLine="425"/>
      <w:jc w:val="right"/>
      <w:rPr>
        <w:bCs/>
        <w:color w:val="000000"/>
        <w:spacing w:val="3"/>
        <w:lang w:val="uk-UA"/>
      </w:rPr>
    </w:pPr>
    <w:r w:rsidRPr="00877901">
      <w:rPr>
        <w:bCs/>
        <w:color w:val="000000"/>
        <w:spacing w:val="3"/>
      </w:rPr>
      <w:t xml:space="preserve">до реєстраційного посвідчення </w:t>
    </w:r>
  </w:p>
  <w:p w:rsidR="00ED6241" w:rsidRPr="005E0156" w:rsidRDefault="00ED6241" w:rsidP="005E0156">
    <w:pPr>
      <w:widowControl w:val="0"/>
      <w:ind w:firstLine="425"/>
      <w:jc w:val="right"/>
      <w:rPr>
        <w:bCs/>
        <w:color w:val="000000"/>
        <w:spacing w:val="3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C44"/>
    <w:multiLevelType w:val="multilevel"/>
    <w:tmpl w:val="200CB63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color w:val="000000"/>
      </w:rPr>
    </w:lvl>
  </w:abstractNum>
  <w:abstractNum w:abstractNumId="1" w15:restartNumberingAfterBreak="0">
    <w:nsid w:val="07C42114"/>
    <w:multiLevelType w:val="hybridMultilevel"/>
    <w:tmpl w:val="A76C4DD4"/>
    <w:lvl w:ilvl="0" w:tplc="CAACBF4E">
      <w:start w:val="1"/>
      <w:numFmt w:val="decimal"/>
      <w:lvlText w:val="%1."/>
      <w:lvlJc w:val="left"/>
      <w:pPr>
        <w:ind w:left="263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52" w:hanging="360"/>
      </w:pPr>
    </w:lvl>
    <w:lvl w:ilvl="2" w:tplc="0419001B" w:tentative="1">
      <w:start w:val="1"/>
      <w:numFmt w:val="lowerRoman"/>
      <w:lvlText w:val="%3."/>
      <w:lvlJc w:val="right"/>
      <w:pPr>
        <w:ind w:left="4072" w:hanging="180"/>
      </w:pPr>
    </w:lvl>
    <w:lvl w:ilvl="3" w:tplc="0419000F" w:tentative="1">
      <w:start w:val="1"/>
      <w:numFmt w:val="decimal"/>
      <w:lvlText w:val="%4."/>
      <w:lvlJc w:val="left"/>
      <w:pPr>
        <w:ind w:left="4792" w:hanging="360"/>
      </w:pPr>
    </w:lvl>
    <w:lvl w:ilvl="4" w:tplc="04190019" w:tentative="1">
      <w:start w:val="1"/>
      <w:numFmt w:val="lowerLetter"/>
      <w:lvlText w:val="%5."/>
      <w:lvlJc w:val="left"/>
      <w:pPr>
        <w:ind w:left="5512" w:hanging="360"/>
      </w:pPr>
    </w:lvl>
    <w:lvl w:ilvl="5" w:tplc="0419001B" w:tentative="1">
      <w:start w:val="1"/>
      <w:numFmt w:val="lowerRoman"/>
      <w:lvlText w:val="%6."/>
      <w:lvlJc w:val="right"/>
      <w:pPr>
        <w:ind w:left="6232" w:hanging="180"/>
      </w:pPr>
    </w:lvl>
    <w:lvl w:ilvl="6" w:tplc="0419000F" w:tentative="1">
      <w:start w:val="1"/>
      <w:numFmt w:val="decimal"/>
      <w:lvlText w:val="%7."/>
      <w:lvlJc w:val="left"/>
      <w:pPr>
        <w:ind w:left="6952" w:hanging="360"/>
      </w:pPr>
    </w:lvl>
    <w:lvl w:ilvl="7" w:tplc="04190019" w:tentative="1">
      <w:start w:val="1"/>
      <w:numFmt w:val="lowerLetter"/>
      <w:lvlText w:val="%8."/>
      <w:lvlJc w:val="left"/>
      <w:pPr>
        <w:ind w:left="7672" w:hanging="360"/>
      </w:pPr>
    </w:lvl>
    <w:lvl w:ilvl="8" w:tplc="0419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2" w15:restartNumberingAfterBreak="0">
    <w:nsid w:val="0FDD56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4A144B"/>
    <w:multiLevelType w:val="multilevel"/>
    <w:tmpl w:val="8A5215A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color w:val="000000"/>
      </w:rPr>
    </w:lvl>
  </w:abstractNum>
  <w:abstractNum w:abstractNumId="4" w15:restartNumberingAfterBreak="0">
    <w:nsid w:val="3B974AF4"/>
    <w:multiLevelType w:val="hybridMultilevel"/>
    <w:tmpl w:val="F0882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336A8B"/>
    <w:multiLevelType w:val="multilevel"/>
    <w:tmpl w:val="958EEC9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730BC1"/>
    <w:multiLevelType w:val="singleLevel"/>
    <w:tmpl w:val="34FC0DC2"/>
    <w:lvl w:ilvl="0">
      <w:start w:val="10"/>
      <w:numFmt w:val="decimal"/>
      <w:lvlText w:val="5.%1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B644B6"/>
    <w:multiLevelType w:val="hybridMultilevel"/>
    <w:tmpl w:val="2D081688"/>
    <w:lvl w:ilvl="0" w:tplc="970A021C">
      <w:start w:val="2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DA236E"/>
    <w:multiLevelType w:val="singleLevel"/>
    <w:tmpl w:val="BEFA1A6A"/>
    <w:lvl w:ilvl="0">
      <w:start w:val="7"/>
      <w:numFmt w:val="decimal"/>
      <w:lvlText w:val="5.%1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F1B"/>
    <w:rsid w:val="0000343E"/>
    <w:rsid w:val="000333A8"/>
    <w:rsid w:val="00090590"/>
    <w:rsid w:val="000D2B6D"/>
    <w:rsid w:val="0012607A"/>
    <w:rsid w:val="00146A7D"/>
    <w:rsid w:val="00147495"/>
    <w:rsid w:val="003A0039"/>
    <w:rsid w:val="003A1103"/>
    <w:rsid w:val="00420F1B"/>
    <w:rsid w:val="004A0315"/>
    <w:rsid w:val="004B5C41"/>
    <w:rsid w:val="004C4E9B"/>
    <w:rsid w:val="005903D3"/>
    <w:rsid w:val="005E0156"/>
    <w:rsid w:val="00617F16"/>
    <w:rsid w:val="00621681"/>
    <w:rsid w:val="0064474B"/>
    <w:rsid w:val="00743730"/>
    <w:rsid w:val="007E0B80"/>
    <w:rsid w:val="007F1E81"/>
    <w:rsid w:val="0080071F"/>
    <w:rsid w:val="00816169"/>
    <w:rsid w:val="0083253A"/>
    <w:rsid w:val="00872A69"/>
    <w:rsid w:val="00877901"/>
    <w:rsid w:val="00885998"/>
    <w:rsid w:val="008A1573"/>
    <w:rsid w:val="00901840"/>
    <w:rsid w:val="00907B99"/>
    <w:rsid w:val="00944459"/>
    <w:rsid w:val="009A5FFC"/>
    <w:rsid w:val="009F1076"/>
    <w:rsid w:val="00A01115"/>
    <w:rsid w:val="00A41F97"/>
    <w:rsid w:val="00A53A67"/>
    <w:rsid w:val="00A54D25"/>
    <w:rsid w:val="00A73D66"/>
    <w:rsid w:val="00B02329"/>
    <w:rsid w:val="00B265AF"/>
    <w:rsid w:val="00B55FED"/>
    <w:rsid w:val="00B86105"/>
    <w:rsid w:val="00BB6CBE"/>
    <w:rsid w:val="00C25399"/>
    <w:rsid w:val="00C50957"/>
    <w:rsid w:val="00C602C4"/>
    <w:rsid w:val="00CA606C"/>
    <w:rsid w:val="00CD3320"/>
    <w:rsid w:val="00D01AF7"/>
    <w:rsid w:val="00D03ED3"/>
    <w:rsid w:val="00D63E21"/>
    <w:rsid w:val="00DC7DE5"/>
    <w:rsid w:val="00E07E6A"/>
    <w:rsid w:val="00E22F1D"/>
    <w:rsid w:val="00E37272"/>
    <w:rsid w:val="00ED6241"/>
    <w:rsid w:val="00F7767A"/>
    <w:rsid w:val="00F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40CB6-CDB9-47F9-B0B4-2D7E306F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420F1B"/>
    <w:pPr>
      <w:widowControl w:val="0"/>
      <w:shd w:val="clear" w:color="auto" w:fill="FFFFFF"/>
      <w:spacing w:after="60" w:line="0" w:lineRule="atLeast"/>
      <w:jc w:val="right"/>
    </w:pPr>
    <w:rPr>
      <w:spacing w:val="2"/>
    </w:rPr>
  </w:style>
  <w:style w:type="character" w:customStyle="1" w:styleId="a3">
    <w:name w:val="Основной текст_"/>
    <w:basedOn w:val="a0"/>
    <w:link w:val="1"/>
    <w:rsid w:val="0012607A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styleId="a4">
    <w:name w:val="List Paragraph"/>
    <w:basedOn w:val="a"/>
    <w:uiPriority w:val="34"/>
    <w:qFormat/>
    <w:rsid w:val="00CA606C"/>
    <w:pPr>
      <w:ind w:left="720"/>
      <w:contextualSpacing/>
    </w:pPr>
  </w:style>
  <w:style w:type="table" w:styleId="a5">
    <w:name w:val="Table Grid"/>
    <w:basedOn w:val="a1"/>
    <w:uiPriority w:val="59"/>
    <w:rsid w:val="00B8610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A73D66"/>
    <w:rPr>
      <w:rFonts w:ascii="Times New Roman" w:hAnsi="Times New Roman" w:cs="Times New Roman"/>
      <w:i/>
      <w:iCs/>
      <w:shd w:val="clear" w:color="auto" w:fill="FFFFFF"/>
      <w:lang w:val="en-US"/>
    </w:rPr>
  </w:style>
  <w:style w:type="paragraph" w:customStyle="1" w:styleId="Bodytext30">
    <w:name w:val="Body text (3)"/>
    <w:basedOn w:val="a"/>
    <w:link w:val="Bodytext3"/>
    <w:rsid w:val="00A73D66"/>
    <w:pPr>
      <w:widowControl w:val="0"/>
      <w:shd w:val="clear" w:color="auto" w:fill="FFFFFF"/>
      <w:spacing w:line="274" w:lineRule="exact"/>
      <w:jc w:val="both"/>
    </w:pPr>
    <w:rPr>
      <w:i/>
      <w:iCs/>
      <w:lang w:val="en-US"/>
    </w:rPr>
  </w:style>
  <w:style w:type="paragraph" w:styleId="a6">
    <w:name w:val="header"/>
    <w:basedOn w:val="a"/>
    <w:link w:val="a7"/>
    <w:uiPriority w:val="99"/>
    <w:unhideWhenUsed/>
    <w:rsid w:val="00CD332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D3320"/>
    <w:rPr>
      <w:lang w:val="en-GB"/>
    </w:rPr>
  </w:style>
  <w:style w:type="paragraph" w:styleId="a8">
    <w:name w:val="footer"/>
    <w:basedOn w:val="a"/>
    <w:link w:val="a9"/>
    <w:uiPriority w:val="99"/>
    <w:unhideWhenUsed/>
    <w:rsid w:val="00CD332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D3320"/>
    <w:rPr>
      <w:lang w:val="en-GB"/>
    </w:rPr>
  </w:style>
  <w:style w:type="paragraph" w:customStyle="1" w:styleId="10">
    <w:name w:val="1 заголовок"/>
    <w:basedOn w:val="a"/>
    <w:link w:val="11"/>
    <w:autoRedefine/>
    <w:qFormat/>
    <w:rsid w:val="00907B99"/>
    <w:pPr>
      <w:keepNext/>
      <w:spacing w:line="360" w:lineRule="auto"/>
      <w:ind w:firstLine="709"/>
      <w:jc w:val="center"/>
      <w:outlineLvl w:val="0"/>
    </w:pPr>
    <w:rPr>
      <w:rFonts w:eastAsia="Arial Unicode MS"/>
      <w:b/>
      <w:bCs/>
      <w:sz w:val="32"/>
      <w:szCs w:val="32"/>
      <w:lang w:val="uk-UA"/>
    </w:rPr>
  </w:style>
  <w:style w:type="character" w:customStyle="1" w:styleId="11">
    <w:name w:val="1 заголовок Знак"/>
    <w:link w:val="10"/>
    <w:rsid w:val="00907B99"/>
    <w:rPr>
      <w:rFonts w:ascii="Times New Roman" w:eastAsia="Arial Unicode MS" w:hAnsi="Times New Roman" w:cs="Times New Roman"/>
      <w:b/>
      <w:bCs/>
      <w:sz w:val="32"/>
      <w:szCs w:val="32"/>
      <w:lang w:val="uk-UA"/>
    </w:rPr>
  </w:style>
  <w:style w:type="paragraph" w:customStyle="1" w:styleId="cs7fb5c607">
    <w:name w:val="cs7fb5c607"/>
    <w:basedOn w:val="a"/>
    <w:rsid w:val="005E0156"/>
    <w:pPr>
      <w:ind w:firstLine="720"/>
      <w:jc w:val="both"/>
    </w:pPr>
    <w:rPr>
      <w:lang w:val="uk-UA" w:eastAsia="uk-UA"/>
    </w:rPr>
  </w:style>
  <w:style w:type="character" w:customStyle="1" w:styleId="cs5efed22f6">
    <w:name w:val="cs5efed22f6"/>
    <w:rsid w:val="005E01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table" w:customStyle="1" w:styleId="12">
    <w:name w:val="Сітка таблиці1"/>
    <w:basedOn w:val="a1"/>
    <w:next w:val="a5"/>
    <w:uiPriority w:val="59"/>
    <w:rsid w:val="00832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011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01115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011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01115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011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1115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01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testlab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4976</Words>
  <Characters>2837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503</dc:creator>
  <cp:lastModifiedBy>admin</cp:lastModifiedBy>
  <cp:revision>25</cp:revision>
  <cp:lastPrinted>2024-09-05T12:16:00Z</cp:lastPrinted>
  <dcterms:created xsi:type="dcterms:W3CDTF">2024-05-31T13:18:00Z</dcterms:created>
  <dcterms:modified xsi:type="dcterms:W3CDTF">2025-10-24T13:10:00Z</dcterms:modified>
</cp:coreProperties>
</file>