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4604" w14:textId="77777777" w:rsidR="00632A79" w:rsidRPr="00CD7424" w:rsidRDefault="00632A79" w:rsidP="00632A79">
      <w:pPr>
        <w:jc w:val="center"/>
        <w:rPr>
          <w:sz w:val="32"/>
          <w:szCs w:val="32"/>
          <w:lang w:val="uk-UA"/>
        </w:rPr>
      </w:pPr>
      <w:r w:rsidRPr="00CD7424">
        <w:rPr>
          <w:b/>
        </w:rPr>
        <w:t>Коротка  характеристика  препарату</w:t>
      </w:r>
    </w:p>
    <w:p w14:paraId="25000AE1" w14:textId="77777777" w:rsidR="00632A79" w:rsidRPr="00CD7424" w:rsidRDefault="00632A79" w:rsidP="00632A79">
      <w:pPr>
        <w:ind w:firstLine="567"/>
        <w:jc w:val="both"/>
        <w:rPr>
          <w:b/>
        </w:rPr>
      </w:pPr>
      <w:r w:rsidRPr="00CD7424">
        <w:rPr>
          <w:b/>
        </w:rPr>
        <w:t xml:space="preserve">1.Назва </w:t>
      </w:r>
    </w:p>
    <w:p w14:paraId="0DAE244C" w14:textId="77777777" w:rsidR="00632A79" w:rsidRPr="00CD7424" w:rsidRDefault="00632A79" w:rsidP="00632A79">
      <w:pPr>
        <w:ind w:firstLine="567"/>
        <w:jc w:val="both"/>
        <w:rPr>
          <w:b/>
        </w:rPr>
      </w:pPr>
      <w:r w:rsidRPr="00CD7424">
        <w:t>ТИЛОЦИКЛІНВЕТ</w:t>
      </w:r>
    </w:p>
    <w:p w14:paraId="6CB320D1" w14:textId="77777777" w:rsidR="00632A79" w:rsidRPr="00CD7424" w:rsidRDefault="00632A79" w:rsidP="00632A79">
      <w:pPr>
        <w:ind w:firstLine="567"/>
        <w:jc w:val="both"/>
      </w:pPr>
      <w:r w:rsidRPr="00CD7424">
        <w:rPr>
          <w:b/>
        </w:rPr>
        <w:t>2.Склад</w:t>
      </w:r>
    </w:p>
    <w:p w14:paraId="2EFEEE62" w14:textId="77777777" w:rsidR="00632A79" w:rsidRPr="00CD7424" w:rsidRDefault="00632A79" w:rsidP="00632A79">
      <w:pPr>
        <w:pStyle w:val="23"/>
        <w:ind w:firstLine="567"/>
        <w:jc w:val="both"/>
        <w:rPr>
          <w:sz w:val="24"/>
          <w:szCs w:val="24"/>
        </w:rPr>
      </w:pPr>
      <w:r w:rsidRPr="00CD7424">
        <w:rPr>
          <w:sz w:val="24"/>
          <w:szCs w:val="24"/>
        </w:rPr>
        <w:t>1 г препарату містить діючі речовини:</w:t>
      </w:r>
    </w:p>
    <w:p w14:paraId="050BF435" w14:textId="77777777" w:rsidR="00632A79" w:rsidRPr="00CD7424" w:rsidRDefault="00632A79" w:rsidP="00632A79">
      <w:pPr>
        <w:pStyle w:val="23"/>
        <w:tabs>
          <w:tab w:val="right" w:pos="4384"/>
          <w:tab w:val="left" w:pos="4549"/>
        </w:tabs>
        <w:ind w:firstLine="567"/>
        <w:jc w:val="both"/>
        <w:rPr>
          <w:sz w:val="24"/>
          <w:szCs w:val="24"/>
        </w:rPr>
      </w:pPr>
      <w:r w:rsidRPr="00CD7424">
        <w:rPr>
          <w:sz w:val="24"/>
          <w:szCs w:val="24"/>
        </w:rPr>
        <w:t xml:space="preserve">доксицикліну гіклат                       - </w:t>
      </w:r>
      <w:r w:rsidRPr="00CD7424">
        <w:rPr>
          <w:sz w:val="24"/>
          <w:szCs w:val="24"/>
        </w:rPr>
        <w:tab/>
        <w:t>100,0 мг;</w:t>
      </w:r>
    </w:p>
    <w:p w14:paraId="36A4371F" w14:textId="77777777" w:rsidR="00632A79" w:rsidRPr="00CD7424" w:rsidRDefault="00632A79" w:rsidP="00632A79">
      <w:pPr>
        <w:pStyle w:val="23"/>
        <w:tabs>
          <w:tab w:val="center" w:pos="4494"/>
        </w:tabs>
        <w:ind w:firstLine="567"/>
        <w:jc w:val="both"/>
        <w:rPr>
          <w:sz w:val="24"/>
          <w:szCs w:val="24"/>
        </w:rPr>
      </w:pPr>
      <w:r w:rsidRPr="00CD7424">
        <w:rPr>
          <w:sz w:val="24"/>
          <w:szCs w:val="24"/>
        </w:rPr>
        <w:t xml:space="preserve">тилозину тартрат                            - </w:t>
      </w:r>
      <w:r w:rsidRPr="00CD7424">
        <w:rPr>
          <w:sz w:val="24"/>
          <w:szCs w:val="24"/>
        </w:rPr>
        <w:tab/>
        <w:t>100,0 мг.</w:t>
      </w:r>
    </w:p>
    <w:p w14:paraId="54E37DFF" w14:textId="77777777" w:rsidR="00632A79" w:rsidRPr="00CD7424" w:rsidRDefault="00632A79" w:rsidP="00632A79">
      <w:pPr>
        <w:ind w:firstLine="567"/>
        <w:jc w:val="both"/>
      </w:pPr>
      <w:r w:rsidRPr="00CD7424">
        <w:t>Допоміжні речовини: кислота лимонна, сорбітол.</w:t>
      </w:r>
    </w:p>
    <w:p w14:paraId="36658265" w14:textId="77777777" w:rsidR="00632A79" w:rsidRPr="00CD7424" w:rsidRDefault="00632A79" w:rsidP="00632A79">
      <w:pPr>
        <w:ind w:firstLine="567"/>
        <w:jc w:val="both"/>
        <w:rPr>
          <w:b/>
        </w:rPr>
      </w:pPr>
      <w:r w:rsidRPr="00CD7424">
        <w:rPr>
          <w:b/>
        </w:rPr>
        <w:t>3.Фармацевтична  форма</w:t>
      </w:r>
    </w:p>
    <w:p w14:paraId="6F481F9A" w14:textId="77777777" w:rsidR="00632A79" w:rsidRPr="00CD7424" w:rsidRDefault="00632A79" w:rsidP="00632A79">
      <w:pPr>
        <w:ind w:firstLine="567"/>
        <w:jc w:val="both"/>
      </w:pPr>
      <w:r w:rsidRPr="00CD7424">
        <w:t>Порошок для пер</w:t>
      </w:r>
      <w:r w:rsidRPr="00CD7424">
        <w:rPr>
          <w:lang w:bidi="ru-RU"/>
        </w:rPr>
        <w:t xml:space="preserve">орального </w:t>
      </w:r>
      <w:r w:rsidRPr="00CD7424">
        <w:t>застосування.</w:t>
      </w:r>
    </w:p>
    <w:p w14:paraId="3CF138A7" w14:textId="77777777" w:rsidR="00632A79" w:rsidRPr="00772F7D" w:rsidRDefault="00632A79" w:rsidP="00632A79">
      <w:pPr>
        <w:ind w:firstLine="567"/>
        <w:jc w:val="both"/>
        <w:rPr>
          <w:b/>
        </w:rPr>
      </w:pPr>
      <w:r w:rsidRPr="00CD7424">
        <w:rPr>
          <w:b/>
        </w:rPr>
        <w:t>4.Фармакологічні  властивості</w:t>
      </w:r>
    </w:p>
    <w:p w14:paraId="0D17331E" w14:textId="77777777" w:rsidR="00632A79" w:rsidRPr="00726173" w:rsidRDefault="00632A79" w:rsidP="00632A79">
      <w:pPr>
        <w:pStyle w:val="23"/>
        <w:spacing w:line="240" w:lineRule="auto"/>
        <w:ind w:right="40" w:firstLine="567"/>
        <w:jc w:val="both"/>
        <w:rPr>
          <w:b/>
          <w:i/>
          <w:sz w:val="24"/>
          <w:szCs w:val="24"/>
          <w:lang w:val="uk-UA"/>
        </w:rPr>
      </w:pPr>
      <w:r w:rsidRPr="00726173">
        <w:rPr>
          <w:b/>
          <w:i/>
          <w:sz w:val="24"/>
          <w:szCs w:val="24"/>
          <w:lang w:val="uk-UA" w:bidi="ru-RU"/>
        </w:rPr>
        <w:t xml:space="preserve">АТС </w:t>
      </w:r>
      <w:r w:rsidRPr="00726173">
        <w:rPr>
          <w:b/>
          <w:i/>
          <w:sz w:val="24"/>
          <w:szCs w:val="24"/>
          <w:lang w:val="uk-UA" w:bidi="en-US"/>
        </w:rPr>
        <w:t xml:space="preserve">vet </w:t>
      </w:r>
      <w:r w:rsidRPr="00726173">
        <w:rPr>
          <w:b/>
          <w:i/>
          <w:sz w:val="24"/>
          <w:szCs w:val="24"/>
          <w:lang w:val="uk-UA"/>
        </w:rPr>
        <w:t xml:space="preserve">класифікаційний код </w:t>
      </w:r>
      <w:r w:rsidRPr="00726173">
        <w:rPr>
          <w:b/>
          <w:i/>
          <w:sz w:val="24"/>
          <w:szCs w:val="24"/>
          <w:lang w:val="uk-UA" w:bidi="en-US"/>
        </w:rPr>
        <w:t xml:space="preserve">QJ01 </w:t>
      </w:r>
      <w:r w:rsidRPr="00726173">
        <w:rPr>
          <w:b/>
          <w:i/>
          <w:sz w:val="24"/>
          <w:szCs w:val="24"/>
          <w:lang w:val="uk-UA"/>
        </w:rPr>
        <w:t>– антибактеріальні ветеринарні препарати для системного застосування. QJ01RA90 – Тетрацикліни, комбінації з іншими протимікробними препаратами.</w:t>
      </w:r>
    </w:p>
    <w:p w14:paraId="4E10AE36" w14:textId="77777777" w:rsidR="00632A79" w:rsidRPr="00966CEB" w:rsidRDefault="00632A79" w:rsidP="00632A79">
      <w:pPr>
        <w:ind w:firstLine="567"/>
        <w:jc w:val="both"/>
        <w:rPr>
          <w:b/>
          <w:highlight w:val="yellow"/>
          <w:lang w:val="uk-UA"/>
        </w:rPr>
      </w:pPr>
      <w:r w:rsidRPr="00966CEB">
        <w:rPr>
          <w:lang w:val="uk-UA"/>
        </w:rPr>
        <w:t>ТИЛОЦИКЛІНВЕТ – комбінований препарат, до складу якого входять доксициклін та тилозин.</w:t>
      </w:r>
    </w:p>
    <w:p w14:paraId="70F81CD0" w14:textId="77777777" w:rsidR="00632A79" w:rsidRPr="009334D5" w:rsidRDefault="00632A79" w:rsidP="00632A79">
      <w:pPr>
        <w:pStyle w:val="32"/>
        <w:spacing w:line="240" w:lineRule="auto"/>
        <w:ind w:right="40" w:firstLine="567"/>
        <w:rPr>
          <w:i w:val="0"/>
          <w:sz w:val="24"/>
          <w:szCs w:val="24"/>
          <w:lang w:val="uk-UA"/>
        </w:rPr>
      </w:pPr>
      <w:r w:rsidRPr="00792B04">
        <w:rPr>
          <w:rStyle w:val="33"/>
          <w:sz w:val="24"/>
          <w:szCs w:val="24"/>
        </w:rPr>
        <w:t xml:space="preserve">Доксициклін </w:t>
      </w:r>
      <w:r w:rsidRPr="00792B04">
        <w:rPr>
          <w:sz w:val="24"/>
          <w:szCs w:val="24"/>
          <w:lang w:val="uk-UA"/>
        </w:rPr>
        <w:t>–</w:t>
      </w:r>
      <w:r w:rsidRPr="00792B04">
        <w:rPr>
          <w:rStyle w:val="33"/>
          <w:sz w:val="24"/>
          <w:szCs w:val="24"/>
        </w:rPr>
        <w:t xml:space="preserve"> бактеріостатичний антибіотик, що належить до групи тетрациклінів. Діє на рибосоми бактерій, перешкоджаючи білковому синтезу. Він характеризується широким спектром антимікробної дії проти грампозитивних </w:t>
      </w:r>
      <w:r w:rsidRPr="009334D5">
        <w:rPr>
          <w:rStyle w:val="33"/>
          <w:i/>
          <w:sz w:val="24"/>
          <w:szCs w:val="24"/>
        </w:rPr>
        <w:t>(</w:t>
      </w:r>
      <w:r w:rsidRPr="009334D5">
        <w:rPr>
          <w:sz w:val="24"/>
          <w:szCs w:val="24"/>
          <w:lang w:val="uk-UA"/>
        </w:rPr>
        <w:t>Staphylococcus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Diplococcus pneumoniaе,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Streptococcus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Pneumococcus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Bacillus anthracis,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Clostridium tetani,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Clostridium perfringes,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Listeria monocytogens,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Actinomyces spp.</w:t>
      </w:r>
      <w:r w:rsidRPr="009334D5">
        <w:rPr>
          <w:rStyle w:val="33"/>
          <w:i/>
          <w:sz w:val="24"/>
          <w:szCs w:val="24"/>
        </w:rPr>
        <w:t>) та грамнегативних (</w:t>
      </w:r>
      <w:r w:rsidRPr="009334D5">
        <w:rPr>
          <w:sz w:val="24"/>
          <w:szCs w:val="24"/>
          <w:lang w:val="uk-UA"/>
        </w:rPr>
        <w:t xml:space="preserve">Haemophilus </w:t>
      </w:r>
      <w:r w:rsidRPr="009334D5">
        <w:rPr>
          <w:sz w:val="24"/>
          <w:szCs w:val="24"/>
          <w:lang w:val="uk-UA" w:eastAsia="de-DE" w:bidi="de-DE"/>
        </w:rPr>
        <w:t>influenzae,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 w:eastAsia="de-DE" w:bidi="de-DE"/>
        </w:rPr>
        <w:t xml:space="preserve">E. </w:t>
      </w:r>
      <w:r w:rsidRPr="009334D5">
        <w:rPr>
          <w:sz w:val="24"/>
          <w:szCs w:val="24"/>
          <w:lang w:val="uk-UA"/>
        </w:rPr>
        <w:t>coli,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Enterobacter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Klebsiella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Salmonella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Shigella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Yersinia spp</w:t>
      </w:r>
      <w:r w:rsidRPr="009334D5">
        <w:rPr>
          <w:rStyle w:val="33"/>
          <w:i/>
          <w:sz w:val="24"/>
          <w:szCs w:val="24"/>
        </w:rPr>
        <w:t xml:space="preserve">.) </w:t>
      </w:r>
      <w:r w:rsidRPr="00792B04">
        <w:rPr>
          <w:rStyle w:val="33"/>
          <w:sz w:val="24"/>
          <w:szCs w:val="24"/>
        </w:rPr>
        <w:t>бактерій. а також мікоплазм</w:t>
      </w:r>
      <w:r w:rsidRPr="009334D5">
        <w:rPr>
          <w:rStyle w:val="33"/>
          <w:i/>
          <w:sz w:val="24"/>
          <w:szCs w:val="24"/>
        </w:rPr>
        <w:t xml:space="preserve"> (</w:t>
      </w:r>
      <w:r w:rsidRPr="009334D5">
        <w:rPr>
          <w:sz w:val="24"/>
          <w:szCs w:val="24"/>
          <w:lang w:val="uk-UA"/>
        </w:rPr>
        <w:t>Mycoplasma spp.),</w:t>
      </w:r>
      <w:r w:rsidRPr="009334D5">
        <w:rPr>
          <w:rStyle w:val="33"/>
          <w:i/>
          <w:sz w:val="24"/>
          <w:szCs w:val="24"/>
        </w:rPr>
        <w:t xml:space="preserve"> </w:t>
      </w:r>
      <w:r w:rsidRPr="00792B04">
        <w:rPr>
          <w:rStyle w:val="33"/>
          <w:sz w:val="24"/>
          <w:szCs w:val="24"/>
        </w:rPr>
        <w:t>рикетсій</w:t>
      </w:r>
      <w:r w:rsidRPr="009334D5">
        <w:rPr>
          <w:rStyle w:val="33"/>
          <w:i/>
          <w:sz w:val="24"/>
          <w:szCs w:val="24"/>
        </w:rPr>
        <w:t xml:space="preserve"> (</w:t>
      </w:r>
      <w:r w:rsidRPr="009334D5">
        <w:rPr>
          <w:sz w:val="24"/>
          <w:szCs w:val="24"/>
          <w:lang w:val="uk-UA"/>
        </w:rPr>
        <w:t>Rickettsia spp</w:t>
      </w:r>
      <w:r w:rsidRPr="009334D5">
        <w:rPr>
          <w:i w:val="0"/>
          <w:sz w:val="24"/>
          <w:szCs w:val="24"/>
          <w:lang w:val="uk-UA"/>
        </w:rPr>
        <w:t>.)</w:t>
      </w:r>
      <w:r w:rsidRPr="009334D5">
        <w:rPr>
          <w:rStyle w:val="33"/>
          <w:i/>
          <w:sz w:val="24"/>
          <w:szCs w:val="24"/>
        </w:rPr>
        <w:t xml:space="preserve"> </w:t>
      </w:r>
      <w:r w:rsidRPr="00792B04">
        <w:rPr>
          <w:rStyle w:val="33"/>
          <w:sz w:val="24"/>
          <w:szCs w:val="24"/>
        </w:rPr>
        <w:t>та хламідій</w:t>
      </w:r>
      <w:r w:rsidRPr="009334D5">
        <w:rPr>
          <w:rStyle w:val="33"/>
          <w:i/>
          <w:sz w:val="24"/>
          <w:szCs w:val="24"/>
        </w:rPr>
        <w:t xml:space="preserve"> (</w:t>
      </w:r>
      <w:r w:rsidRPr="009334D5">
        <w:rPr>
          <w:sz w:val="24"/>
          <w:szCs w:val="24"/>
          <w:lang w:val="uk-UA"/>
        </w:rPr>
        <w:t>Chlamydia spp.).</w:t>
      </w:r>
    </w:p>
    <w:p w14:paraId="79765789" w14:textId="77777777" w:rsidR="00632A79" w:rsidRPr="009334D5" w:rsidRDefault="00632A79" w:rsidP="00632A79">
      <w:pPr>
        <w:pStyle w:val="32"/>
        <w:tabs>
          <w:tab w:val="left" w:pos="3157"/>
        </w:tabs>
        <w:spacing w:line="240" w:lineRule="auto"/>
        <w:ind w:left="40" w:right="40" w:firstLine="560"/>
        <w:rPr>
          <w:i w:val="0"/>
          <w:sz w:val="24"/>
          <w:szCs w:val="24"/>
          <w:lang w:val="uk-UA"/>
        </w:rPr>
      </w:pPr>
      <w:r w:rsidRPr="00792B04">
        <w:rPr>
          <w:rStyle w:val="33"/>
          <w:sz w:val="24"/>
          <w:szCs w:val="24"/>
        </w:rPr>
        <w:t xml:space="preserve">Тилозин </w:t>
      </w:r>
      <w:r w:rsidRPr="00792B04">
        <w:rPr>
          <w:sz w:val="24"/>
          <w:szCs w:val="24"/>
          <w:lang w:val="uk-UA"/>
        </w:rPr>
        <w:t>–</w:t>
      </w:r>
      <w:r w:rsidRPr="00792B04">
        <w:rPr>
          <w:rStyle w:val="33"/>
          <w:sz w:val="24"/>
          <w:szCs w:val="24"/>
        </w:rPr>
        <w:t xml:space="preserve"> антибіотик групи макролідів, активний щодо грамнегативних</w:t>
      </w:r>
      <w:r w:rsidRPr="009334D5">
        <w:rPr>
          <w:rStyle w:val="33"/>
          <w:i/>
          <w:sz w:val="24"/>
          <w:szCs w:val="24"/>
        </w:rPr>
        <w:t xml:space="preserve"> (</w:t>
      </w:r>
      <w:r w:rsidRPr="009334D5">
        <w:rPr>
          <w:sz w:val="24"/>
          <w:szCs w:val="24"/>
          <w:lang w:val="uk-UA"/>
        </w:rPr>
        <w:t>Neisseria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Bacteriodes nodosus,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 w:eastAsia="de-DE" w:bidi="de-DE"/>
        </w:rPr>
        <w:t>Moraxella bovis,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Pasteurella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Spirochaetes spp.</w:t>
      </w:r>
      <w:r w:rsidRPr="009334D5">
        <w:rPr>
          <w:rStyle w:val="33"/>
          <w:i/>
          <w:sz w:val="24"/>
          <w:szCs w:val="24"/>
        </w:rPr>
        <w:t xml:space="preserve"> ) та грампозитивних </w:t>
      </w:r>
      <w:r w:rsidRPr="009334D5">
        <w:rPr>
          <w:sz w:val="24"/>
          <w:szCs w:val="24"/>
          <w:lang w:val="uk-UA"/>
        </w:rPr>
        <w:t>Staphylococcus spp., Streptococcus spp., Diplococcus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Corynebacterium spp.,</w:t>
      </w:r>
      <w:r w:rsidRPr="009334D5">
        <w:rPr>
          <w:rStyle w:val="33"/>
          <w:sz w:val="24"/>
          <w:szCs w:val="24"/>
        </w:rPr>
        <w:t xml:space="preserve"> </w:t>
      </w:r>
      <w:r w:rsidRPr="009334D5">
        <w:rPr>
          <w:sz w:val="24"/>
          <w:szCs w:val="24"/>
          <w:lang w:val="uk-UA"/>
        </w:rPr>
        <w:t>Clostridium spp., Erysipelothrix rhusiopathiae</w:t>
      </w:r>
      <w:r w:rsidRPr="009334D5">
        <w:rPr>
          <w:rStyle w:val="33"/>
          <w:i/>
          <w:sz w:val="24"/>
          <w:szCs w:val="24"/>
        </w:rPr>
        <w:t xml:space="preserve">) </w:t>
      </w:r>
      <w:r w:rsidRPr="00792B04">
        <w:rPr>
          <w:rStyle w:val="33"/>
          <w:sz w:val="24"/>
          <w:szCs w:val="24"/>
        </w:rPr>
        <w:t>мікроорганізмів. Особливо чутливі до тилозину</w:t>
      </w:r>
      <w:r w:rsidRPr="00792B04">
        <w:rPr>
          <w:sz w:val="24"/>
          <w:szCs w:val="24"/>
          <w:lang w:val="uk-UA"/>
        </w:rPr>
        <w:t xml:space="preserve"> </w:t>
      </w:r>
      <w:r w:rsidRPr="00792B04">
        <w:rPr>
          <w:rStyle w:val="33"/>
          <w:sz w:val="24"/>
          <w:szCs w:val="24"/>
        </w:rPr>
        <w:t>мікоплазми</w:t>
      </w:r>
      <w:r w:rsidRPr="009334D5">
        <w:rPr>
          <w:rStyle w:val="33"/>
          <w:i/>
          <w:sz w:val="24"/>
          <w:szCs w:val="24"/>
        </w:rPr>
        <w:t xml:space="preserve"> (</w:t>
      </w:r>
      <w:r w:rsidRPr="009334D5">
        <w:rPr>
          <w:sz w:val="24"/>
          <w:szCs w:val="24"/>
          <w:lang w:val="uk-UA"/>
        </w:rPr>
        <w:t>Mycoplasma gallisepticum</w:t>
      </w:r>
      <w:r w:rsidRPr="009334D5">
        <w:rPr>
          <w:sz w:val="24"/>
          <w:szCs w:val="24"/>
          <w:lang w:val="uk-UA" w:eastAsia="uk-UA" w:bidi="uk-UA"/>
        </w:rPr>
        <w:t xml:space="preserve">, </w:t>
      </w:r>
      <w:r w:rsidRPr="009334D5">
        <w:rPr>
          <w:sz w:val="24"/>
          <w:szCs w:val="24"/>
          <w:lang w:val="uk-UA"/>
        </w:rPr>
        <w:t>M. hyopneumoniae, M. synoviae, M. meleagridis, M. agalactiae, M. bovigenitalium</w:t>
      </w:r>
      <w:r w:rsidRPr="009334D5">
        <w:rPr>
          <w:i w:val="0"/>
          <w:sz w:val="24"/>
          <w:szCs w:val="24"/>
          <w:lang w:val="uk-UA"/>
        </w:rPr>
        <w:t>),</w:t>
      </w:r>
      <w:r w:rsidRPr="009334D5">
        <w:rPr>
          <w:rStyle w:val="33"/>
          <w:i/>
          <w:sz w:val="24"/>
          <w:szCs w:val="24"/>
        </w:rPr>
        <w:t xml:space="preserve"> </w:t>
      </w:r>
      <w:r w:rsidRPr="00792B04">
        <w:rPr>
          <w:rStyle w:val="33"/>
          <w:sz w:val="24"/>
          <w:szCs w:val="24"/>
        </w:rPr>
        <w:t>а також хламідії</w:t>
      </w:r>
      <w:r w:rsidRPr="009334D5">
        <w:rPr>
          <w:rStyle w:val="33"/>
          <w:i/>
          <w:sz w:val="24"/>
          <w:szCs w:val="24"/>
        </w:rPr>
        <w:t xml:space="preserve"> (</w:t>
      </w:r>
      <w:r w:rsidRPr="009334D5">
        <w:rPr>
          <w:sz w:val="24"/>
          <w:szCs w:val="24"/>
          <w:lang w:val="uk-UA"/>
        </w:rPr>
        <w:t>Chlamydia spp.)</w:t>
      </w:r>
      <w:r w:rsidRPr="009334D5">
        <w:rPr>
          <w:rStyle w:val="33"/>
          <w:i/>
          <w:sz w:val="24"/>
          <w:szCs w:val="24"/>
        </w:rPr>
        <w:t xml:space="preserve"> </w:t>
      </w:r>
      <w:r w:rsidRPr="00792B04">
        <w:rPr>
          <w:rStyle w:val="33"/>
          <w:sz w:val="24"/>
          <w:szCs w:val="24"/>
        </w:rPr>
        <w:t>та рикетсії</w:t>
      </w:r>
      <w:r w:rsidRPr="009334D5">
        <w:rPr>
          <w:rStyle w:val="33"/>
          <w:i/>
          <w:sz w:val="24"/>
          <w:szCs w:val="24"/>
        </w:rPr>
        <w:t xml:space="preserve"> (</w:t>
      </w:r>
      <w:r w:rsidRPr="009334D5">
        <w:rPr>
          <w:sz w:val="24"/>
          <w:szCs w:val="24"/>
          <w:lang w:val="uk-UA"/>
        </w:rPr>
        <w:t>Rickettsia spp.).</w:t>
      </w:r>
    </w:p>
    <w:p w14:paraId="4C092C43" w14:textId="77777777" w:rsidR="00632A79" w:rsidRPr="00DF55A6" w:rsidRDefault="00632A79" w:rsidP="00632A79">
      <w:pPr>
        <w:pStyle w:val="23"/>
        <w:spacing w:line="240" w:lineRule="auto"/>
        <w:ind w:left="40" w:right="40" w:firstLine="560"/>
        <w:jc w:val="both"/>
        <w:rPr>
          <w:sz w:val="24"/>
          <w:szCs w:val="24"/>
          <w:lang w:val="uk-UA"/>
        </w:rPr>
      </w:pPr>
      <w:r w:rsidRPr="00DF55A6">
        <w:rPr>
          <w:sz w:val="24"/>
          <w:szCs w:val="24"/>
          <w:lang w:val="uk-UA"/>
        </w:rPr>
        <w:t>Механізм дії тилозину полягає в блокуванні синтезу білків у бактеріальній клітині шляхом утворення комплексу з 50S-субодиницями рибосом.</w:t>
      </w:r>
    </w:p>
    <w:p w14:paraId="16F3EC2C" w14:textId="77777777" w:rsidR="00632A79" w:rsidRPr="00DF55A6" w:rsidRDefault="00632A79" w:rsidP="00632A79">
      <w:pPr>
        <w:pStyle w:val="23"/>
        <w:spacing w:line="240" w:lineRule="auto"/>
        <w:ind w:left="40" w:right="40" w:firstLine="560"/>
        <w:jc w:val="both"/>
        <w:rPr>
          <w:sz w:val="24"/>
          <w:szCs w:val="24"/>
          <w:lang w:val="uk-UA"/>
        </w:rPr>
      </w:pPr>
      <w:r w:rsidRPr="00DF55A6">
        <w:rPr>
          <w:sz w:val="24"/>
          <w:szCs w:val="24"/>
          <w:lang w:val="uk-UA"/>
        </w:rPr>
        <w:t xml:space="preserve">Після перорального застосування доксициклін добре всмоктується з травного каналу. Широко розподіляється в тканинах і рідинах організму. Половина застосованої дози абсорбується за 50 хвилин. </w:t>
      </w:r>
      <w:r w:rsidR="00792B04" w:rsidRPr="00DF55A6">
        <w:rPr>
          <w:sz w:val="24"/>
          <w:szCs w:val="24"/>
          <w:lang w:val="uk-UA"/>
        </w:rPr>
        <w:t>За</w:t>
      </w:r>
      <w:r w:rsidRPr="00DF55A6">
        <w:rPr>
          <w:sz w:val="24"/>
          <w:szCs w:val="24"/>
          <w:lang w:val="uk-UA"/>
        </w:rPr>
        <w:t xml:space="preserve"> застосуванн</w:t>
      </w:r>
      <w:r w:rsidR="00792B04" w:rsidRPr="00DF55A6">
        <w:rPr>
          <w:sz w:val="24"/>
          <w:szCs w:val="24"/>
          <w:lang w:val="uk-UA"/>
        </w:rPr>
        <w:t>я</w:t>
      </w:r>
      <w:r w:rsidRPr="00DF55A6">
        <w:rPr>
          <w:sz w:val="24"/>
          <w:szCs w:val="24"/>
          <w:lang w:val="uk-UA"/>
        </w:rPr>
        <w:t xml:space="preserve"> </w:t>
      </w:r>
      <w:r w:rsidR="00792B04" w:rsidRPr="00DF55A6">
        <w:rPr>
          <w:sz w:val="24"/>
          <w:szCs w:val="24"/>
          <w:lang w:val="uk-UA"/>
        </w:rPr>
        <w:t>доксицикліну</w:t>
      </w:r>
      <w:r w:rsidRPr="00DF55A6">
        <w:rPr>
          <w:sz w:val="24"/>
          <w:szCs w:val="24"/>
          <w:lang w:val="uk-UA"/>
        </w:rPr>
        <w:t xml:space="preserve"> разом із кормом, наявність останнього у кишечнику зменшує біодоступність доксицикліну на 20%. Період напіввиведення </w:t>
      </w:r>
      <w:r w:rsidR="00792B04" w:rsidRPr="00DF55A6">
        <w:rPr>
          <w:sz w:val="24"/>
          <w:szCs w:val="24"/>
          <w:lang w:val="uk-UA"/>
        </w:rPr>
        <w:t>його</w:t>
      </w:r>
      <w:r w:rsidRPr="00DF55A6">
        <w:rPr>
          <w:sz w:val="24"/>
          <w:szCs w:val="24"/>
          <w:lang w:val="uk-UA"/>
        </w:rPr>
        <w:t xml:space="preserve"> </w:t>
      </w:r>
      <w:r w:rsidR="00792B04" w:rsidRPr="00DF55A6">
        <w:rPr>
          <w:sz w:val="24"/>
          <w:szCs w:val="24"/>
          <w:lang w:val="uk-UA"/>
        </w:rPr>
        <w:t xml:space="preserve">у великої рогатої худоби становить  </w:t>
      </w:r>
      <w:r w:rsidRPr="00DF55A6">
        <w:rPr>
          <w:sz w:val="24"/>
          <w:szCs w:val="24"/>
          <w:lang w:val="uk-UA"/>
        </w:rPr>
        <w:t>4,3-9,7 години, 6,7 години – у свиней, 3,6 години – в овець</w:t>
      </w:r>
      <w:r w:rsidR="00792B04" w:rsidRPr="00DF55A6">
        <w:rPr>
          <w:sz w:val="24"/>
          <w:szCs w:val="24"/>
          <w:lang w:val="uk-UA"/>
        </w:rPr>
        <w:t xml:space="preserve"> та 4,8 години — у курчат</w:t>
      </w:r>
      <w:r w:rsidRPr="00DF55A6">
        <w:rPr>
          <w:sz w:val="24"/>
          <w:szCs w:val="24"/>
          <w:lang w:val="uk-UA"/>
        </w:rPr>
        <w:t>. Доксициклін проникає практично в усі органи та тканини, але найбільший його рівень спостерігається в легенях, печінці, жовчі, репродуктивних органах та нирках. У низьких концентраціях доксициклін виявляється у цереброспінальній рідині, але його концентрація не досягає терапевтичного рівня. Максимальна концентрація</w:t>
      </w:r>
      <w:r w:rsidR="00792B04" w:rsidRPr="00DF55A6">
        <w:rPr>
          <w:sz w:val="24"/>
          <w:szCs w:val="24"/>
          <w:lang w:val="uk-UA"/>
        </w:rPr>
        <w:t xml:space="preserve"> доксицикліну</w:t>
      </w:r>
      <w:r w:rsidR="00F74CD2" w:rsidRPr="00DF55A6">
        <w:rPr>
          <w:sz w:val="24"/>
          <w:szCs w:val="24"/>
          <w:lang w:val="uk-UA"/>
        </w:rPr>
        <w:t xml:space="preserve"> в крові тварин </w:t>
      </w:r>
      <w:r w:rsidRPr="00DF55A6">
        <w:rPr>
          <w:sz w:val="24"/>
          <w:szCs w:val="24"/>
          <w:lang w:val="uk-UA"/>
        </w:rPr>
        <w:t>виявляється через 2-4 години, а терапевтична концентрація утримується впродовж 18-24 годин. Виводиться доксициклін з організму, в основному, з жовчю.</w:t>
      </w:r>
    </w:p>
    <w:p w14:paraId="26B801B1" w14:textId="77777777" w:rsidR="00FB245A" w:rsidRDefault="00632A79" w:rsidP="00FB245A">
      <w:pPr>
        <w:pStyle w:val="32"/>
        <w:shd w:val="clear" w:color="auto" w:fill="auto"/>
        <w:ind w:left="40" w:right="40" w:firstLine="560"/>
        <w:rPr>
          <w:i w:val="0"/>
          <w:sz w:val="24"/>
          <w:szCs w:val="24"/>
          <w:lang w:val="uk-UA"/>
        </w:rPr>
      </w:pPr>
      <w:r w:rsidRPr="00DF55A6">
        <w:rPr>
          <w:i w:val="0"/>
          <w:sz w:val="24"/>
          <w:szCs w:val="24"/>
          <w:lang w:val="uk-UA"/>
        </w:rPr>
        <w:t xml:space="preserve">Максимальна концентрація тилозину у сироватці </w:t>
      </w:r>
      <w:r w:rsidR="00F74CD2" w:rsidRPr="00DF55A6">
        <w:rPr>
          <w:i w:val="0"/>
          <w:sz w:val="24"/>
          <w:szCs w:val="24"/>
          <w:lang w:val="uk-UA"/>
        </w:rPr>
        <w:t>крові тварин</w:t>
      </w:r>
      <w:r w:rsidRPr="00DF55A6">
        <w:rPr>
          <w:i w:val="0"/>
          <w:sz w:val="24"/>
          <w:szCs w:val="24"/>
          <w:lang w:val="uk-UA"/>
        </w:rPr>
        <w:t xml:space="preserve"> спостерігається через одну годину </w:t>
      </w:r>
      <w:r w:rsidR="00792B04" w:rsidRPr="00DF55A6">
        <w:rPr>
          <w:i w:val="0"/>
          <w:sz w:val="24"/>
          <w:szCs w:val="24"/>
          <w:lang w:val="uk-UA"/>
        </w:rPr>
        <w:t>після перорального застосування</w:t>
      </w:r>
      <w:r w:rsidRPr="00DF55A6">
        <w:rPr>
          <w:i w:val="0"/>
          <w:sz w:val="24"/>
          <w:szCs w:val="24"/>
          <w:lang w:val="uk-UA"/>
        </w:rPr>
        <w:t xml:space="preserve">. Терапевтична концентрація </w:t>
      </w:r>
      <w:r w:rsidR="00792B04" w:rsidRPr="00DF55A6">
        <w:rPr>
          <w:i w:val="0"/>
          <w:sz w:val="24"/>
          <w:szCs w:val="24"/>
          <w:lang w:val="uk-UA"/>
        </w:rPr>
        <w:t xml:space="preserve"> його </w:t>
      </w:r>
      <w:r w:rsidRPr="00DF55A6">
        <w:rPr>
          <w:i w:val="0"/>
          <w:sz w:val="24"/>
          <w:szCs w:val="24"/>
          <w:lang w:val="uk-UA"/>
        </w:rPr>
        <w:t>зберігається в організмі від 10 до 12 годин. Тилозин проникає практично у всі органи та тканини, але найбільший його рівень спостерігається у легенях, печінці, молочних залозах та нирках. Виводиться з організму у незміненому вигляді</w:t>
      </w:r>
      <w:r w:rsidRPr="006613E1">
        <w:rPr>
          <w:i w:val="0"/>
          <w:sz w:val="24"/>
          <w:szCs w:val="24"/>
          <w:lang w:val="uk-UA"/>
        </w:rPr>
        <w:t>, в основному, з жовчю та, частково, з сечею та з молоком.</w:t>
      </w:r>
    </w:p>
    <w:p w14:paraId="7C25B57E" w14:textId="77777777" w:rsidR="00632A79" w:rsidRPr="00792B04" w:rsidRDefault="00632A79" w:rsidP="00FB245A">
      <w:pPr>
        <w:pStyle w:val="32"/>
        <w:shd w:val="clear" w:color="auto" w:fill="auto"/>
        <w:ind w:left="40" w:right="40" w:firstLine="560"/>
        <w:rPr>
          <w:b/>
          <w:lang w:val="uk-UA"/>
        </w:rPr>
      </w:pPr>
      <w:r w:rsidRPr="00792B04">
        <w:rPr>
          <w:b/>
          <w:lang w:val="uk-UA"/>
        </w:rPr>
        <w:t>5.   Клінічні  особливості</w:t>
      </w:r>
    </w:p>
    <w:p w14:paraId="4DB0ACF1" w14:textId="77777777" w:rsidR="00632A79" w:rsidRPr="00792B04" w:rsidRDefault="00632A79" w:rsidP="00632A79">
      <w:pPr>
        <w:tabs>
          <w:tab w:val="left" w:pos="3600"/>
        </w:tabs>
        <w:ind w:firstLine="567"/>
        <w:jc w:val="both"/>
        <w:rPr>
          <w:b/>
          <w:lang w:val="uk-UA"/>
        </w:rPr>
      </w:pPr>
      <w:r w:rsidRPr="00792B04">
        <w:rPr>
          <w:b/>
          <w:lang w:val="uk-UA"/>
        </w:rPr>
        <w:lastRenderedPageBreak/>
        <w:t>5.1  Види  тварин:</w:t>
      </w:r>
      <w:r w:rsidRPr="00792B04">
        <w:rPr>
          <w:b/>
          <w:lang w:val="uk-UA"/>
        </w:rPr>
        <w:tab/>
      </w:r>
    </w:p>
    <w:p w14:paraId="0DE7714C" w14:textId="77777777" w:rsidR="00632A79" w:rsidRPr="00DF55A6" w:rsidRDefault="00792B04" w:rsidP="00632A79">
      <w:pPr>
        <w:ind w:firstLine="567"/>
        <w:jc w:val="both"/>
        <w:rPr>
          <w:lang w:val="uk-UA"/>
        </w:rPr>
      </w:pPr>
      <w:r w:rsidRPr="00DF55A6">
        <w:rPr>
          <w:lang w:val="uk-UA"/>
        </w:rPr>
        <w:t>Велика рогата худоба (т</w:t>
      </w:r>
      <w:r w:rsidR="00632A79" w:rsidRPr="00DF55A6">
        <w:rPr>
          <w:lang w:val="uk-UA"/>
        </w:rPr>
        <w:t>елята</w:t>
      </w:r>
      <w:r w:rsidR="00632A79" w:rsidRPr="00DF55A6">
        <w:rPr>
          <w:rStyle w:val="a8"/>
          <w:b/>
          <w:lang w:val="uk-UA"/>
        </w:rPr>
        <w:t xml:space="preserve"> </w:t>
      </w:r>
      <w:r w:rsidR="00632A79" w:rsidRPr="00DF55A6">
        <w:rPr>
          <w:lang w:val="uk-UA"/>
        </w:rPr>
        <w:t>віком від 4 до 8 тижнів</w:t>
      </w:r>
      <w:r w:rsidRPr="00DF55A6">
        <w:rPr>
          <w:lang w:val="uk-UA"/>
        </w:rPr>
        <w:t>)</w:t>
      </w:r>
      <w:r w:rsidR="00632A79" w:rsidRPr="00DF55A6">
        <w:rPr>
          <w:lang w:val="uk-UA"/>
        </w:rPr>
        <w:t>, свині, свійська птиця (курчата, кури-бройлери).</w:t>
      </w:r>
    </w:p>
    <w:p w14:paraId="02F218A0" w14:textId="77777777" w:rsidR="00632A79" w:rsidRPr="00DF55A6" w:rsidRDefault="00632A79" w:rsidP="00632A79">
      <w:pPr>
        <w:ind w:firstLine="567"/>
        <w:jc w:val="both"/>
        <w:rPr>
          <w:b/>
          <w:lang w:val="uk-UA"/>
        </w:rPr>
      </w:pPr>
      <w:r w:rsidRPr="00DF55A6">
        <w:rPr>
          <w:b/>
          <w:lang w:val="uk-UA"/>
        </w:rPr>
        <w:t>5.2  Показання  до  застосування</w:t>
      </w:r>
    </w:p>
    <w:p w14:paraId="1CA76574" w14:textId="77777777" w:rsidR="00632A79" w:rsidRPr="00DF55A6" w:rsidRDefault="00632A79" w:rsidP="00632A79">
      <w:pPr>
        <w:spacing w:line="278" w:lineRule="exact"/>
        <w:ind w:left="20" w:right="40" w:firstLine="560"/>
        <w:jc w:val="both"/>
        <w:rPr>
          <w:lang w:val="uk-UA"/>
        </w:rPr>
      </w:pPr>
      <w:r w:rsidRPr="00DF55A6">
        <w:rPr>
          <w:lang w:val="uk-UA"/>
        </w:rPr>
        <w:t xml:space="preserve">Телята віком від 4 до 8 тижнів, свині: лікування тварин, хворих на септицемію, а також </w:t>
      </w:r>
      <w:r w:rsidR="00F66F23" w:rsidRPr="00DF55A6">
        <w:rPr>
          <w:lang w:val="uk-UA"/>
        </w:rPr>
        <w:t>за</w:t>
      </w:r>
      <w:r w:rsidRPr="00DF55A6">
        <w:rPr>
          <w:lang w:val="uk-UA"/>
        </w:rPr>
        <w:t xml:space="preserve"> захворюван</w:t>
      </w:r>
      <w:r w:rsidR="00F66F23" w:rsidRPr="00DF55A6">
        <w:rPr>
          <w:lang w:val="uk-UA"/>
        </w:rPr>
        <w:t>ь</w:t>
      </w:r>
      <w:r w:rsidRPr="00DF55A6">
        <w:rPr>
          <w:lang w:val="uk-UA"/>
        </w:rPr>
        <w:t xml:space="preserve"> органів дихання (бронхопневмонія, ензоотична пневмонія, атрофічний риніт), травного каналу (колібацильоз, сальмонельоз), що спричинені мікроорганізмами, чутливими до доксицикліну та тилозину.</w:t>
      </w:r>
    </w:p>
    <w:p w14:paraId="5CEBD6E0" w14:textId="77777777" w:rsidR="00632A79" w:rsidRPr="00DF55A6" w:rsidRDefault="00632A79" w:rsidP="00632A79">
      <w:pPr>
        <w:ind w:firstLine="567"/>
        <w:jc w:val="both"/>
        <w:rPr>
          <w:lang w:val="uk-UA"/>
        </w:rPr>
      </w:pPr>
      <w:r w:rsidRPr="00DF55A6">
        <w:rPr>
          <w:lang w:val="uk-UA"/>
        </w:rPr>
        <w:t xml:space="preserve">Свійська птиця (курчата, кури-бройлери): лікування птиці, хворої на колібацильоз, сальмонельоз, хламідіоз, септицимію, а також </w:t>
      </w:r>
      <w:r w:rsidR="00F66F23" w:rsidRPr="00DF55A6">
        <w:rPr>
          <w:lang w:val="uk-UA"/>
        </w:rPr>
        <w:t xml:space="preserve">за захворювань </w:t>
      </w:r>
      <w:r w:rsidRPr="00DF55A6">
        <w:rPr>
          <w:lang w:val="uk-UA"/>
        </w:rPr>
        <w:t>органів дихання, що спричинені мікроорганізмами, чутливими до доксицикліну та тилозину.</w:t>
      </w:r>
    </w:p>
    <w:p w14:paraId="5E9F4802" w14:textId="77777777" w:rsidR="00632A79" w:rsidRPr="00DF55A6" w:rsidRDefault="00632A79" w:rsidP="00632A79">
      <w:pPr>
        <w:ind w:firstLine="567"/>
        <w:jc w:val="both"/>
        <w:rPr>
          <w:b/>
        </w:rPr>
      </w:pPr>
      <w:r w:rsidRPr="00DF55A6">
        <w:rPr>
          <w:b/>
        </w:rPr>
        <w:t>5.3  Протипоказання</w:t>
      </w:r>
    </w:p>
    <w:p w14:paraId="1F9A5F80" w14:textId="77777777" w:rsidR="00632A79" w:rsidRPr="00DF55A6" w:rsidRDefault="00632A79" w:rsidP="00632A79">
      <w:pPr>
        <w:pStyle w:val="Standard"/>
        <w:ind w:firstLine="567"/>
        <w:jc w:val="both"/>
        <w:rPr>
          <w:rFonts w:ascii="Times New Roman" w:hAnsi="Times New Roman"/>
          <w:szCs w:val="24"/>
          <w:lang w:val="uk-UA"/>
        </w:rPr>
      </w:pPr>
      <w:r w:rsidRPr="00DF55A6">
        <w:rPr>
          <w:rFonts w:ascii="Times New Roman" w:hAnsi="Times New Roman"/>
          <w:szCs w:val="24"/>
          <w:lang w:val="uk-UA"/>
        </w:rPr>
        <w:t>Підвищена індивідуальна чутливість до доксицикліну та тилозину</w:t>
      </w:r>
      <w:r w:rsidR="00F66F23" w:rsidRPr="00DF55A6">
        <w:rPr>
          <w:rFonts w:ascii="Times New Roman" w:hAnsi="Times New Roman"/>
          <w:szCs w:val="24"/>
          <w:lang w:val="uk-UA"/>
        </w:rPr>
        <w:t xml:space="preserve"> або до будь-яких з допоміжних речовин</w:t>
      </w:r>
      <w:r w:rsidRPr="00DF55A6">
        <w:rPr>
          <w:rFonts w:ascii="Times New Roman" w:hAnsi="Times New Roman"/>
          <w:szCs w:val="24"/>
          <w:lang w:val="uk-UA"/>
        </w:rPr>
        <w:t>.</w:t>
      </w:r>
    </w:p>
    <w:p w14:paraId="004E8520" w14:textId="77777777" w:rsidR="00632A79" w:rsidRPr="00DF55A6" w:rsidRDefault="00632A79" w:rsidP="00632A79">
      <w:pPr>
        <w:pStyle w:val="Style5"/>
        <w:spacing w:line="240" w:lineRule="auto"/>
        <w:ind w:firstLine="567"/>
        <w:rPr>
          <w:lang w:val="uk-UA"/>
        </w:rPr>
      </w:pPr>
      <w:r w:rsidRPr="00DF55A6">
        <w:rPr>
          <w:lang w:val="uk-UA"/>
        </w:rPr>
        <w:t>Не застосовувати курям-несучкам, яйця яких використовують для споживання людьми, а також жуйним тваринам з функціонально розвиненими передшлунками.</w:t>
      </w:r>
    </w:p>
    <w:p w14:paraId="5F55C503" w14:textId="77777777" w:rsidR="00632A79" w:rsidRPr="00DF55A6" w:rsidRDefault="00632A79" w:rsidP="00632A79">
      <w:pPr>
        <w:ind w:firstLine="567"/>
        <w:rPr>
          <w:snapToGrid w:val="0"/>
          <w:lang w:val="uk-UA"/>
        </w:rPr>
      </w:pPr>
      <w:r w:rsidRPr="00DF55A6">
        <w:rPr>
          <w:snapToGrid w:val="0"/>
          <w:lang w:val="uk-UA"/>
        </w:rPr>
        <w:t xml:space="preserve">Не призначати тваринам із порушенням функції печінки та нирок. </w:t>
      </w:r>
    </w:p>
    <w:p w14:paraId="7873DA41" w14:textId="77777777" w:rsidR="00632A79" w:rsidRPr="00DF55A6" w:rsidRDefault="00F66F23" w:rsidP="00632A79">
      <w:pPr>
        <w:ind w:left="20" w:right="40" w:firstLine="560"/>
        <w:jc w:val="both"/>
        <w:rPr>
          <w:lang w:val="uk-UA"/>
        </w:rPr>
      </w:pPr>
      <w:r w:rsidRPr="00DF55A6">
        <w:rPr>
          <w:lang w:val="uk-UA"/>
        </w:rPr>
        <w:t xml:space="preserve">Не призначати одночасно з пеніцилінами, цефалоспоринами, хінолонами </w:t>
      </w:r>
      <w:r w:rsidR="00632A79" w:rsidRPr="00DF55A6">
        <w:rPr>
          <w:lang w:val="uk-UA"/>
        </w:rPr>
        <w:t>та лінкоміцином, оскільки при цьому знижується антибактеріальний ефект.</w:t>
      </w:r>
    </w:p>
    <w:p w14:paraId="0F88F9DC" w14:textId="77777777" w:rsidR="00632A79" w:rsidRPr="00DF55A6" w:rsidRDefault="00632A79" w:rsidP="00632A79">
      <w:pPr>
        <w:pStyle w:val="Style5"/>
        <w:widowControl/>
        <w:spacing w:line="240" w:lineRule="auto"/>
        <w:ind w:firstLine="567"/>
        <w:rPr>
          <w:lang w:val="uk-UA"/>
        </w:rPr>
      </w:pPr>
      <w:r w:rsidRPr="00DF55A6">
        <w:rPr>
          <w:lang w:val="uk-UA"/>
        </w:rPr>
        <w:t>Не застосовувати одночасно з нестероїдними протизапальними засобами.</w:t>
      </w:r>
    </w:p>
    <w:p w14:paraId="14E62559" w14:textId="77777777" w:rsidR="00F74CD2" w:rsidRPr="001B714C" w:rsidRDefault="00F74CD2" w:rsidP="00632A79">
      <w:pPr>
        <w:pStyle w:val="Style5"/>
        <w:widowControl/>
        <w:spacing w:line="240" w:lineRule="auto"/>
        <w:ind w:firstLine="567"/>
      </w:pPr>
      <w:r w:rsidRPr="00DF55A6">
        <w:t>Не застосовувати тваринам для профілактики та у випадках прямої чи перехресної резистентності мікроорганізмів.</w:t>
      </w:r>
    </w:p>
    <w:p w14:paraId="5C337231" w14:textId="77777777" w:rsidR="00632A79" w:rsidRPr="00772F7D" w:rsidRDefault="00632A79" w:rsidP="00632A79">
      <w:pPr>
        <w:pStyle w:val="a6"/>
        <w:spacing w:after="0"/>
        <w:ind w:left="0" w:firstLine="567"/>
        <w:jc w:val="both"/>
        <w:rPr>
          <w:b/>
          <w:lang w:val="uk-UA"/>
        </w:rPr>
      </w:pPr>
      <w:r w:rsidRPr="001B714C">
        <w:rPr>
          <w:b/>
          <w:lang w:val="uk-UA"/>
        </w:rPr>
        <w:t>5.4</w:t>
      </w:r>
      <w:bookmarkStart w:id="0" w:name="_GoBack"/>
      <w:bookmarkEnd w:id="0"/>
      <w:r w:rsidRPr="001B714C">
        <w:rPr>
          <w:b/>
          <w:lang w:val="uk-UA"/>
        </w:rPr>
        <w:t xml:space="preserve">  Побічна дія</w:t>
      </w:r>
    </w:p>
    <w:p w14:paraId="3CB097BE" w14:textId="77777777" w:rsidR="00632A79" w:rsidRPr="00DF55A6" w:rsidRDefault="00632A79" w:rsidP="00632A79">
      <w:pPr>
        <w:spacing w:line="278" w:lineRule="exact"/>
        <w:ind w:left="20" w:right="40" w:firstLine="560"/>
        <w:jc w:val="both"/>
      </w:pPr>
      <w:r w:rsidRPr="00DF55A6">
        <w:rPr>
          <w:lang w:val="uk-UA"/>
        </w:rPr>
        <w:t xml:space="preserve">В окремих випадках (у чутливих до тетрациклінів та тилозину тварин) можливі алергічні явища (висипання на шкірі, свербіж та набряки). </w:t>
      </w:r>
      <w:r w:rsidR="00F66F23" w:rsidRPr="00DF55A6">
        <w:rPr>
          <w:lang w:val="uk-UA"/>
        </w:rPr>
        <w:t>За</w:t>
      </w:r>
      <w:r w:rsidRPr="00DF55A6">
        <w:t xml:space="preserve"> їх виникненн</w:t>
      </w:r>
      <w:r w:rsidR="00F66F23" w:rsidRPr="00DF55A6">
        <w:rPr>
          <w:lang w:val="uk-UA"/>
        </w:rPr>
        <w:t>я</w:t>
      </w:r>
      <w:r w:rsidRPr="00DF55A6">
        <w:t xml:space="preserve"> застосування препарату припиняють та призначають десенсибілізуючу терапію.</w:t>
      </w:r>
    </w:p>
    <w:p w14:paraId="5DBA3AF9" w14:textId="77777777" w:rsidR="00632A79" w:rsidRPr="00DF55A6" w:rsidRDefault="00632A79" w:rsidP="00632A79">
      <w:pPr>
        <w:pStyle w:val="a6"/>
        <w:spacing w:after="0" w:line="0" w:lineRule="atLeast"/>
        <w:ind w:left="0" w:firstLine="567"/>
        <w:jc w:val="both"/>
        <w:rPr>
          <w:lang w:val="uk-UA"/>
        </w:rPr>
      </w:pPr>
      <w:r w:rsidRPr="00DF55A6">
        <w:rPr>
          <w:lang w:val="uk-UA"/>
        </w:rPr>
        <w:t xml:space="preserve">У молодих тварин препарат може </w:t>
      </w:r>
      <w:r w:rsidR="00F66F23" w:rsidRPr="00DF55A6">
        <w:rPr>
          <w:lang w:val="uk-UA"/>
        </w:rPr>
        <w:t>спричинити</w:t>
      </w:r>
      <w:r w:rsidRPr="00DF55A6">
        <w:rPr>
          <w:lang w:val="uk-UA"/>
        </w:rPr>
        <w:t xml:space="preserve"> зміну кольору кісток та зубів на жовтий, коричневий або сірий.</w:t>
      </w:r>
    </w:p>
    <w:p w14:paraId="4C755253" w14:textId="77777777" w:rsidR="00632A79" w:rsidRPr="00DF55A6" w:rsidRDefault="00632A79" w:rsidP="00632A79">
      <w:pPr>
        <w:pStyle w:val="a6"/>
        <w:spacing w:after="0" w:line="0" w:lineRule="atLeast"/>
        <w:ind w:left="0" w:firstLine="567"/>
        <w:jc w:val="both"/>
        <w:rPr>
          <w:lang w:val="uk-UA"/>
        </w:rPr>
      </w:pPr>
      <w:r w:rsidRPr="00DF55A6">
        <w:rPr>
          <w:lang w:val="uk-UA"/>
        </w:rPr>
        <w:t>Великі дози та тривале застосування може затримати ріст кісток.</w:t>
      </w:r>
    </w:p>
    <w:p w14:paraId="4BE41B42" w14:textId="77777777" w:rsidR="00632A79" w:rsidRPr="00DF55A6" w:rsidRDefault="00632A79" w:rsidP="00632A79">
      <w:pPr>
        <w:pStyle w:val="a6"/>
        <w:spacing w:after="0"/>
        <w:ind w:left="0" w:firstLine="567"/>
        <w:jc w:val="both"/>
        <w:rPr>
          <w:lang w:val="uk-UA"/>
        </w:rPr>
      </w:pPr>
      <w:r w:rsidRPr="00DF55A6">
        <w:rPr>
          <w:lang w:val="uk-UA"/>
        </w:rPr>
        <w:t>Препарат може викликати фотосенсибілізацію та гепатотоксичний ефект.</w:t>
      </w:r>
    </w:p>
    <w:p w14:paraId="08F69C68" w14:textId="77777777" w:rsidR="00632A79" w:rsidRPr="00DF55A6" w:rsidRDefault="00632A79" w:rsidP="00632A79">
      <w:pPr>
        <w:pStyle w:val="a6"/>
        <w:spacing w:after="0"/>
        <w:ind w:left="0" w:firstLine="567"/>
        <w:jc w:val="both"/>
        <w:rPr>
          <w:b/>
          <w:lang w:val="uk-UA"/>
        </w:rPr>
      </w:pPr>
      <w:r w:rsidRPr="00DF55A6">
        <w:rPr>
          <w:b/>
          <w:lang w:val="uk-UA"/>
        </w:rPr>
        <w:t>5.5 Особливі  застереження  при  застосуванні</w:t>
      </w:r>
    </w:p>
    <w:p w14:paraId="77DAE4B2" w14:textId="77777777" w:rsidR="00632A79" w:rsidRPr="00DF55A6" w:rsidRDefault="00632A79" w:rsidP="00632A79">
      <w:pPr>
        <w:pStyle w:val="a6"/>
        <w:spacing w:after="0"/>
        <w:ind w:left="0" w:firstLine="567"/>
        <w:jc w:val="both"/>
        <w:rPr>
          <w:lang w:val="uk-UA"/>
        </w:rPr>
      </w:pPr>
      <w:r w:rsidRPr="00DF55A6">
        <w:rPr>
          <w:lang w:val="uk-UA"/>
        </w:rPr>
        <w:t>Необхідно чітко дотримуватись рекомендацій, що зазначені у листівці-вкладці. Тварин, що піддають лікуванню не утримувати на сонці.</w:t>
      </w:r>
    </w:p>
    <w:p w14:paraId="2384733B" w14:textId="77777777" w:rsidR="00F66F23" w:rsidRPr="00DF55A6" w:rsidRDefault="00F66F23" w:rsidP="00F66F23">
      <w:pPr>
        <w:ind w:firstLine="567"/>
        <w:jc w:val="both"/>
        <w:rPr>
          <w:b/>
          <w:lang w:val="uk-UA"/>
        </w:rPr>
      </w:pPr>
      <w:r w:rsidRPr="00DF55A6">
        <w:rPr>
          <w:lang w:val="uk-UA"/>
        </w:rPr>
        <w:t>Перед застосуванням препарату рекомендовано провести тест на чутливість мікроорганізмів, виділених від хворих тварин, до доксицикліну та тилозину.</w:t>
      </w:r>
    </w:p>
    <w:p w14:paraId="2B456DEF" w14:textId="77777777" w:rsidR="00632A79" w:rsidRPr="00DF55A6" w:rsidRDefault="00632A79" w:rsidP="00632A79">
      <w:pPr>
        <w:pStyle w:val="a6"/>
        <w:spacing w:after="0"/>
        <w:ind w:left="0" w:firstLine="567"/>
        <w:jc w:val="both"/>
        <w:rPr>
          <w:b/>
          <w:lang w:val="uk-UA"/>
        </w:rPr>
      </w:pPr>
      <w:r w:rsidRPr="00DF55A6">
        <w:rPr>
          <w:b/>
          <w:lang w:val="uk-UA"/>
        </w:rPr>
        <w:t>5.6 Застосування  під  час  вагітності , лактації, несучості</w:t>
      </w:r>
    </w:p>
    <w:p w14:paraId="219738F3" w14:textId="77777777" w:rsidR="00632A79" w:rsidRPr="00DF55A6" w:rsidRDefault="00632A79" w:rsidP="00632A79">
      <w:pPr>
        <w:ind w:firstLine="567"/>
        <w:jc w:val="both"/>
        <w:rPr>
          <w:lang w:eastAsia="en-US"/>
        </w:rPr>
      </w:pPr>
      <w:r w:rsidRPr="00DF55A6">
        <w:rPr>
          <w:color w:val="000000"/>
          <w:lang w:eastAsia="en-US"/>
        </w:rPr>
        <w:t>Вагітним тваринам препарат не рекомендується до застосування, у зв’язку з можливою тератогенною дією, затримкою розвитку скелетних тканин у ембріону та зміною кольору молочних зубів</w:t>
      </w:r>
      <w:r w:rsidR="00F522AC" w:rsidRPr="00DF55A6">
        <w:rPr>
          <w:lang w:val="uk-UA"/>
        </w:rPr>
        <w:t xml:space="preserve">  Препарат використовують лише відповідно до оцінки співвідношення користь/ризик лікарем ветеринарної медицини. </w:t>
      </w:r>
      <w:r w:rsidRPr="00DF55A6">
        <w:rPr>
          <w:color w:val="000000"/>
          <w:lang w:eastAsia="en-US"/>
        </w:rPr>
        <w:t xml:space="preserve"> </w:t>
      </w:r>
    </w:p>
    <w:p w14:paraId="417094EC" w14:textId="77777777" w:rsidR="00632A79" w:rsidRPr="00DF55A6" w:rsidRDefault="00632A79" w:rsidP="00632A79">
      <w:pPr>
        <w:ind w:firstLine="567"/>
        <w:jc w:val="both"/>
        <w:rPr>
          <w:lang w:eastAsia="en-US"/>
        </w:rPr>
      </w:pPr>
      <w:r w:rsidRPr="00DF55A6">
        <w:rPr>
          <w:color w:val="000000"/>
          <w:lang w:eastAsia="en-US"/>
        </w:rPr>
        <w:t>Не застосовувати курям–несучкам, яйця яких використовують для споживання людьми.</w:t>
      </w:r>
    </w:p>
    <w:p w14:paraId="170E08FD" w14:textId="77777777" w:rsidR="00632A79" w:rsidRPr="00DF55A6" w:rsidRDefault="00632A79" w:rsidP="00632A79">
      <w:pPr>
        <w:pStyle w:val="a6"/>
        <w:spacing w:after="0"/>
        <w:ind w:left="0" w:firstLine="567"/>
        <w:jc w:val="both"/>
        <w:rPr>
          <w:lang w:val="uk-UA"/>
        </w:rPr>
      </w:pPr>
      <w:r w:rsidRPr="00DF55A6">
        <w:rPr>
          <w:b/>
          <w:lang w:val="uk-UA"/>
        </w:rPr>
        <w:t>5.7 Взаємодія  з  іншими  засобами  та  інші  форми  взаємодії</w:t>
      </w:r>
    </w:p>
    <w:p w14:paraId="107B90EE" w14:textId="77777777" w:rsidR="00632A79" w:rsidRPr="00DF55A6" w:rsidRDefault="00F522AC" w:rsidP="00632A79">
      <w:pPr>
        <w:ind w:left="20" w:right="40" w:firstLine="560"/>
        <w:jc w:val="both"/>
        <w:rPr>
          <w:lang w:eastAsia="en-US"/>
        </w:rPr>
      </w:pPr>
      <w:r w:rsidRPr="00DF55A6">
        <w:rPr>
          <w:lang w:val="uk-UA"/>
        </w:rPr>
        <w:t>Не призначати одночасно з пеніцилінами, цефалоспоринами, хінолонами та лінкоміцином, оскільки при цьому знижується антибактеріальний ефект.</w:t>
      </w:r>
    </w:p>
    <w:p w14:paraId="6F73A4B8" w14:textId="77777777" w:rsidR="00632A79" w:rsidRPr="00DF55A6" w:rsidRDefault="00632A79" w:rsidP="00632A79">
      <w:pPr>
        <w:ind w:left="20" w:right="40" w:firstLine="560"/>
        <w:jc w:val="both"/>
        <w:rPr>
          <w:lang w:eastAsia="en-US"/>
        </w:rPr>
      </w:pPr>
      <w:r w:rsidRPr="00DF55A6">
        <w:rPr>
          <w:color w:val="000000"/>
          <w:lang w:eastAsia="en-US"/>
        </w:rPr>
        <w:t>Не застосовувати одночасно з нестероїдними протизапальними засобами.</w:t>
      </w:r>
    </w:p>
    <w:p w14:paraId="428311C4" w14:textId="77777777" w:rsidR="00632A79" w:rsidRPr="00C22B11" w:rsidRDefault="009A78D9" w:rsidP="00632A79">
      <w:pPr>
        <w:ind w:firstLine="567"/>
        <w:jc w:val="both"/>
        <w:rPr>
          <w:lang w:eastAsia="en-US"/>
        </w:rPr>
      </w:pPr>
      <w:r w:rsidRPr="00DF55A6">
        <w:rPr>
          <w:color w:val="000000"/>
          <w:lang w:val="uk-UA" w:eastAsia="en-US"/>
        </w:rPr>
        <w:t xml:space="preserve">За одночасного застосування з препаратами, що містять у своєму складі дво- та тривалентні катіони, такі як </w:t>
      </w:r>
      <w:r w:rsidRPr="00DF55A6">
        <w:rPr>
          <w:color w:val="000000"/>
          <w:lang w:val="en-US" w:eastAsia="en-US"/>
        </w:rPr>
        <w:t>Mg</w:t>
      </w:r>
      <w:r w:rsidRPr="00DF55A6">
        <w:rPr>
          <w:color w:val="000000"/>
          <w:vertAlign w:val="superscript"/>
          <w:lang w:val="uk-UA" w:eastAsia="en-US"/>
        </w:rPr>
        <w:t>2+</w:t>
      </w:r>
      <w:r w:rsidRPr="00DF55A6">
        <w:rPr>
          <w:color w:val="000000"/>
          <w:lang w:val="uk-UA" w:eastAsia="en-US"/>
        </w:rPr>
        <w:t xml:space="preserve">, </w:t>
      </w:r>
      <w:r w:rsidRPr="00DF55A6">
        <w:rPr>
          <w:color w:val="000000"/>
          <w:lang w:val="en-US" w:eastAsia="en-US"/>
        </w:rPr>
        <w:t>Al</w:t>
      </w:r>
      <w:r w:rsidRPr="00DF55A6">
        <w:rPr>
          <w:color w:val="000000"/>
          <w:vertAlign w:val="superscript"/>
          <w:lang w:val="uk-UA" w:eastAsia="en-US"/>
        </w:rPr>
        <w:t>3+</w:t>
      </w:r>
      <w:r w:rsidRPr="00DF55A6">
        <w:rPr>
          <w:color w:val="000000"/>
          <w:lang w:val="uk-UA" w:eastAsia="en-US"/>
        </w:rPr>
        <w:t xml:space="preserve">, </w:t>
      </w:r>
      <w:r w:rsidRPr="00DF55A6">
        <w:rPr>
          <w:color w:val="000000"/>
          <w:lang w:val="en-US" w:eastAsia="en-US"/>
        </w:rPr>
        <w:t>Ca</w:t>
      </w:r>
      <w:r w:rsidRPr="00DF55A6">
        <w:rPr>
          <w:color w:val="000000"/>
          <w:vertAlign w:val="superscript"/>
          <w:lang w:val="uk-UA" w:eastAsia="en-US"/>
        </w:rPr>
        <w:t>2+</w:t>
      </w:r>
      <w:r w:rsidRPr="00DF55A6">
        <w:rPr>
          <w:color w:val="000000"/>
          <w:lang w:val="uk-UA" w:eastAsia="en-US"/>
        </w:rPr>
        <w:t xml:space="preserve">, </w:t>
      </w:r>
      <w:r w:rsidRPr="00DF55A6">
        <w:rPr>
          <w:color w:val="000000"/>
          <w:lang w:val="en-US" w:eastAsia="en-US"/>
        </w:rPr>
        <w:t>Zn</w:t>
      </w:r>
      <w:r w:rsidRPr="00DF55A6">
        <w:rPr>
          <w:color w:val="000000"/>
          <w:vertAlign w:val="superscript"/>
          <w:lang w:val="uk-UA" w:eastAsia="en-US"/>
        </w:rPr>
        <w:t>2+</w:t>
      </w:r>
      <w:r w:rsidRPr="00DF55A6">
        <w:rPr>
          <w:color w:val="000000"/>
          <w:lang w:val="uk-UA" w:eastAsia="en-US"/>
        </w:rPr>
        <w:t xml:space="preserve">, </w:t>
      </w:r>
      <w:r w:rsidRPr="00DF55A6">
        <w:rPr>
          <w:color w:val="000000"/>
          <w:lang w:val="en-US" w:eastAsia="en-US"/>
        </w:rPr>
        <w:t>Bi</w:t>
      </w:r>
      <w:r w:rsidRPr="00DF55A6">
        <w:rPr>
          <w:color w:val="000000"/>
          <w:vertAlign w:val="superscript"/>
          <w:lang w:val="uk-UA" w:eastAsia="en-US"/>
        </w:rPr>
        <w:t>2+</w:t>
      </w:r>
      <w:r w:rsidRPr="00DF55A6">
        <w:rPr>
          <w:color w:val="000000"/>
          <w:lang w:val="uk-UA" w:eastAsia="en-US"/>
        </w:rPr>
        <w:t xml:space="preserve">, </w:t>
      </w:r>
      <w:r w:rsidRPr="00DF55A6">
        <w:rPr>
          <w:color w:val="000000"/>
          <w:lang w:val="en-US" w:eastAsia="en-US"/>
        </w:rPr>
        <w:t>Fe</w:t>
      </w:r>
      <w:r w:rsidRPr="00DF55A6">
        <w:rPr>
          <w:color w:val="000000"/>
          <w:vertAlign w:val="superscript"/>
          <w:lang w:val="uk-UA" w:eastAsia="en-US"/>
        </w:rPr>
        <w:t>3+</w:t>
      </w:r>
      <w:r w:rsidRPr="00DF55A6">
        <w:rPr>
          <w:color w:val="000000"/>
          <w:lang w:val="uk-UA" w:eastAsia="en-US"/>
        </w:rPr>
        <w:t>, останні можуть зв’язуватись з доксицикліном та перешкоджати його абсорбції. За одночасного застосування</w:t>
      </w:r>
      <w:r w:rsidRPr="00DF55A6">
        <w:rPr>
          <w:color w:val="000000"/>
          <w:lang w:eastAsia="en-US"/>
        </w:rPr>
        <w:t xml:space="preserve"> одночасно з антацидами, каоліном.</w:t>
      </w:r>
      <w:r w:rsidRPr="00DF55A6">
        <w:rPr>
          <w:color w:val="000000"/>
          <w:lang w:val="en-US" w:eastAsia="en-US"/>
        </w:rPr>
        <w:t> </w:t>
      </w:r>
      <w:r w:rsidRPr="00DF55A6">
        <w:rPr>
          <w:color w:val="000000"/>
          <w:lang w:val="uk-UA" w:eastAsia="en-US"/>
        </w:rPr>
        <w:t>За одночасного застосування</w:t>
      </w:r>
      <w:r w:rsidRPr="00DF55A6">
        <w:rPr>
          <w:color w:val="000000"/>
          <w:lang w:eastAsia="en-US"/>
        </w:rPr>
        <w:t xml:space="preserve"> з антикоагулянтами необхідна корекція доз останніх, оскільки препарат пригнічує активність протромбіну плазми.</w:t>
      </w:r>
    </w:p>
    <w:p w14:paraId="394D6DD6" w14:textId="77777777" w:rsidR="00632A79" w:rsidRPr="00772F7D" w:rsidRDefault="00632A79" w:rsidP="00632A79">
      <w:pPr>
        <w:pStyle w:val="a6"/>
        <w:spacing w:after="0"/>
        <w:ind w:left="0" w:firstLine="567"/>
        <w:jc w:val="both"/>
        <w:rPr>
          <w:b/>
          <w:lang w:val="uk-UA"/>
        </w:rPr>
      </w:pPr>
      <w:r w:rsidRPr="00772F7D">
        <w:rPr>
          <w:b/>
          <w:lang w:val="uk-UA"/>
        </w:rPr>
        <w:t>5.8 Дози і способи введення тваринам різного віку</w:t>
      </w:r>
    </w:p>
    <w:p w14:paraId="6A7B7837" w14:textId="77777777" w:rsidR="00632A79" w:rsidRPr="00DF55A6" w:rsidRDefault="00632A79" w:rsidP="00632A79">
      <w:pPr>
        <w:ind w:left="20" w:firstLine="560"/>
        <w:jc w:val="both"/>
        <w:rPr>
          <w:lang w:eastAsia="en-US"/>
        </w:rPr>
      </w:pPr>
      <w:r w:rsidRPr="00DF55A6">
        <w:rPr>
          <w:lang w:eastAsia="en-US"/>
        </w:rPr>
        <w:lastRenderedPageBreak/>
        <w:t>Перорально з питною водою або кормом у дозах:</w:t>
      </w:r>
    </w:p>
    <w:p w14:paraId="1DBFCF24" w14:textId="77777777" w:rsidR="00632A79" w:rsidRPr="00DF55A6" w:rsidRDefault="00632A79" w:rsidP="00632A79">
      <w:pPr>
        <w:ind w:left="20" w:firstLine="560"/>
        <w:jc w:val="both"/>
        <w:rPr>
          <w:lang w:eastAsia="en-US"/>
        </w:rPr>
      </w:pPr>
      <w:r w:rsidRPr="00DF55A6">
        <w:rPr>
          <w:lang w:eastAsia="en-US"/>
        </w:rPr>
        <w:t>свині – 1 г препарату</w:t>
      </w:r>
      <w:r w:rsidRPr="00DF55A6">
        <w:rPr>
          <w:lang w:val="en-US" w:eastAsia="en-US"/>
        </w:rPr>
        <w:t> </w:t>
      </w:r>
      <w:r w:rsidRPr="00DF55A6">
        <w:rPr>
          <w:lang w:eastAsia="en-US"/>
        </w:rPr>
        <w:t xml:space="preserve"> (</w:t>
      </w:r>
      <w:r w:rsidR="00F522AC" w:rsidRPr="00DF55A6">
        <w:rPr>
          <w:lang w:val="uk-UA" w:eastAsia="en-US"/>
        </w:rPr>
        <w:t xml:space="preserve">що еквівалентно </w:t>
      </w:r>
      <w:r w:rsidRPr="00DF55A6">
        <w:rPr>
          <w:lang w:eastAsia="en-US"/>
        </w:rPr>
        <w:t>100 мг доксицикліну гіклату та 100 мг тилозину тартрату)</w:t>
      </w:r>
      <w:r w:rsidRPr="00DF55A6">
        <w:rPr>
          <w:lang w:val="en-US" w:eastAsia="en-US"/>
        </w:rPr>
        <w:t> </w:t>
      </w:r>
      <w:r w:rsidRPr="00DF55A6">
        <w:rPr>
          <w:lang w:eastAsia="en-US"/>
        </w:rPr>
        <w:t>на 1</w:t>
      </w:r>
      <w:r w:rsidRPr="00DF55A6">
        <w:rPr>
          <w:lang w:val="en-US" w:eastAsia="en-US"/>
        </w:rPr>
        <w:t> </w:t>
      </w:r>
      <w:r w:rsidRPr="00DF55A6">
        <w:rPr>
          <w:lang w:eastAsia="en-US"/>
        </w:rPr>
        <w:t>л питної води щодобово протягом 3-5 діб або 1</w:t>
      </w:r>
      <w:r w:rsidRPr="00DF55A6">
        <w:rPr>
          <w:lang w:val="en-US" w:eastAsia="en-US"/>
        </w:rPr>
        <w:t> </w:t>
      </w:r>
      <w:r w:rsidRPr="00DF55A6">
        <w:rPr>
          <w:lang w:eastAsia="en-US"/>
        </w:rPr>
        <w:t xml:space="preserve">г на 10 кг маси тіла </w:t>
      </w:r>
      <w:r w:rsidR="00F522AC" w:rsidRPr="00DF55A6">
        <w:rPr>
          <w:lang w:val="uk-UA" w:eastAsia="en-US"/>
        </w:rPr>
        <w:t>(</w:t>
      </w:r>
      <w:r w:rsidRPr="00DF55A6">
        <w:rPr>
          <w:lang w:eastAsia="en-US"/>
        </w:rPr>
        <w:t>що відповідає 10 мг доксицикліну гіклату та 10 мг тилозину тартрату на 1 кг маси тіла тварини);</w:t>
      </w:r>
    </w:p>
    <w:p w14:paraId="627A66E7" w14:textId="77777777" w:rsidR="00632A79" w:rsidRPr="00DF55A6" w:rsidRDefault="00632A79" w:rsidP="00632A79">
      <w:pPr>
        <w:ind w:left="20" w:right="40" w:firstLine="560"/>
        <w:jc w:val="both"/>
        <w:rPr>
          <w:lang w:eastAsia="en-US"/>
        </w:rPr>
      </w:pPr>
      <w:r w:rsidRPr="00DF55A6">
        <w:rPr>
          <w:lang w:eastAsia="en-US"/>
        </w:rPr>
        <w:t>телята віком від 4 до 8 тижнів – 1 г препарату (</w:t>
      </w:r>
      <w:r w:rsidR="00F522AC" w:rsidRPr="00DF55A6">
        <w:rPr>
          <w:lang w:val="uk-UA" w:eastAsia="en-US"/>
        </w:rPr>
        <w:t xml:space="preserve">що еквівалентно </w:t>
      </w:r>
      <w:r w:rsidRPr="00DF55A6">
        <w:rPr>
          <w:lang w:eastAsia="en-US"/>
        </w:rPr>
        <w:t>100 мг доксицикліну гіклату та 100 мг тилозину тартрату) на 10 кг маси тіла тварини один раз на добу протягом 3-5 діб.</w:t>
      </w:r>
    </w:p>
    <w:p w14:paraId="0CCA890F" w14:textId="77777777" w:rsidR="00632A79" w:rsidRPr="00DF55A6" w:rsidRDefault="00632A79" w:rsidP="00632A79">
      <w:pPr>
        <w:ind w:left="20" w:firstLine="560"/>
        <w:jc w:val="both"/>
        <w:rPr>
          <w:lang w:eastAsia="en-US"/>
        </w:rPr>
      </w:pPr>
      <w:r w:rsidRPr="00DF55A6">
        <w:rPr>
          <w:lang w:eastAsia="en-US"/>
        </w:rPr>
        <w:t>свійська птиця (курчата, кури-бройлери) – 1 г препарату</w:t>
      </w:r>
      <w:r w:rsidRPr="00DF55A6">
        <w:rPr>
          <w:lang w:val="en-US" w:eastAsia="en-US"/>
        </w:rPr>
        <w:t> </w:t>
      </w:r>
      <w:r w:rsidRPr="00DF55A6">
        <w:rPr>
          <w:lang w:eastAsia="en-US"/>
        </w:rPr>
        <w:t>(</w:t>
      </w:r>
      <w:r w:rsidR="00F522AC" w:rsidRPr="00DF55A6">
        <w:rPr>
          <w:lang w:val="uk-UA" w:eastAsia="en-US"/>
        </w:rPr>
        <w:t xml:space="preserve">що еквівалентно </w:t>
      </w:r>
      <w:r w:rsidRPr="00DF55A6">
        <w:rPr>
          <w:lang w:eastAsia="en-US"/>
        </w:rPr>
        <w:t>100 мг доксицикліну гіклату та 100 мг тилозину тартрату)</w:t>
      </w:r>
      <w:r w:rsidRPr="00DF55A6">
        <w:rPr>
          <w:lang w:val="en-US" w:eastAsia="en-US"/>
        </w:rPr>
        <w:t> </w:t>
      </w:r>
      <w:r w:rsidRPr="00DF55A6">
        <w:rPr>
          <w:lang w:eastAsia="en-US"/>
        </w:rPr>
        <w:t>на 1</w:t>
      </w:r>
      <w:r w:rsidR="00F522AC" w:rsidRPr="00DF55A6">
        <w:rPr>
          <w:lang w:val="uk-UA" w:eastAsia="en-US"/>
        </w:rPr>
        <w:t xml:space="preserve"> </w:t>
      </w:r>
      <w:r w:rsidRPr="00DF55A6">
        <w:rPr>
          <w:lang w:eastAsia="en-US"/>
        </w:rPr>
        <w:t>л питної води щодобово протягом 3-5</w:t>
      </w:r>
      <w:r w:rsidRPr="00DF55A6">
        <w:rPr>
          <w:lang w:val="en-US" w:eastAsia="en-US"/>
        </w:rPr>
        <w:t> </w:t>
      </w:r>
      <w:r w:rsidRPr="00DF55A6">
        <w:rPr>
          <w:lang w:eastAsia="en-US"/>
        </w:rPr>
        <w:t>діб.</w:t>
      </w:r>
    </w:p>
    <w:p w14:paraId="50F8AF75" w14:textId="77777777" w:rsidR="00632A79" w:rsidRPr="00DF55A6" w:rsidRDefault="00632A79" w:rsidP="00632A79">
      <w:pPr>
        <w:ind w:firstLine="567"/>
        <w:jc w:val="both"/>
        <w:rPr>
          <w:lang w:eastAsia="en-US"/>
        </w:rPr>
      </w:pPr>
      <w:r w:rsidRPr="00DF55A6">
        <w:rPr>
          <w:lang w:eastAsia="en-US"/>
        </w:rPr>
        <w:t>Залежно від важкості захворювання першу дозу препарату можна збільшити в 2 рази</w:t>
      </w:r>
      <w:r w:rsidR="00F522AC" w:rsidRPr="00DF55A6">
        <w:rPr>
          <w:lang w:val="uk-UA" w:eastAsia="en-US"/>
        </w:rPr>
        <w:t xml:space="preserve"> за рішенням лікаря ветеринарної медицини</w:t>
      </w:r>
      <w:r w:rsidRPr="00DF55A6">
        <w:rPr>
          <w:lang w:eastAsia="en-US"/>
        </w:rPr>
        <w:t>.</w:t>
      </w:r>
    </w:p>
    <w:p w14:paraId="6F6FFF61" w14:textId="77777777" w:rsidR="00632A79" w:rsidRPr="00C22B11" w:rsidRDefault="00632A79" w:rsidP="00632A79">
      <w:pPr>
        <w:ind w:firstLine="567"/>
        <w:jc w:val="both"/>
        <w:rPr>
          <w:lang w:eastAsia="en-US"/>
        </w:rPr>
      </w:pPr>
      <w:r w:rsidRPr="00DF55A6">
        <w:rPr>
          <w:lang w:eastAsia="en-US"/>
        </w:rPr>
        <w:t>Слід уникати пропуску чергової дози препарату, тому що це може привести до зниження терапевтичної ефективності.</w:t>
      </w:r>
    </w:p>
    <w:p w14:paraId="36A53150" w14:textId="77777777" w:rsidR="00632A79" w:rsidRPr="00DF55A6" w:rsidRDefault="00632A79" w:rsidP="00632A79">
      <w:pPr>
        <w:pStyle w:val="a6"/>
        <w:spacing w:after="0"/>
        <w:ind w:left="0" w:firstLine="567"/>
        <w:jc w:val="both"/>
        <w:rPr>
          <w:b/>
          <w:lang w:val="uk-UA"/>
        </w:rPr>
      </w:pPr>
      <w:r w:rsidRPr="00C22B11">
        <w:rPr>
          <w:b/>
          <w:lang w:val="uk-UA"/>
        </w:rPr>
        <w:t xml:space="preserve">5.9  </w:t>
      </w:r>
      <w:r w:rsidRPr="00DF55A6">
        <w:rPr>
          <w:b/>
          <w:lang w:val="uk-UA"/>
        </w:rPr>
        <w:t>Передозування ( симптоми, невідкладні заходи, антидоти )</w:t>
      </w:r>
    </w:p>
    <w:p w14:paraId="7A619450" w14:textId="77777777" w:rsidR="00632A79" w:rsidRPr="00DF55A6" w:rsidRDefault="00632A79" w:rsidP="00632A79">
      <w:pPr>
        <w:widowControl w:val="0"/>
        <w:shd w:val="clear" w:color="auto" w:fill="FFFFFF"/>
        <w:ind w:left="20" w:right="20" w:firstLine="580"/>
        <w:jc w:val="both"/>
        <w:rPr>
          <w:lang w:eastAsia="en-US"/>
        </w:rPr>
      </w:pPr>
      <w:r w:rsidRPr="00DF55A6">
        <w:rPr>
          <w:lang w:eastAsia="en-US"/>
        </w:rPr>
        <w:t xml:space="preserve">Випадки негативної дії препарату, викликані одноразовим передозуванням, невідомі. Було встановлено, що </w:t>
      </w:r>
      <w:r w:rsidR="00EF3AFF" w:rsidRPr="00DF55A6">
        <w:rPr>
          <w:lang w:val="uk-UA" w:eastAsia="en-US"/>
        </w:rPr>
        <w:t>за</w:t>
      </w:r>
      <w:r w:rsidRPr="00DF55A6">
        <w:rPr>
          <w:lang w:eastAsia="en-US"/>
        </w:rPr>
        <w:t xml:space="preserve"> перорально</w:t>
      </w:r>
      <w:r w:rsidR="00EF3AFF" w:rsidRPr="00DF55A6">
        <w:rPr>
          <w:lang w:val="uk-UA" w:eastAsia="en-US"/>
        </w:rPr>
        <w:t>го</w:t>
      </w:r>
      <w:r w:rsidRPr="00DF55A6">
        <w:rPr>
          <w:lang w:eastAsia="en-US"/>
        </w:rPr>
        <w:t xml:space="preserve"> застосуванн</w:t>
      </w:r>
      <w:r w:rsidR="00EF3AFF" w:rsidRPr="00DF55A6">
        <w:rPr>
          <w:lang w:val="uk-UA" w:eastAsia="en-US"/>
        </w:rPr>
        <w:t>я</w:t>
      </w:r>
      <w:r w:rsidRPr="00DF55A6">
        <w:rPr>
          <w:lang w:eastAsia="en-US"/>
        </w:rPr>
        <w:t xml:space="preserve"> у дозі,</w:t>
      </w:r>
      <w:r w:rsidRPr="00DF55A6">
        <w:rPr>
          <w:color w:val="000000"/>
          <w:lang w:eastAsia="en-US"/>
        </w:rPr>
        <w:t xml:space="preserve"> яка більша за рекомендовану в 2 рази, будь-яких ознак токсичної дії не спостерігалось. В основному побічні явища </w:t>
      </w:r>
      <w:r w:rsidR="00EF3AFF" w:rsidRPr="00DF55A6">
        <w:rPr>
          <w:color w:val="000000"/>
          <w:lang w:val="uk-UA" w:eastAsia="en-US"/>
        </w:rPr>
        <w:t>за</w:t>
      </w:r>
      <w:r w:rsidRPr="00DF55A6">
        <w:rPr>
          <w:color w:val="000000"/>
          <w:lang w:eastAsia="en-US"/>
        </w:rPr>
        <w:t xml:space="preserve"> передозуванн</w:t>
      </w:r>
      <w:r w:rsidR="00EF3AFF" w:rsidRPr="00DF55A6">
        <w:rPr>
          <w:color w:val="000000"/>
          <w:lang w:val="uk-UA" w:eastAsia="en-US"/>
        </w:rPr>
        <w:t>я</w:t>
      </w:r>
      <w:r w:rsidRPr="00DF55A6">
        <w:rPr>
          <w:color w:val="000000"/>
          <w:lang w:eastAsia="en-US"/>
        </w:rPr>
        <w:t xml:space="preserve"> препарату відмічаються з боку травного каналу (блювота, анорексія, діарея). У деяких випадках можливі алергічні явища (висипання на шкірі, свербіж та набряки). </w:t>
      </w:r>
      <w:r w:rsidR="00EF3AFF" w:rsidRPr="00DF55A6">
        <w:rPr>
          <w:color w:val="000000"/>
          <w:lang w:val="uk-UA" w:eastAsia="en-US"/>
        </w:rPr>
        <w:t>За</w:t>
      </w:r>
      <w:r w:rsidRPr="00DF55A6">
        <w:rPr>
          <w:color w:val="000000"/>
          <w:lang w:eastAsia="en-US"/>
        </w:rPr>
        <w:t xml:space="preserve"> їх виникненн</w:t>
      </w:r>
      <w:r w:rsidR="00EF3AFF" w:rsidRPr="00DF55A6">
        <w:rPr>
          <w:color w:val="000000"/>
          <w:lang w:val="uk-UA" w:eastAsia="en-US"/>
        </w:rPr>
        <w:t>я</w:t>
      </w:r>
      <w:r w:rsidRPr="00DF55A6">
        <w:rPr>
          <w:color w:val="000000"/>
          <w:lang w:eastAsia="en-US"/>
        </w:rPr>
        <w:t xml:space="preserve"> застосування препарату припиняють та призначають десенсибілізуючу терапію.</w:t>
      </w:r>
    </w:p>
    <w:p w14:paraId="0C83C17E" w14:textId="77777777" w:rsidR="00632A79" w:rsidRPr="00DF55A6" w:rsidRDefault="00632A79" w:rsidP="00632A79">
      <w:pPr>
        <w:ind w:firstLine="567"/>
        <w:jc w:val="both"/>
        <w:rPr>
          <w:lang w:eastAsia="en-US"/>
        </w:rPr>
      </w:pPr>
      <w:r w:rsidRPr="00DF55A6">
        <w:rPr>
          <w:color w:val="000000"/>
          <w:lang w:eastAsia="en-US"/>
        </w:rPr>
        <w:t>У разі систематичного перевищення терапевтичної дози можливе ураження печінки (жовтяниця).</w:t>
      </w:r>
    </w:p>
    <w:p w14:paraId="35A2BF23" w14:textId="77777777" w:rsidR="00632A79" w:rsidRPr="00DF55A6" w:rsidRDefault="00632A79" w:rsidP="00632A79">
      <w:pPr>
        <w:pStyle w:val="a6"/>
        <w:spacing w:after="0"/>
        <w:ind w:left="0" w:firstLine="567"/>
        <w:jc w:val="both"/>
        <w:rPr>
          <w:b/>
          <w:lang w:val="uk-UA"/>
        </w:rPr>
      </w:pPr>
      <w:r w:rsidRPr="00DF55A6">
        <w:rPr>
          <w:b/>
          <w:lang w:val="uk-UA"/>
        </w:rPr>
        <w:t xml:space="preserve">5.10  Спеціальні  застереження  </w:t>
      </w:r>
    </w:p>
    <w:p w14:paraId="3F8B7CAE" w14:textId="77777777" w:rsidR="00632A79" w:rsidRPr="00DF55A6" w:rsidRDefault="00632A79" w:rsidP="00632A79">
      <w:pPr>
        <w:ind w:firstLine="567"/>
        <w:jc w:val="both"/>
      </w:pPr>
      <w:r w:rsidRPr="00DF55A6">
        <w:t>Немає.</w:t>
      </w:r>
    </w:p>
    <w:p w14:paraId="653AE651" w14:textId="77777777" w:rsidR="00632A79" w:rsidRPr="00DF55A6" w:rsidRDefault="00632A79" w:rsidP="00632A79">
      <w:pPr>
        <w:ind w:firstLine="567"/>
        <w:jc w:val="both"/>
        <w:rPr>
          <w:b/>
        </w:rPr>
      </w:pPr>
      <w:r w:rsidRPr="00DF55A6">
        <w:rPr>
          <w:b/>
        </w:rPr>
        <w:t>5.11   Період виведення (каренції)</w:t>
      </w:r>
    </w:p>
    <w:p w14:paraId="1FA299BA" w14:textId="77777777" w:rsidR="00632A79" w:rsidRPr="006613E1" w:rsidRDefault="00632A79" w:rsidP="00632A79">
      <w:pPr>
        <w:pStyle w:val="12"/>
        <w:ind w:firstLine="567"/>
        <w:jc w:val="both"/>
        <w:rPr>
          <w:sz w:val="24"/>
          <w:szCs w:val="24"/>
          <w:lang w:val="uk-UA"/>
        </w:rPr>
      </w:pPr>
      <w:r w:rsidRPr="00DF55A6">
        <w:rPr>
          <w:sz w:val="24"/>
          <w:szCs w:val="24"/>
          <w:lang w:val="uk-UA"/>
        </w:rPr>
        <w:t>Забій свійської птиці на м'ясо дозволяють через 7 діб, свиней - через 8 діб, телят - через 14 діб  після останнього застосування препарату. Отримане, до зазначеного</w:t>
      </w:r>
      <w:r w:rsidRPr="006613E1">
        <w:rPr>
          <w:sz w:val="24"/>
          <w:szCs w:val="24"/>
          <w:lang w:val="uk-UA"/>
        </w:rPr>
        <w:t xml:space="preserve"> терміну, м'ясо утилізують або згодовують непродуктивним тваринам, залежно від висновку лікаря ветеринарної медицини.</w:t>
      </w:r>
    </w:p>
    <w:p w14:paraId="3BF0486A" w14:textId="77777777" w:rsidR="00632A79" w:rsidRPr="00772F7D" w:rsidRDefault="00632A79" w:rsidP="00632A79">
      <w:pPr>
        <w:pStyle w:val="34"/>
        <w:ind w:firstLine="567"/>
        <w:jc w:val="both"/>
        <w:rPr>
          <w:b/>
          <w:iCs/>
          <w:sz w:val="24"/>
          <w:szCs w:val="24"/>
          <w:lang w:val="uk-UA"/>
        </w:rPr>
      </w:pPr>
      <w:r w:rsidRPr="00772F7D">
        <w:rPr>
          <w:b/>
          <w:sz w:val="24"/>
          <w:szCs w:val="24"/>
        </w:rPr>
        <w:t>5.1</w:t>
      </w:r>
      <w:r w:rsidRPr="00772F7D">
        <w:rPr>
          <w:b/>
          <w:sz w:val="24"/>
          <w:szCs w:val="24"/>
          <w:lang w:val="uk-UA"/>
        </w:rPr>
        <w:t>2</w:t>
      </w:r>
      <w:r w:rsidRPr="00772F7D">
        <w:rPr>
          <w:sz w:val="24"/>
          <w:szCs w:val="24"/>
        </w:rPr>
        <w:t xml:space="preserve"> </w:t>
      </w:r>
      <w:r w:rsidRPr="00772F7D">
        <w:rPr>
          <w:b/>
          <w:iCs/>
          <w:sz w:val="24"/>
          <w:szCs w:val="24"/>
        </w:rPr>
        <w:t>Спеціальні застереження для осіб і обслуговуючого персоналу</w:t>
      </w:r>
    </w:p>
    <w:p w14:paraId="0C16EE2A" w14:textId="77777777" w:rsidR="00632A79" w:rsidRPr="00772F7D" w:rsidRDefault="00632A79" w:rsidP="00632A79">
      <w:pPr>
        <w:pStyle w:val="34"/>
        <w:ind w:firstLine="567"/>
        <w:jc w:val="both"/>
        <w:rPr>
          <w:sz w:val="24"/>
          <w:szCs w:val="24"/>
        </w:rPr>
      </w:pPr>
      <w:r w:rsidRPr="00772F7D">
        <w:rPr>
          <w:sz w:val="24"/>
          <w:szCs w:val="24"/>
        </w:rPr>
        <w:t>Дотримуватись правил роботи з ветеринарними препаратами.</w:t>
      </w:r>
    </w:p>
    <w:p w14:paraId="66BB8B0F" w14:textId="77777777" w:rsidR="00632A79" w:rsidRPr="00772F7D" w:rsidRDefault="00632A79" w:rsidP="00632A79">
      <w:pPr>
        <w:tabs>
          <w:tab w:val="left" w:pos="5520"/>
        </w:tabs>
        <w:ind w:firstLine="567"/>
        <w:jc w:val="both"/>
      </w:pPr>
      <w:r w:rsidRPr="00772F7D">
        <w:rPr>
          <w:b/>
        </w:rPr>
        <w:t>6.  Фармацевтичні  особливості</w:t>
      </w:r>
    </w:p>
    <w:p w14:paraId="43D2BB6E" w14:textId="77777777" w:rsidR="00632A79" w:rsidRPr="00772F7D" w:rsidRDefault="00632A79" w:rsidP="00632A79">
      <w:pPr>
        <w:tabs>
          <w:tab w:val="left" w:pos="0"/>
          <w:tab w:val="left" w:pos="405"/>
        </w:tabs>
        <w:ind w:firstLine="567"/>
        <w:jc w:val="both"/>
        <w:rPr>
          <w:b/>
        </w:rPr>
      </w:pPr>
      <w:r w:rsidRPr="00772F7D">
        <w:rPr>
          <w:b/>
        </w:rPr>
        <w:t>6.1 Форми  несумісності</w:t>
      </w:r>
    </w:p>
    <w:p w14:paraId="066D43E8" w14:textId="77777777" w:rsidR="00632A79" w:rsidRPr="00772F7D" w:rsidRDefault="00632A79" w:rsidP="00632A79">
      <w:pPr>
        <w:pStyle w:val="23"/>
        <w:ind w:left="20" w:right="20" w:firstLine="580"/>
        <w:jc w:val="both"/>
        <w:rPr>
          <w:sz w:val="24"/>
          <w:szCs w:val="24"/>
        </w:rPr>
      </w:pPr>
      <w:r w:rsidRPr="00772F7D">
        <w:rPr>
          <w:sz w:val="24"/>
          <w:szCs w:val="24"/>
        </w:rPr>
        <w:t>При застосуванні одночасно з препаратами, що містять у своєму складі дво- та тривалентні катіони, такі як, Mg</w:t>
      </w:r>
      <w:r w:rsidRPr="00772F7D">
        <w:rPr>
          <w:sz w:val="24"/>
          <w:szCs w:val="24"/>
          <w:vertAlign w:val="superscript"/>
        </w:rPr>
        <w:t>2+</w:t>
      </w:r>
      <w:r w:rsidRPr="00772F7D">
        <w:rPr>
          <w:sz w:val="24"/>
          <w:szCs w:val="24"/>
        </w:rPr>
        <w:t>, Al</w:t>
      </w:r>
      <w:r w:rsidRPr="00772F7D">
        <w:rPr>
          <w:sz w:val="24"/>
          <w:szCs w:val="24"/>
          <w:vertAlign w:val="superscript"/>
        </w:rPr>
        <w:t>3+</w:t>
      </w:r>
      <w:r w:rsidRPr="00772F7D">
        <w:rPr>
          <w:sz w:val="24"/>
          <w:szCs w:val="24"/>
        </w:rPr>
        <w:t>, Ca</w:t>
      </w:r>
      <w:r w:rsidRPr="00772F7D">
        <w:rPr>
          <w:sz w:val="24"/>
          <w:szCs w:val="24"/>
          <w:vertAlign w:val="superscript"/>
        </w:rPr>
        <w:t>2+</w:t>
      </w:r>
      <w:r w:rsidRPr="00772F7D">
        <w:rPr>
          <w:sz w:val="24"/>
          <w:szCs w:val="24"/>
        </w:rPr>
        <w:t>, Zn</w:t>
      </w:r>
      <w:r w:rsidRPr="00772F7D">
        <w:rPr>
          <w:sz w:val="24"/>
          <w:szCs w:val="24"/>
          <w:vertAlign w:val="superscript"/>
        </w:rPr>
        <w:t>2+</w:t>
      </w:r>
      <w:r w:rsidRPr="00772F7D">
        <w:rPr>
          <w:sz w:val="24"/>
          <w:szCs w:val="24"/>
        </w:rPr>
        <w:t>, Bi</w:t>
      </w:r>
      <w:r w:rsidRPr="00772F7D">
        <w:rPr>
          <w:sz w:val="24"/>
          <w:szCs w:val="24"/>
          <w:vertAlign w:val="superscript"/>
        </w:rPr>
        <w:t>2+</w:t>
      </w:r>
      <w:r w:rsidRPr="00772F7D">
        <w:rPr>
          <w:sz w:val="24"/>
          <w:szCs w:val="24"/>
        </w:rPr>
        <w:t>, Fe</w:t>
      </w:r>
      <w:r w:rsidRPr="00772F7D">
        <w:rPr>
          <w:sz w:val="24"/>
          <w:szCs w:val="24"/>
          <w:vertAlign w:val="superscript"/>
        </w:rPr>
        <w:t>3+</w:t>
      </w:r>
      <w:r w:rsidRPr="00772F7D">
        <w:rPr>
          <w:sz w:val="24"/>
          <w:szCs w:val="24"/>
        </w:rPr>
        <w:t>, доксициклін утворює хелатні сполуки, що перешкоджає його абсорбції.</w:t>
      </w:r>
    </w:p>
    <w:p w14:paraId="28D2BFB3" w14:textId="77777777" w:rsidR="00632A79" w:rsidRPr="00772F7D" w:rsidRDefault="00632A79" w:rsidP="00632A79">
      <w:pPr>
        <w:pStyle w:val="a6"/>
        <w:spacing w:after="0"/>
        <w:ind w:left="0" w:firstLine="567"/>
        <w:jc w:val="both"/>
        <w:rPr>
          <w:b/>
          <w:lang w:val="uk-UA"/>
        </w:rPr>
      </w:pPr>
      <w:r w:rsidRPr="00772F7D">
        <w:rPr>
          <w:b/>
          <w:lang w:val="uk-UA"/>
        </w:rPr>
        <w:t>6.2  Термін  придатності</w:t>
      </w:r>
    </w:p>
    <w:p w14:paraId="3810F425" w14:textId="77777777" w:rsidR="00632A79" w:rsidRDefault="00632A79" w:rsidP="00632A79">
      <w:pPr>
        <w:ind w:firstLine="567"/>
        <w:jc w:val="both"/>
        <w:rPr>
          <w:color w:val="000000"/>
          <w:lang w:val="uk-UA" w:eastAsia="en-US"/>
        </w:rPr>
      </w:pPr>
      <w:r w:rsidRPr="00C22B11">
        <w:rPr>
          <w:color w:val="000000"/>
          <w:lang w:eastAsia="en-US"/>
        </w:rPr>
        <w:t>2 роки</w:t>
      </w:r>
      <w:r w:rsidR="00460D63">
        <w:rPr>
          <w:color w:val="000000"/>
          <w:lang w:val="uk-UA" w:eastAsia="en-US"/>
        </w:rPr>
        <w:t>.</w:t>
      </w:r>
    </w:p>
    <w:p w14:paraId="7D72F92B" w14:textId="77777777" w:rsidR="00460D63" w:rsidRPr="00460D63" w:rsidRDefault="00460D63" w:rsidP="00632A79">
      <w:pPr>
        <w:ind w:firstLine="567"/>
        <w:jc w:val="both"/>
        <w:rPr>
          <w:lang w:val="uk-UA" w:eastAsia="en-US"/>
        </w:rPr>
      </w:pPr>
      <w:r w:rsidRPr="00EB2773">
        <w:rPr>
          <w:rFonts w:eastAsia="Lucida Sans Unicode"/>
          <w:kern w:val="1"/>
          <w:lang w:val="uk-UA" w:eastAsia="ar-SA"/>
        </w:rPr>
        <w:t xml:space="preserve">Термін придатності після першого відбору </w:t>
      </w:r>
      <w:r w:rsidRPr="00EB2773">
        <w:rPr>
          <w:lang w:val="uk-UA"/>
        </w:rPr>
        <w:t>– 28 діб.</w:t>
      </w:r>
    </w:p>
    <w:p w14:paraId="3ECDDCA2" w14:textId="77777777" w:rsidR="00632A79" w:rsidRPr="00C22B11" w:rsidRDefault="00632A79" w:rsidP="00632A79">
      <w:pPr>
        <w:widowControl w:val="0"/>
        <w:spacing w:line="100" w:lineRule="atLeast"/>
        <w:ind w:firstLine="567"/>
        <w:jc w:val="both"/>
        <w:rPr>
          <w:lang w:eastAsia="en-US"/>
        </w:rPr>
      </w:pPr>
      <w:r w:rsidRPr="00C22B11">
        <w:rPr>
          <w:color w:val="000000"/>
          <w:lang w:eastAsia="en-US"/>
        </w:rPr>
        <w:t>Термін придатності після розчинення препарату у питній воді становить 24 години.</w:t>
      </w:r>
    </w:p>
    <w:p w14:paraId="7A960FFC" w14:textId="77777777" w:rsidR="00632A79" w:rsidRPr="00C22B11" w:rsidRDefault="00632A79" w:rsidP="00632A79">
      <w:pPr>
        <w:widowControl w:val="0"/>
        <w:spacing w:line="100" w:lineRule="atLeast"/>
        <w:ind w:firstLine="567"/>
        <w:jc w:val="both"/>
        <w:rPr>
          <w:lang w:eastAsia="en-US"/>
        </w:rPr>
      </w:pPr>
      <w:r w:rsidRPr="00C22B11">
        <w:rPr>
          <w:color w:val="000000"/>
          <w:lang w:eastAsia="en-US"/>
        </w:rPr>
        <w:t>Термін придатності при змішуванні препарату з кормом</w:t>
      </w:r>
      <w:r w:rsidRPr="00C22B11">
        <w:rPr>
          <w:color w:val="000000"/>
          <w:lang w:val="en-US" w:eastAsia="en-US"/>
        </w:rPr>
        <w:t> </w:t>
      </w:r>
      <w:r w:rsidRPr="00C22B11">
        <w:rPr>
          <w:color w:val="000000"/>
          <w:lang w:eastAsia="en-US"/>
        </w:rPr>
        <w:t xml:space="preserve"> становить 36 годин.</w:t>
      </w:r>
    </w:p>
    <w:p w14:paraId="69F02E48" w14:textId="77777777" w:rsidR="00632A79" w:rsidRPr="00772F7D" w:rsidRDefault="00632A79" w:rsidP="00632A79">
      <w:pPr>
        <w:pStyle w:val="21"/>
        <w:spacing w:after="0" w:line="240" w:lineRule="auto"/>
        <w:ind w:left="0" w:firstLine="567"/>
        <w:jc w:val="both"/>
        <w:rPr>
          <w:b/>
          <w:lang w:val="uk-UA"/>
        </w:rPr>
      </w:pPr>
      <w:r w:rsidRPr="00772F7D">
        <w:rPr>
          <w:b/>
          <w:lang w:val="uk-UA"/>
        </w:rPr>
        <w:t>6.3  Особливі  заходи  зберігання</w:t>
      </w:r>
    </w:p>
    <w:p w14:paraId="3E2C6430" w14:textId="77777777" w:rsidR="00632A79" w:rsidRPr="00772F7D" w:rsidRDefault="00632A79" w:rsidP="00632A79">
      <w:pPr>
        <w:pStyle w:val="21"/>
        <w:spacing w:after="0" w:line="240" w:lineRule="auto"/>
        <w:ind w:left="0" w:firstLine="567"/>
        <w:jc w:val="both"/>
        <w:rPr>
          <w:lang w:val="uk-UA"/>
        </w:rPr>
      </w:pPr>
      <w:r w:rsidRPr="00772F7D">
        <w:rPr>
          <w:lang w:val="uk-UA"/>
        </w:rPr>
        <w:t xml:space="preserve">Сухе темне, недоступне для дітей місце </w:t>
      </w:r>
      <w:r>
        <w:rPr>
          <w:lang w:val="uk-UA"/>
        </w:rPr>
        <w:t>за</w:t>
      </w:r>
      <w:r w:rsidRPr="00772F7D">
        <w:rPr>
          <w:lang w:val="uk-UA"/>
        </w:rPr>
        <w:t xml:space="preserve"> температур</w:t>
      </w:r>
      <w:r>
        <w:rPr>
          <w:lang w:val="uk-UA"/>
        </w:rPr>
        <w:t>и від 5</w:t>
      </w:r>
      <w:r w:rsidRPr="00772F7D">
        <w:rPr>
          <w:lang w:val="uk-UA"/>
        </w:rPr>
        <w:t xml:space="preserve"> до 25 </w:t>
      </w:r>
      <w:r w:rsidRPr="00772F7D">
        <w:rPr>
          <w:vertAlign w:val="superscript"/>
          <w:lang w:val="uk-UA"/>
        </w:rPr>
        <w:t>о</w:t>
      </w:r>
      <w:r w:rsidRPr="00772F7D">
        <w:rPr>
          <w:lang w:val="uk-UA"/>
        </w:rPr>
        <w:t>С.</w:t>
      </w:r>
    </w:p>
    <w:p w14:paraId="480C4BB8" w14:textId="77777777" w:rsidR="00632A79" w:rsidRPr="00772F7D" w:rsidRDefault="00632A79" w:rsidP="00632A79">
      <w:pPr>
        <w:tabs>
          <w:tab w:val="left" w:pos="315"/>
        </w:tabs>
        <w:ind w:firstLine="567"/>
        <w:jc w:val="both"/>
        <w:rPr>
          <w:b/>
        </w:rPr>
      </w:pPr>
      <w:r w:rsidRPr="00772F7D">
        <w:rPr>
          <w:b/>
        </w:rPr>
        <w:t>6.4   Природа  і  склад   контейнера первинного пакування</w:t>
      </w:r>
    </w:p>
    <w:p w14:paraId="1AC1BA39" w14:textId="77777777" w:rsidR="00632A79" w:rsidRPr="00250172" w:rsidRDefault="00632A79" w:rsidP="00632A79">
      <w:pPr>
        <w:ind w:firstLine="567"/>
        <w:jc w:val="both"/>
        <w:rPr>
          <w:lang w:val="uk-UA"/>
        </w:rPr>
      </w:pPr>
      <w:r w:rsidRPr="00772F7D">
        <w:rPr>
          <w:lang w:val="uk-UA"/>
        </w:rPr>
        <w:t xml:space="preserve">Пакети з поліетиленової плівки або </w:t>
      </w:r>
      <w:r w:rsidRPr="00250172">
        <w:rPr>
          <w:lang w:val="uk-UA"/>
        </w:rPr>
        <w:t xml:space="preserve">іншої полімерної плівки по </w:t>
      </w:r>
      <w:r>
        <w:t>1</w:t>
      </w:r>
      <w:r>
        <w:rPr>
          <w:lang w:val="uk-UA"/>
        </w:rPr>
        <w:t>,</w:t>
      </w:r>
      <w:r>
        <w:t xml:space="preserve"> 2</w:t>
      </w:r>
      <w:r>
        <w:rPr>
          <w:lang w:val="uk-UA"/>
        </w:rPr>
        <w:t>,</w:t>
      </w:r>
      <w:r>
        <w:t xml:space="preserve"> 10</w:t>
      </w:r>
      <w:r>
        <w:rPr>
          <w:lang w:val="uk-UA"/>
        </w:rPr>
        <w:t>,</w:t>
      </w:r>
      <w:r>
        <w:t xml:space="preserve"> 50</w:t>
      </w:r>
      <w:r>
        <w:rPr>
          <w:lang w:val="uk-UA"/>
        </w:rPr>
        <w:t>,</w:t>
      </w:r>
      <w:r>
        <w:t xml:space="preserve"> 100</w:t>
      </w:r>
      <w:r>
        <w:rPr>
          <w:lang w:val="uk-UA"/>
        </w:rPr>
        <w:t>,</w:t>
      </w:r>
      <w:r>
        <w:t xml:space="preserve"> 500 г та </w:t>
      </w:r>
      <w:r w:rsidRPr="00250172">
        <w:t>1 кг</w:t>
      </w:r>
      <w:r w:rsidRPr="00250172">
        <w:rPr>
          <w:lang w:val="uk-UA"/>
        </w:rPr>
        <w:t>.</w:t>
      </w:r>
    </w:p>
    <w:p w14:paraId="1511D129" w14:textId="77777777" w:rsidR="00632A79" w:rsidRPr="00250172" w:rsidRDefault="00632A79" w:rsidP="00632A79">
      <w:pPr>
        <w:pStyle w:val="21"/>
        <w:spacing w:after="0" w:line="240" w:lineRule="auto"/>
        <w:ind w:left="0" w:firstLine="567"/>
        <w:jc w:val="both"/>
      </w:pPr>
      <w:r w:rsidRPr="00250172">
        <w:t>Контейнери полімерні по 100</w:t>
      </w:r>
      <w:r>
        <w:rPr>
          <w:lang w:val="uk-UA"/>
        </w:rPr>
        <w:t xml:space="preserve">, </w:t>
      </w:r>
      <w:r>
        <w:t>500 г та</w:t>
      </w:r>
      <w:r w:rsidRPr="00250172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250172">
          <w:t>1 кг</w:t>
        </w:r>
      </w:smartTag>
      <w:r w:rsidRPr="00250172">
        <w:t>.</w:t>
      </w:r>
    </w:p>
    <w:p w14:paraId="6791CB10" w14:textId="77777777" w:rsidR="00632A79" w:rsidRPr="00772F7D" w:rsidRDefault="00632A79" w:rsidP="00632A79">
      <w:pPr>
        <w:ind w:firstLine="567"/>
        <w:jc w:val="both"/>
      </w:pPr>
      <w:r w:rsidRPr="00250172">
        <w:rPr>
          <w:b/>
        </w:rPr>
        <w:t>6.5 Особливі заходи</w:t>
      </w:r>
      <w:r w:rsidRPr="00250172">
        <w:t xml:space="preserve">  </w:t>
      </w:r>
      <w:r w:rsidRPr="00250172">
        <w:rPr>
          <w:b/>
        </w:rPr>
        <w:t>безпеки при поводженні з невикористаними</w:t>
      </w:r>
      <w:r w:rsidRPr="00772F7D">
        <w:rPr>
          <w:b/>
        </w:rPr>
        <w:t xml:space="preserve"> препаратами або з його залишками</w:t>
      </w:r>
      <w:r w:rsidRPr="00772F7D">
        <w:t xml:space="preserve"> :</w:t>
      </w:r>
    </w:p>
    <w:p w14:paraId="5F28155A" w14:textId="77777777" w:rsidR="00632A79" w:rsidRPr="00772F7D" w:rsidRDefault="00632A79" w:rsidP="00632A79">
      <w:pPr>
        <w:ind w:firstLine="567"/>
        <w:jc w:val="both"/>
      </w:pPr>
      <w:r w:rsidRPr="00772F7D">
        <w:lastRenderedPageBreak/>
        <w:t>Порожню упаковку та залишки невикористаного препарату потрібно утилізувати згідно з чинним законодавством.</w:t>
      </w:r>
    </w:p>
    <w:p w14:paraId="1FC81728" w14:textId="77777777" w:rsidR="00632A79" w:rsidRPr="00772F7D" w:rsidRDefault="00632A79" w:rsidP="00632A79">
      <w:pPr>
        <w:ind w:firstLine="567"/>
        <w:jc w:val="both"/>
        <w:rPr>
          <w:b/>
        </w:rPr>
      </w:pPr>
      <w:r w:rsidRPr="00772F7D">
        <w:rPr>
          <w:b/>
        </w:rPr>
        <w:t>7. Назва та місцезнаходження власника реєстраційного посвідчення</w:t>
      </w:r>
    </w:p>
    <w:p w14:paraId="5A2D1DDD" w14:textId="77777777" w:rsidR="00632A79" w:rsidRPr="00772F7D" w:rsidRDefault="00632A79" w:rsidP="00632A79">
      <w:pPr>
        <w:pStyle w:val="a6"/>
        <w:spacing w:after="0"/>
        <w:ind w:left="0" w:firstLine="567"/>
        <w:rPr>
          <w:lang w:val="uk-UA"/>
        </w:rPr>
      </w:pPr>
      <w:r w:rsidRPr="00EB31FA">
        <w:rPr>
          <w:lang w:val="uk-UA"/>
        </w:rPr>
        <w:t>Товариство з обмеженою відповідальністю «Ветсинтез»</w:t>
      </w:r>
    </w:p>
    <w:p w14:paraId="0FDF9A4E" w14:textId="77777777" w:rsidR="00632A79" w:rsidRPr="00772F7D" w:rsidRDefault="00632A79" w:rsidP="00632A79">
      <w:pPr>
        <w:ind w:firstLine="567"/>
        <w:jc w:val="both"/>
      </w:pPr>
      <w:smartTag w:uri="urn:schemas-microsoft-com:office:smarttags" w:element="metricconverter">
        <w:smartTagPr>
          <w:attr w:name="ProductID" w:val="61001, м"/>
        </w:smartTagPr>
        <w:r w:rsidRPr="00772F7D">
          <w:t>61001, м</w:t>
        </w:r>
      </w:smartTag>
      <w:r w:rsidRPr="00772F7D">
        <w:t xml:space="preserve">. Харків, вул. </w:t>
      </w:r>
      <w:r w:rsidRPr="00CD082B">
        <w:rPr>
          <w:lang w:val="uk-UA"/>
        </w:rPr>
        <w:t>Бобанича Тараса</w:t>
      </w:r>
      <w:r w:rsidRPr="00772F7D">
        <w:t>, 30, Україна</w:t>
      </w:r>
    </w:p>
    <w:p w14:paraId="102F4ED9" w14:textId="77777777" w:rsidR="00632A79" w:rsidRPr="00772F7D" w:rsidRDefault="00632A79" w:rsidP="00632A79">
      <w:pPr>
        <w:ind w:firstLine="567"/>
        <w:jc w:val="both"/>
        <w:rPr>
          <w:b/>
        </w:rPr>
      </w:pPr>
      <w:r w:rsidRPr="00772F7D">
        <w:rPr>
          <w:b/>
        </w:rPr>
        <w:t>8. Назва та місцезнаходження виробника (виробників)</w:t>
      </w:r>
    </w:p>
    <w:p w14:paraId="01F08A44" w14:textId="77777777" w:rsidR="00632A79" w:rsidRDefault="00632A79" w:rsidP="00632A79">
      <w:pPr>
        <w:ind w:firstLine="567"/>
        <w:jc w:val="both"/>
        <w:rPr>
          <w:lang w:val="uk-UA"/>
        </w:rPr>
      </w:pPr>
      <w:r w:rsidRPr="00EB31FA">
        <w:rPr>
          <w:lang w:val="uk-UA"/>
        </w:rPr>
        <w:t>Товариство з обмеженою відповідальністю «Ветсинтез»</w:t>
      </w:r>
    </w:p>
    <w:p w14:paraId="03F5055C" w14:textId="77777777" w:rsidR="00632A79" w:rsidRPr="00772F7D" w:rsidRDefault="00632A79" w:rsidP="00632A79">
      <w:pPr>
        <w:ind w:firstLine="567"/>
        <w:jc w:val="both"/>
      </w:pPr>
      <w:smartTag w:uri="urn:schemas-microsoft-com:office:smarttags" w:element="metricconverter">
        <w:smartTagPr>
          <w:attr w:name="ProductID" w:val="61001, м"/>
        </w:smartTagPr>
        <w:r w:rsidRPr="00772F7D">
          <w:t>61001, м</w:t>
        </w:r>
      </w:smartTag>
      <w:r w:rsidRPr="00772F7D">
        <w:t xml:space="preserve">. Харків, вул. </w:t>
      </w:r>
      <w:r w:rsidRPr="00CD082B">
        <w:rPr>
          <w:lang w:val="uk-UA"/>
        </w:rPr>
        <w:t>Бобанича Тараса</w:t>
      </w:r>
      <w:r w:rsidRPr="00772F7D">
        <w:t>, 30, Україна</w:t>
      </w:r>
    </w:p>
    <w:p w14:paraId="69DB45CE" w14:textId="77777777" w:rsidR="00632A79" w:rsidRPr="00772F7D" w:rsidRDefault="00632A79" w:rsidP="00632A79">
      <w:pPr>
        <w:widowControl w:val="0"/>
        <w:ind w:firstLine="567"/>
        <w:jc w:val="both"/>
      </w:pPr>
      <w:r w:rsidRPr="00772F7D">
        <w:rPr>
          <w:b/>
        </w:rPr>
        <w:t>9. Додаткова інформація</w:t>
      </w:r>
    </w:p>
    <w:p w14:paraId="1C11E731" w14:textId="77777777" w:rsidR="00DB10F8" w:rsidRPr="00632A79" w:rsidRDefault="00DB10F8" w:rsidP="00632A79"/>
    <w:sectPr w:rsidR="00DB10F8" w:rsidRPr="00632A79" w:rsidSect="00AE3A1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48280" w14:textId="77777777" w:rsidR="00AE3A15" w:rsidRDefault="00AE3A15" w:rsidP="00AE3A15">
      <w:r>
        <w:separator/>
      </w:r>
    </w:p>
  </w:endnote>
  <w:endnote w:type="continuationSeparator" w:id="0">
    <w:p w14:paraId="4F2A6158" w14:textId="77777777" w:rsidR="00AE3A15" w:rsidRDefault="00AE3A15" w:rsidP="00A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914171"/>
      <w:docPartObj>
        <w:docPartGallery w:val="Page Numbers (Bottom of Page)"/>
        <w:docPartUnique/>
      </w:docPartObj>
    </w:sdtPr>
    <w:sdtContent>
      <w:p w14:paraId="58AD8D81" w14:textId="3198EF99" w:rsidR="00AE3A15" w:rsidRDefault="00AE3A1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9BF429" w14:textId="77777777" w:rsidR="00AE3A15" w:rsidRDefault="00AE3A1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437711"/>
      <w:docPartObj>
        <w:docPartGallery w:val="Page Numbers (Bottom of Page)"/>
        <w:docPartUnique/>
      </w:docPartObj>
    </w:sdtPr>
    <w:sdtContent>
      <w:p w14:paraId="13160166" w14:textId="15D166EB" w:rsidR="00AE3A15" w:rsidRDefault="00AE3A1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0B7F0D" w14:textId="77777777" w:rsidR="00AE3A15" w:rsidRDefault="00AE3A1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B54B" w14:textId="77777777" w:rsidR="00AE3A15" w:rsidRDefault="00AE3A15" w:rsidP="00AE3A15">
      <w:r>
        <w:separator/>
      </w:r>
    </w:p>
  </w:footnote>
  <w:footnote w:type="continuationSeparator" w:id="0">
    <w:p w14:paraId="56C16CCD" w14:textId="77777777" w:rsidR="00AE3A15" w:rsidRDefault="00AE3A15" w:rsidP="00AE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E8148" w14:textId="1CC1D93A" w:rsidR="00AE3A15" w:rsidRDefault="00AE3A15" w:rsidP="00AE3A15">
    <w:pPr>
      <w:pStyle w:val="af1"/>
      <w:jc w:val="right"/>
    </w:pPr>
    <w:r>
      <w:rPr>
        <w:lang w:val="uk-UA"/>
      </w:rPr>
      <w:t>Продовження додатку 1</w:t>
    </w:r>
    <w:r>
      <w:rPr>
        <w:lang w:val="uk-UA"/>
      </w:rPr>
      <w:br/>
      <w:t xml:space="preserve">до реєстраційного посвідчення </w:t>
    </w:r>
  </w:p>
  <w:p w14:paraId="2910F989" w14:textId="77777777" w:rsidR="00AE3A15" w:rsidRDefault="00AE3A1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7293A" w14:textId="77777777" w:rsidR="00AE3A15" w:rsidRDefault="00AE3A15" w:rsidP="00AE3A15">
    <w:pPr>
      <w:pStyle w:val="af1"/>
      <w:jc w:val="right"/>
    </w:pPr>
    <w:r>
      <w:rPr>
        <w:lang w:val="uk-UA"/>
      </w:rPr>
      <w:t>Додаток 1</w:t>
    </w:r>
    <w:r>
      <w:rPr>
        <w:lang w:val="uk-UA"/>
      </w:rPr>
      <w:br/>
      <w:t xml:space="preserve">до реєстраційного посвідчення </w:t>
    </w:r>
  </w:p>
  <w:p w14:paraId="197A9C23" w14:textId="77777777" w:rsidR="00AE3A15" w:rsidRDefault="00AE3A15" w:rsidP="00AE3A15">
    <w:pPr>
      <w:pStyle w:val="af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BC"/>
    <w:rsid w:val="000848E1"/>
    <w:rsid w:val="00085FCA"/>
    <w:rsid w:val="00171125"/>
    <w:rsid w:val="00184D48"/>
    <w:rsid w:val="001B714C"/>
    <w:rsid w:val="001E62EC"/>
    <w:rsid w:val="0031619E"/>
    <w:rsid w:val="003B7A98"/>
    <w:rsid w:val="00426035"/>
    <w:rsid w:val="00460D63"/>
    <w:rsid w:val="005D6F34"/>
    <w:rsid w:val="00632A79"/>
    <w:rsid w:val="0076393C"/>
    <w:rsid w:val="00792B04"/>
    <w:rsid w:val="00836247"/>
    <w:rsid w:val="008A6904"/>
    <w:rsid w:val="00901AF4"/>
    <w:rsid w:val="009363A9"/>
    <w:rsid w:val="009A78D9"/>
    <w:rsid w:val="00A91CBC"/>
    <w:rsid w:val="00AE3A15"/>
    <w:rsid w:val="00C31CE6"/>
    <w:rsid w:val="00D01109"/>
    <w:rsid w:val="00D5046F"/>
    <w:rsid w:val="00DB10F8"/>
    <w:rsid w:val="00DF55A6"/>
    <w:rsid w:val="00EB2773"/>
    <w:rsid w:val="00EF3AFF"/>
    <w:rsid w:val="00F522AC"/>
    <w:rsid w:val="00F66F23"/>
    <w:rsid w:val="00F74CD2"/>
    <w:rsid w:val="00FB221A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9D40B55"/>
  <w15:docId w15:val="{422B46C7-1DC1-4537-B20F-E8D4C468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C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paragraph" w:styleId="a6">
    <w:name w:val="Body Text Indent"/>
    <w:aliases w:val=" Знак,Знак"/>
    <w:basedOn w:val="a"/>
    <w:link w:val="a7"/>
    <w:uiPriority w:val="99"/>
    <w:rsid w:val="00085FCA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uiPriority w:val="99"/>
    <w:rsid w:val="00085FCA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85F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5FCA"/>
    <w:rPr>
      <w:rFonts w:eastAsia="Times New Roman"/>
      <w:sz w:val="24"/>
      <w:szCs w:val="24"/>
      <w:lang w:eastAsia="ru-RU"/>
    </w:rPr>
  </w:style>
  <w:style w:type="character" w:customStyle="1" w:styleId="a8">
    <w:name w:val="Печатная машинка"/>
    <w:uiPriority w:val="99"/>
    <w:rsid w:val="00085FCA"/>
    <w:rPr>
      <w:rFonts w:ascii="Courier New" w:hAnsi="Courier New"/>
      <w:sz w:val="20"/>
    </w:rPr>
  </w:style>
  <w:style w:type="paragraph" w:customStyle="1" w:styleId="11">
    <w:name w:val="Обычный1"/>
    <w:rsid w:val="00085FCA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Standard">
    <w:name w:val="Standard"/>
    <w:uiPriority w:val="99"/>
    <w:rsid w:val="00085FCA"/>
    <w:pPr>
      <w:spacing w:after="0" w:line="240" w:lineRule="auto"/>
    </w:pPr>
    <w:rPr>
      <w:rFonts w:ascii="Arial" w:eastAsia="Times New Roman" w:hAnsi="Arial"/>
      <w:snapToGrid w:val="0"/>
      <w:sz w:val="24"/>
      <w:szCs w:val="20"/>
      <w:lang w:eastAsia="ru-RU"/>
    </w:rPr>
  </w:style>
  <w:style w:type="paragraph" w:customStyle="1" w:styleId="Style5">
    <w:name w:val="Style5"/>
    <w:basedOn w:val="a"/>
    <w:uiPriority w:val="99"/>
    <w:rsid w:val="00085FCA"/>
    <w:pPr>
      <w:widowControl w:val="0"/>
      <w:suppressAutoHyphens/>
      <w:autoSpaceDE w:val="0"/>
      <w:spacing w:line="281" w:lineRule="exact"/>
      <w:jc w:val="both"/>
    </w:pPr>
    <w:rPr>
      <w:lang w:eastAsia="ar-SA"/>
    </w:rPr>
  </w:style>
  <w:style w:type="paragraph" w:customStyle="1" w:styleId="12">
    <w:name w:val="Обычный1"/>
    <w:uiPriority w:val="99"/>
    <w:rsid w:val="00085FCA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character" w:customStyle="1" w:styleId="a9">
    <w:name w:val="Основной текст_"/>
    <w:link w:val="23"/>
    <w:rsid w:val="00085FCA"/>
    <w:rPr>
      <w:rFonts w:eastAsia="Times New Roman"/>
      <w:sz w:val="22"/>
      <w:shd w:val="clear" w:color="auto" w:fill="FFFFFF"/>
    </w:rPr>
  </w:style>
  <w:style w:type="paragraph" w:customStyle="1" w:styleId="23">
    <w:name w:val="Основной текст2"/>
    <w:basedOn w:val="a"/>
    <w:link w:val="a9"/>
    <w:rsid w:val="00085FCA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character" w:customStyle="1" w:styleId="31">
    <w:name w:val="Основной текст (3)_"/>
    <w:link w:val="32"/>
    <w:rsid w:val="00085FCA"/>
    <w:rPr>
      <w:rFonts w:eastAsia="Times New Roman"/>
      <w:i/>
      <w:iCs/>
      <w:sz w:val="22"/>
      <w:shd w:val="clear" w:color="auto" w:fill="FFFFFF"/>
      <w:lang w:val="en-US" w:bidi="en-US"/>
    </w:rPr>
  </w:style>
  <w:style w:type="paragraph" w:customStyle="1" w:styleId="32">
    <w:name w:val="Основной текст (3)"/>
    <w:basedOn w:val="a"/>
    <w:link w:val="31"/>
    <w:rsid w:val="00085FCA"/>
    <w:pPr>
      <w:widowControl w:val="0"/>
      <w:shd w:val="clear" w:color="auto" w:fill="FFFFFF"/>
      <w:spacing w:line="278" w:lineRule="exact"/>
      <w:jc w:val="both"/>
    </w:pPr>
    <w:rPr>
      <w:i/>
      <w:iCs/>
      <w:sz w:val="22"/>
      <w:szCs w:val="22"/>
      <w:lang w:val="en-US" w:eastAsia="en-US" w:bidi="en-US"/>
    </w:rPr>
  </w:style>
  <w:style w:type="character" w:customStyle="1" w:styleId="33">
    <w:name w:val="Основной текст (3) + Не курсив"/>
    <w:rsid w:val="00085FCA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1939">
    <w:name w:val="1939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"/>
    <w:rsid w:val="00085FCA"/>
    <w:pPr>
      <w:spacing w:before="100" w:beforeAutospacing="1" w:after="100" w:afterAutospacing="1"/>
    </w:pPr>
    <w:rPr>
      <w:lang w:val="en-US" w:eastAsia="en-US"/>
    </w:rPr>
  </w:style>
  <w:style w:type="paragraph" w:customStyle="1" w:styleId="24">
    <w:name w:val="Обычный2"/>
    <w:rsid w:val="009363A9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34">
    <w:name w:val="Обычный3"/>
    <w:rsid w:val="00632A79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792B0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2B0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92B04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2B0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92B04"/>
    <w:rPr>
      <w:rFonts w:eastAsia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2B0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92B0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AE3A1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E3A15"/>
    <w:rPr>
      <w:rFonts w:eastAsia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AE3A15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E3A1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CF"/>
    <w:rsid w:val="003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A1F0E876F14FC1840DA28F0810F862">
    <w:name w:val="C7A1F0E876F14FC1840DA28F0810F862"/>
    <w:rsid w:val="00380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Vasyl</cp:lastModifiedBy>
  <cp:revision>7</cp:revision>
  <dcterms:created xsi:type="dcterms:W3CDTF">2025-09-29T11:51:00Z</dcterms:created>
  <dcterms:modified xsi:type="dcterms:W3CDTF">2025-10-24T13:07:00Z</dcterms:modified>
</cp:coreProperties>
</file>