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7BB3" w14:textId="77777777" w:rsidR="00FF057E" w:rsidRPr="00BF574D" w:rsidRDefault="00FF057E" w:rsidP="00BF574D">
      <w:pPr>
        <w:widowControl w:val="0"/>
        <w:ind w:firstLine="425"/>
        <w:jc w:val="center"/>
        <w:rPr>
          <w:b/>
          <w:bCs/>
          <w:lang w:val="uk-UA"/>
        </w:rPr>
      </w:pPr>
      <w:r w:rsidRPr="00BF574D">
        <w:rPr>
          <w:b/>
          <w:bCs/>
          <w:lang w:val="uk-UA"/>
        </w:rPr>
        <w:t>Коротка характеристика ветеринарного препарату</w:t>
      </w:r>
    </w:p>
    <w:p w14:paraId="7A44E244" w14:textId="77777777" w:rsidR="005107EF" w:rsidRPr="00904712" w:rsidRDefault="005107EF" w:rsidP="005107EF">
      <w:pPr>
        <w:widowControl w:val="0"/>
        <w:ind w:firstLine="709"/>
        <w:rPr>
          <w:b/>
          <w:bCs/>
          <w:lang w:val="uk-UA"/>
        </w:rPr>
      </w:pPr>
      <w:r w:rsidRPr="00904712">
        <w:rPr>
          <w:b/>
          <w:bCs/>
          <w:lang w:val="uk-UA"/>
        </w:rPr>
        <w:t xml:space="preserve">1. Назва </w:t>
      </w:r>
    </w:p>
    <w:p w14:paraId="3FA941EA" w14:textId="77777777" w:rsidR="005107EF" w:rsidRPr="00904712" w:rsidRDefault="005107EF" w:rsidP="005107EF">
      <w:pPr>
        <w:widowControl w:val="0"/>
        <w:ind w:firstLine="709"/>
        <w:rPr>
          <w:bCs/>
          <w:lang w:val="uk-UA"/>
        </w:rPr>
      </w:pPr>
      <w:r>
        <w:rPr>
          <w:bCs/>
          <w:lang w:val="uk-UA"/>
        </w:rPr>
        <w:t>АНТИЛАКТ</w:t>
      </w:r>
    </w:p>
    <w:p w14:paraId="5B52878C" w14:textId="77777777" w:rsidR="005107EF" w:rsidRPr="00904712" w:rsidRDefault="005107EF" w:rsidP="005107EF">
      <w:pPr>
        <w:widowControl w:val="0"/>
        <w:ind w:firstLine="709"/>
        <w:rPr>
          <w:b/>
          <w:bCs/>
          <w:lang w:val="uk-UA"/>
        </w:rPr>
      </w:pPr>
      <w:r w:rsidRPr="00904712">
        <w:rPr>
          <w:b/>
          <w:bCs/>
          <w:lang w:val="uk-UA"/>
        </w:rPr>
        <w:t>2. Склад</w:t>
      </w:r>
    </w:p>
    <w:p w14:paraId="0826E206" w14:textId="77777777" w:rsidR="005107EF" w:rsidRPr="00F66CBB" w:rsidRDefault="005107EF" w:rsidP="005107EF">
      <w:pPr>
        <w:widowControl w:val="0"/>
        <w:ind w:firstLine="709"/>
        <w:rPr>
          <w:rFonts w:eastAsia="Calibri"/>
          <w:lang w:val="uk-UA"/>
        </w:rPr>
      </w:pPr>
      <w:r w:rsidRPr="00F66CBB">
        <w:rPr>
          <w:rFonts w:eastAsia="Calibri"/>
          <w:lang w:val="uk-UA"/>
        </w:rPr>
        <w:t>1 мл препарату містить активнодіючу речовину:</w:t>
      </w:r>
    </w:p>
    <w:p w14:paraId="56B9C3B0" w14:textId="77777777" w:rsidR="005107EF" w:rsidRPr="00F66CBB" w:rsidRDefault="005107EF" w:rsidP="005107EF">
      <w:pPr>
        <w:widowControl w:val="0"/>
        <w:ind w:firstLine="709"/>
        <w:rPr>
          <w:rFonts w:eastAsia="Calibri"/>
          <w:lang w:val="uk-UA"/>
        </w:rPr>
      </w:pPr>
      <w:r w:rsidRPr="00F66CBB">
        <w:rPr>
          <w:rFonts w:eastAsia="Calibri"/>
          <w:lang w:val="uk-UA"/>
        </w:rPr>
        <w:t>каберголін – 50 мкг;</w:t>
      </w:r>
    </w:p>
    <w:p w14:paraId="2F952A07" w14:textId="77777777" w:rsidR="005107EF" w:rsidRPr="00F66CBB" w:rsidRDefault="005107EF" w:rsidP="005107EF">
      <w:pPr>
        <w:widowControl w:val="0"/>
        <w:ind w:firstLine="709"/>
        <w:rPr>
          <w:rFonts w:eastAsia="Calibri"/>
          <w:lang w:val="uk-UA"/>
        </w:rPr>
      </w:pPr>
      <w:r w:rsidRPr="00F66CBB">
        <w:rPr>
          <w:rFonts w:eastAsia="Calibri"/>
          <w:lang w:val="uk-UA"/>
        </w:rPr>
        <w:t>Допоміжні речовини: пропіленгліколь, дикаприлат/дикапрат.</w:t>
      </w:r>
    </w:p>
    <w:p w14:paraId="087A2863" w14:textId="77777777" w:rsidR="005107EF" w:rsidRPr="00904712" w:rsidRDefault="005107EF" w:rsidP="005107EF">
      <w:pPr>
        <w:widowControl w:val="0"/>
        <w:ind w:firstLine="709"/>
        <w:rPr>
          <w:b/>
          <w:bCs/>
          <w:lang w:val="uk-UA"/>
        </w:rPr>
      </w:pPr>
      <w:r w:rsidRPr="00904712">
        <w:rPr>
          <w:b/>
          <w:bCs/>
          <w:lang w:val="uk-UA"/>
        </w:rPr>
        <w:t>3. Фармацевтична форма</w:t>
      </w:r>
    </w:p>
    <w:p w14:paraId="516C0946" w14:textId="77777777" w:rsidR="005107EF" w:rsidRPr="00904712" w:rsidRDefault="005107EF" w:rsidP="005107EF">
      <w:pPr>
        <w:widowControl w:val="0"/>
        <w:ind w:firstLine="709"/>
        <w:rPr>
          <w:bCs/>
          <w:lang w:val="uk-UA"/>
        </w:rPr>
      </w:pPr>
      <w:r w:rsidRPr="00904712">
        <w:rPr>
          <w:bCs/>
          <w:lang w:val="uk-UA"/>
        </w:rPr>
        <w:t>Розчин для перорального застосування.</w:t>
      </w:r>
    </w:p>
    <w:p w14:paraId="38AC9BD2" w14:textId="77777777" w:rsidR="005107EF" w:rsidRPr="00904712" w:rsidRDefault="005107EF" w:rsidP="005107EF">
      <w:pPr>
        <w:widowControl w:val="0"/>
        <w:ind w:firstLine="709"/>
        <w:rPr>
          <w:b/>
          <w:bCs/>
          <w:lang w:val="uk-UA"/>
        </w:rPr>
      </w:pPr>
      <w:r w:rsidRPr="00904712">
        <w:rPr>
          <w:b/>
          <w:bCs/>
          <w:lang w:val="uk-UA"/>
        </w:rPr>
        <w:t>4. Фармакологічні властивості</w:t>
      </w:r>
    </w:p>
    <w:p w14:paraId="50E29583" w14:textId="77777777" w:rsidR="005107EF" w:rsidRPr="00F66CBB" w:rsidRDefault="005107EF" w:rsidP="005107EF">
      <w:pPr>
        <w:pStyle w:val="12"/>
        <w:spacing w:line="240" w:lineRule="auto"/>
        <w:rPr>
          <w:b/>
          <w:i/>
          <w:sz w:val="24"/>
        </w:rPr>
      </w:pPr>
      <w:bookmarkStart w:id="0" w:name="44"/>
      <w:bookmarkEnd w:id="0"/>
      <w:r w:rsidRPr="00F66CBB">
        <w:rPr>
          <w:b/>
          <w:i/>
          <w:sz w:val="24"/>
        </w:rPr>
        <w:t>ATC-vet класифікаційний код:</w:t>
      </w:r>
      <w:r w:rsidRPr="00F66CBB">
        <w:rPr>
          <w:b/>
          <w:sz w:val="24"/>
        </w:rPr>
        <w:t xml:space="preserve"> </w:t>
      </w:r>
      <w:r w:rsidRPr="00F66CBB">
        <w:rPr>
          <w:b/>
          <w:i/>
          <w:sz w:val="24"/>
          <w:lang w:val="ru-RU"/>
        </w:rPr>
        <w:t>QG</w:t>
      </w:r>
      <w:r w:rsidRPr="00F66CBB">
        <w:rPr>
          <w:b/>
          <w:i/>
          <w:sz w:val="24"/>
        </w:rPr>
        <w:t>02</w:t>
      </w:r>
      <w:r w:rsidRPr="00F66CBB">
        <w:rPr>
          <w:b/>
          <w:i/>
          <w:sz w:val="24"/>
          <w:lang w:val="ru-RU"/>
        </w:rPr>
        <w:t>CB</w:t>
      </w:r>
      <w:r w:rsidRPr="00F66CBB">
        <w:rPr>
          <w:b/>
          <w:i/>
          <w:sz w:val="24"/>
        </w:rPr>
        <w:t xml:space="preserve"> – інгібітори пролактину.</w:t>
      </w:r>
    </w:p>
    <w:p w14:paraId="1F8EB4B5" w14:textId="77777777" w:rsidR="005107EF" w:rsidRPr="00F66CBB" w:rsidRDefault="005107EF" w:rsidP="005107EF">
      <w:pPr>
        <w:pStyle w:val="12"/>
        <w:spacing w:line="240" w:lineRule="auto"/>
        <w:rPr>
          <w:sz w:val="24"/>
        </w:rPr>
      </w:pPr>
      <w:r w:rsidRPr="00F66CBB">
        <w:rPr>
          <w:sz w:val="24"/>
        </w:rPr>
        <w:t>Каберголін, що входить до складу препарату, похідне ерголіну, виконує функцію агоніста дофамінових рецепторів, що призводить до гальмування гіпофізом секреції пролактину, основного гормону лактогенезу. Зниження рівня пролактину попереджує лактацію та сприяє зникненню клінічних ознак несправжньої вагітності у сук та кішок.</w:t>
      </w:r>
    </w:p>
    <w:p w14:paraId="40B74FBB" w14:textId="77777777" w:rsidR="005107EF" w:rsidRPr="00F66CBB" w:rsidRDefault="005107EF" w:rsidP="005107EF">
      <w:pPr>
        <w:pStyle w:val="12"/>
        <w:spacing w:line="240" w:lineRule="auto"/>
        <w:rPr>
          <w:sz w:val="24"/>
        </w:rPr>
      </w:pPr>
      <w:r w:rsidRPr="00F66CBB">
        <w:rPr>
          <w:sz w:val="24"/>
        </w:rPr>
        <w:t xml:space="preserve">Після перорального застосування пік пригнічення секреції пролактину досягається через 4-8 годин і продовжується протягом декількох діб, залежно від дози. </w:t>
      </w:r>
    </w:p>
    <w:p w14:paraId="537A99D1" w14:textId="77777777" w:rsidR="005107EF" w:rsidRPr="00F66CBB" w:rsidRDefault="005107EF" w:rsidP="005107EF">
      <w:pPr>
        <w:pStyle w:val="12"/>
        <w:spacing w:line="240" w:lineRule="auto"/>
        <w:rPr>
          <w:sz w:val="24"/>
        </w:rPr>
      </w:pPr>
      <w:r w:rsidRPr="00F66CBB">
        <w:rPr>
          <w:sz w:val="24"/>
        </w:rPr>
        <w:t>З організму каберголін виділяється у вигляді метаболітів в основному з фекаліями (60%) та, меншою мірою, з сечею (22%).</w:t>
      </w:r>
    </w:p>
    <w:p w14:paraId="216BBB72" w14:textId="77777777" w:rsidR="005107EF" w:rsidRPr="00904712" w:rsidRDefault="005107EF" w:rsidP="005107EF">
      <w:pPr>
        <w:widowControl w:val="0"/>
        <w:ind w:firstLine="709"/>
        <w:rPr>
          <w:b/>
          <w:bCs/>
          <w:lang w:val="uk-UA"/>
        </w:rPr>
      </w:pPr>
      <w:r w:rsidRPr="00904712">
        <w:rPr>
          <w:b/>
          <w:bCs/>
          <w:lang w:val="uk-UA"/>
        </w:rPr>
        <w:t>5. Клінічні особливості</w:t>
      </w:r>
    </w:p>
    <w:p w14:paraId="3D02DA0F" w14:textId="77777777" w:rsidR="005107EF" w:rsidRDefault="005107EF" w:rsidP="005107EF">
      <w:pPr>
        <w:widowControl w:val="0"/>
        <w:ind w:firstLine="709"/>
        <w:rPr>
          <w:b/>
          <w:bCs/>
          <w:lang w:val="uk-UA"/>
        </w:rPr>
      </w:pPr>
      <w:r w:rsidRPr="00904712">
        <w:rPr>
          <w:b/>
          <w:bCs/>
          <w:lang w:val="uk-UA"/>
        </w:rPr>
        <w:t>5.1 Вид тварин</w:t>
      </w:r>
    </w:p>
    <w:p w14:paraId="31743C87" w14:textId="77777777" w:rsidR="005107EF" w:rsidRPr="00E27475" w:rsidRDefault="005107EF" w:rsidP="005107EF">
      <w:pPr>
        <w:widowControl w:val="0"/>
        <w:ind w:firstLine="709"/>
        <w:rPr>
          <w:lang w:val="uk-UA"/>
        </w:rPr>
      </w:pPr>
      <w:r w:rsidRPr="00E27475">
        <w:rPr>
          <w:lang w:val="uk-UA"/>
        </w:rPr>
        <w:t>Собаки та коти.</w:t>
      </w:r>
    </w:p>
    <w:p w14:paraId="5342E108" w14:textId="77777777" w:rsidR="005107EF" w:rsidRDefault="005107EF" w:rsidP="005107EF">
      <w:pPr>
        <w:widowControl w:val="0"/>
        <w:ind w:firstLine="709"/>
        <w:rPr>
          <w:b/>
          <w:bCs/>
          <w:lang w:val="uk-UA"/>
        </w:rPr>
      </w:pPr>
      <w:r w:rsidRPr="00904712">
        <w:rPr>
          <w:b/>
          <w:bCs/>
          <w:lang w:val="uk-UA"/>
        </w:rPr>
        <w:t>5.2 Показання до застосування</w:t>
      </w:r>
    </w:p>
    <w:p w14:paraId="47BFCF84" w14:textId="77777777" w:rsidR="005107EF" w:rsidRPr="00F66CBB" w:rsidRDefault="005107EF" w:rsidP="005107EF">
      <w:pPr>
        <w:widowControl w:val="0"/>
        <w:tabs>
          <w:tab w:val="left" w:pos="3480"/>
        </w:tabs>
        <w:ind w:firstLine="709"/>
        <w:rPr>
          <w:rFonts w:eastAsia="Calibri"/>
          <w:lang w:val="uk-UA"/>
        </w:rPr>
      </w:pPr>
      <w:r w:rsidRPr="00F66CBB">
        <w:rPr>
          <w:rFonts w:eastAsia="Calibri"/>
          <w:lang w:val="uk-UA"/>
        </w:rPr>
        <w:t>АНТИЛАКТ застосовують сукам та кішкам для припинення лактації за клінічними показами (наприклад, в період раннього відлучення цуценят та кошенят) та для припинення несправжньої вагітності.</w:t>
      </w:r>
    </w:p>
    <w:p w14:paraId="2488CC1A" w14:textId="77777777" w:rsidR="005107EF" w:rsidRDefault="005107EF" w:rsidP="005107EF">
      <w:pPr>
        <w:widowControl w:val="0"/>
        <w:tabs>
          <w:tab w:val="left" w:pos="3480"/>
        </w:tabs>
        <w:ind w:firstLine="709"/>
        <w:rPr>
          <w:b/>
          <w:bCs/>
          <w:lang w:val="uk-UA"/>
        </w:rPr>
      </w:pPr>
      <w:r w:rsidRPr="00904712">
        <w:rPr>
          <w:b/>
          <w:bCs/>
          <w:lang w:val="uk-UA"/>
        </w:rPr>
        <w:t>5.3 Протипоказання</w:t>
      </w:r>
    </w:p>
    <w:p w14:paraId="2F0AD06C" w14:textId="77777777" w:rsidR="005107EF" w:rsidRPr="00F66CBB" w:rsidRDefault="005107EF" w:rsidP="005107EF">
      <w:pPr>
        <w:widowControl w:val="0"/>
        <w:ind w:firstLine="709"/>
        <w:rPr>
          <w:rFonts w:eastAsia="Calibri"/>
          <w:lang w:val="uk-UA"/>
        </w:rPr>
      </w:pPr>
      <w:r w:rsidRPr="00F66CBB">
        <w:rPr>
          <w:rFonts w:eastAsia="Calibri"/>
          <w:lang w:val="uk-UA"/>
        </w:rPr>
        <w:t>Не застосовувати у випадку індивідуальної чутливості тварини до каберголіну.</w:t>
      </w:r>
    </w:p>
    <w:p w14:paraId="4CEA83F1" w14:textId="77777777" w:rsidR="005107EF" w:rsidRPr="00F66CBB" w:rsidRDefault="005107EF" w:rsidP="005107EF">
      <w:pPr>
        <w:widowControl w:val="0"/>
        <w:ind w:firstLine="709"/>
        <w:rPr>
          <w:rFonts w:eastAsia="Calibri"/>
          <w:lang w:val="uk-UA"/>
        </w:rPr>
      </w:pPr>
      <w:r w:rsidRPr="00F66CBB">
        <w:rPr>
          <w:rFonts w:eastAsia="Calibri"/>
          <w:lang w:val="uk-UA"/>
        </w:rPr>
        <w:t>Не застосовувати вагітним сукам та кішкам.</w:t>
      </w:r>
    </w:p>
    <w:p w14:paraId="5BD4A40B" w14:textId="77777777" w:rsidR="005107EF" w:rsidRPr="00F66CBB" w:rsidRDefault="005107EF" w:rsidP="005107EF">
      <w:pPr>
        <w:widowControl w:val="0"/>
        <w:ind w:firstLine="709"/>
        <w:rPr>
          <w:rFonts w:eastAsia="Calibri"/>
          <w:lang w:val="uk-UA"/>
        </w:rPr>
      </w:pPr>
      <w:r w:rsidRPr="00F66CBB">
        <w:rPr>
          <w:rFonts w:eastAsia="Calibri"/>
          <w:lang w:val="uk-UA"/>
        </w:rPr>
        <w:t xml:space="preserve">Не застосовувати лактуючим самкам у період вигодовування потомства. </w:t>
      </w:r>
    </w:p>
    <w:p w14:paraId="07A61EA1" w14:textId="77777777" w:rsidR="005107EF" w:rsidRPr="00F66CBB" w:rsidRDefault="005107EF" w:rsidP="005107EF">
      <w:pPr>
        <w:widowControl w:val="0"/>
        <w:ind w:firstLine="709"/>
        <w:rPr>
          <w:rFonts w:eastAsia="Calibri"/>
          <w:lang w:val="uk-UA"/>
        </w:rPr>
      </w:pPr>
      <w:r w:rsidRPr="00F66CBB">
        <w:rPr>
          <w:rFonts w:eastAsia="Calibri"/>
          <w:lang w:val="uk-UA"/>
        </w:rPr>
        <w:t>Не застосовувати тваринам з нирковою та печінковою недостатністю.</w:t>
      </w:r>
    </w:p>
    <w:p w14:paraId="0AF1B7CB" w14:textId="77777777" w:rsidR="005107EF" w:rsidRPr="00F66CBB" w:rsidRDefault="005107EF" w:rsidP="005107EF">
      <w:pPr>
        <w:widowControl w:val="0"/>
        <w:ind w:firstLine="709"/>
        <w:rPr>
          <w:rFonts w:eastAsia="Calibri"/>
          <w:lang w:val="uk-UA"/>
        </w:rPr>
      </w:pPr>
      <w:r w:rsidRPr="00F66CBB">
        <w:rPr>
          <w:rFonts w:eastAsia="Calibri"/>
          <w:lang w:val="uk-UA"/>
        </w:rPr>
        <w:t>Не застосовувати тваринам у стані гіпотензії.</w:t>
      </w:r>
    </w:p>
    <w:p w14:paraId="7624AE26" w14:textId="77777777" w:rsidR="005107EF" w:rsidRDefault="005107EF" w:rsidP="005107EF">
      <w:pPr>
        <w:widowControl w:val="0"/>
        <w:ind w:firstLine="709"/>
        <w:rPr>
          <w:b/>
          <w:bCs/>
          <w:lang w:val="uk-UA"/>
        </w:rPr>
      </w:pPr>
      <w:r w:rsidRPr="00904712">
        <w:rPr>
          <w:b/>
          <w:bCs/>
          <w:lang w:val="uk-UA"/>
        </w:rPr>
        <w:t>5.4 Побічна дія</w:t>
      </w:r>
    </w:p>
    <w:p w14:paraId="7839EBFA" w14:textId="77777777" w:rsidR="005107EF" w:rsidRDefault="005107EF" w:rsidP="005107EF">
      <w:pPr>
        <w:widowControl w:val="0"/>
        <w:ind w:firstLine="709"/>
        <w:rPr>
          <w:lang w:val="uk-UA"/>
        </w:rPr>
      </w:pPr>
      <w:r w:rsidRPr="00F66CBB">
        <w:rPr>
          <w:lang w:val="uk-UA"/>
        </w:rPr>
        <w:t>У рекомендованих дозах переноситься добре. У перші два дні застосування препарату рідко можливі побічні явища у вигляді блювоти, анорексії, летаргії, що припиняються самостійно та не вимагають відміни препарату. У випадку появи нестримної блювоти препарат відміняють.</w:t>
      </w:r>
    </w:p>
    <w:p w14:paraId="611EBF8B" w14:textId="77777777" w:rsidR="005107EF" w:rsidRPr="00F66CBB" w:rsidRDefault="005107EF" w:rsidP="005107EF">
      <w:pPr>
        <w:widowControl w:val="0"/>
        <w:ind w:firstLine="709"/>
        <w:rPr>
          <w:lang w:val="uk-UA"/>
        </w:rPr>
      </w:pPr>
      <w:r w:rsidRPr="00F66CBB">
        <w:rPr>
          <w:lang w:val="uk-UA"/>
        </w:rPr>
        <w:t>Дуже рідко у тварин, що чутливі до похідних ерголіну, можливі алергічні реакції у вигляді свербежу, набряку, дерматиту та кропивниці, що припиняються після відміни препарату та застосування антигістамінних засобів.</w:t>
      </w:r>
    </w:p>
    <w:p w14:paraId="73A71CB9" w14:textId="77777777" w:rsidR="005107EF" w:rsidRDefault="005107EF" w:rsidP="005107EF">
      <w:pPr>
        <w:widowControl w:val="0"/>
        <w:ind w:firstLine="709"/>
        <w:rPr>
          <w:b/>
          <w:bCs/>
          <w:lang w:val="uk-UA"/>
        </w:rPr>
      </w:pPr>
      <w:r w:rsidRPr="00904712">
        <w:rPr>
          <w:b/>
          <w:bCs/>
          <w:lang w:val="uk-UA"/>
        </w:rPr>
        <w:t>5.5 Особливі застереження при використанні</w:t>
      </w:r>
    </w:p>
    <w:p w14:paraId="6D05CE41" w14:textId="77777777" w:rsidR="005107EF" w:rsidRPr="00E27475" w:rsidRDefault="005107EF" w:rsidP="005107EF">
      <w:pPr>
        <w:pStyle w:val="12"/>
        <w:rPr>
          <w:sz w:val="24"/>
        </w:rPr>
      </w:pPr>
      <w:r w:rsidRPr="00740B52">
        <w:rPr>
          <w:sz w:val="24"/>
        </w:rPr>
        <w:t>При зберіганні допускається випадіння осаду, що легко розбивається при струшуванні.</w:t>
      </w:r>
    </w:p>
    <w:p w14:paraId="12C686EE" w14:textId="25AF6AE4" w:rsidR="005107EF" w:rsidRDefault="005107EF" w:rsidP="005107EF">
      <w:pPr>
        <w:widowControl w:val="0"/>
        <w:ind w:firstLine="709"/>
        <w:rPr>
          <w:b/>
          <w:bCs/>
          <w:lang w:val="uk-UA"/>
        </w:rPr>
      </w:pPr>
      <w:r w:rsidRPr="00904712">
        <w:rPr>
          <w:b/>
          <w:bCs/>
          <w:lang w:val="uk-UA"/>
        </w:rPr>
        <w:t>5.6 Використання під час вагітності, лактації</w:t>
      </w:r>
      <w:r w:rsidR="00E85C4C">
        <w:rPr>
          <w:b/>
          <w:bCs/>
          <w:lang w:val="uk-UA"/>
        </w:rPr>
        <w:t>, несучості</w:t>
      </w:r>
    </w:p>
    <w:p w14:paraId="653320EA" w14:textId="77777777" w:rsidR="005107EF" w:rsidRPr="00F66CBB" w:rsidRDefault="005107EF" w:rsidP="005107EF">
      <w:pPr>
        <w:widowControl w:val="0"/>
        <w:ind w:firstLine="709"/>
        <w:rPr>
          <w:rFonts w:eastAsia="Calibri"/>
          <w:lang w:val="uk-UA"/>
        </w:rPr>
      </w:pPr>
      <w:r w:rsidRPr="00F66CBB">
        <w:rPr>
          <w:rFonts w:eastAsia="Calibri"/>
          <w:lang w:val="uk-UA"/>
        </w:rPr>
        <w:t>Не застосовувати вагітним сукам та кішкам.</w:t>
      </w:r>
    </w:p>
    <w:p w14:paraId="7582A3A5" w14:textId="77777777" w:rsidR="005107EF" w:rsidRPr="00F66CBB" w:rsidRDefault="005107EF" w:rsidP="005107EF">
      <w:pPr>
        <w:widowControl w:val="0"/>
        <w:ind w:firstLine="709"/>
        <w:rPr>
          <w:rFonts w:eastAsia="Calibri"/>
          <w:lang w:val="uk-UA"/>
        </w:rPr>
      </w:pPr>
      <w:r w:rsidRPr="00F66CBB">
        <w:rPr>
          <w:rFonts w:eastAsia="Calibri"/>
          <w:lang w:val="uk-UA"/>
        </w:rPr>
        <w:t xml:space="preserve">Не застосовувати лактуючим самкам у період вигодовування потомства. </w:t>
      </w:r>
    </w:p>
    <w:p w14:paraId="2FCCEDB3" w14:textId="77777777" w:rsidR="005107EF" w:rsidRDefault="005107EF" w:rsidP="005107EF">
      <w:pPr>
        <w:widowControl w:val="0"/>
        <w:ind w:firstLine="709"/>
        <w:rPr>
          <w:b/>
          <w:bCs/>
          <w:lang w:val="uk-UA"/>
        </w:rPr>
      </w:pPr>
      <w:r w:rsidRPr="00904712">
        <w:rPr>
          <w:b/>
          <w:bCs/>
          <w:lang w:val="uk-UA"/>
        </w:rPr>
        <w:t>5.7 Взаємодія з іншими засобами або інші форми взаємодії</w:t>
      </w:r>
    </w:p>
    <w:p w14:paraId="63C7B023" w14:textId="77777777" w:rsidR="005107EF" w:rsidRPr="00F66CBB" w:rsidRDefault="005107EF" w:rsidP="005107EF">
      <w:pPr>
        <w:widowControl w:val="0"/>
        <w:ind w:firstLine="709"/>
        <w:rPr>
          <w:rFonts w:eastAsia="Calibri"/>
          <w:lang w:val="uk-UA"/>
        </w:rPr>
      </w:pPr>
      <w:r w:rsidRPr="00F66CBB">
        <w:rPr>
          <w:rFonts w:eastAsia="Calibri"/>
          <w:lang w:val="uk-UA"/>
        </w:rPr>
        <w:t>Не застосовувати препарат з антагоністами дофаміну (напр., метоклопрамід), а також з препаратами, що мають гіпотензивну дію.</w:t>
      </w:r>
    </w:p>
    <w:p w14:paraId="7EBD0CD2" w14:textId="77777777" w:rsidR="005107EF" w:rsidRDefault="005107EF" w:rsidP="005107EF">
      <w:pPr>
        <w:widowControl w:val="0"/>
        <w:ind w:firstLine="709"/>
        <w:rPr>
          <w:b/>
          <w:bCs/>
          <w:lang w:val="uk-UA"/>
        </w:rPr>
      </w:pPr>
      <w:r w:rsidRPr="00904712">
        <w:rPr>
          <w:b/>
          <w:bCs/>
          <w:lang w:val="uk-UA"/>
        </w:rPr>
        <w:t>5.8 Дози і способи введення тваринам різного віку</w:t>
      </w:r>
    </w:p>
    <w:p w14:paraId="35A1D9E3" w14:textId="77777777" w:rsidR="005107EF" w:rsidRDefault="005107EF" w:rsidP="005107EF">
      <w:pPr>
        <w:ind w:firstLine="567"/>
        <w:rPr>
          <w:rFonts w:eastAsia="Calibri"/>
          <w:lang w:val="uk-UA"/>
        </w:rPr>
      </w:pPr>
      <w:r w:rsidRPr="00F66CBB">
        <w:rPr>
          <w:rFonts w:eastAsia="Calibri"/>
          <w:lang w:val="uk-UA"/>
        </w:rPr>
        <w:t>Препарат застосовують перорально з кормом або безпосередньо на корінь язика у дозі 0,1 мл (3 краплі, еквівалентно 5 мкг каберголіну на кг м.т.) на 1 кг маси тіла тварини, 1 раз на добу протягом 4-6 діб.</w:t>
      </w:r>
    </w:p>
    <w:p w14:paraId="1D30AE36" w14:textId="77777777" w:rsidR="005107EF" w:rsidRDefault="005107EF" w:rsidP="005107EF">
      <w:pPr>
        <w:widowControl w:val="0"/>
        <w:ind w:firstLine="709"/>
        <w:rPr>
          <w:b/>
          <w:bCs/>
          <w:lang w:val="uk-UA"/>
        </w:rPr>
      </w:pPr>
      <w:r w:rsidRPr="00904712">
        <w:rPr>
          <w:b/>
          <w:bCs/>
          <w:lang w:val="uk-UA"/>
        </w:rPr>
        <w:lastRenderedPageBreak/>
        <w:t>5.9 Передозування (симптоми, невідкладні заходи, антидоти)</w:t>
      </w:r>
    </w:p>
    <w:p w14:paraId="6F9811CD" w14:textId="77777777" w:rsidR="005107EF" w:rsidRDefault="005107EF" w:rsidP="005107EF">
      <w:pPr>
        <w:widowControl w:val="0"/>
        <w:ind w:firstLine="709"/>
        <w:rPr>
          <w:lang w:val="uk-UA"/>
        </w:rPr>
      </w:pPr>
      <w:r w:rsidRPr="00E27475">
        <w:rPr>
          <w:lang w:val="uk-UA"/>
        </w:rPr>
        <w:t>Симптом</w:t>
      </w:r>
      <w:r>
        <w:rPr>
          <w:lang w:val="uk-UA"/>
        </w:rPr>
        <w:t>ів</w:t>
      </w:r>
      <w:r w:rsidRPr="00E27475">
        <w:rPr>
          <w:lang w:val="uk-UA"/>
        </w:rPr>
        <w:t xml:space="preserve"> передозування не реєстр</w:t>
      </w:r>
      <w:r>
        <w:rPr>
          <w:lang w:val="uk-UA"/>
        </w:rPr>
        <w:t>увалось</w:t>
      </w:r>
      <w:r w:rsidRPr="00E27475">
        <w:rPr>
          <w:lang w:val="uk-UA"/>
        </w:rPr>
        <w:t>.</w:t>
      </w:r>
    </w:p>
    <w:p w14:paraId="37EFCA8D" w14:textId="77777777" w:rsidR="005107EF" w:rsidRPr="00E27475" w:rsidRDefault="005107EF" w:rsidP="005107EF">
      <w:pPr>
        <w:widowControl w:val="0"/>
        <w:ind w:firstLine="709"/>
        <w:rPr>
          <w:lang w:val="uk-UA"/>
        </w:rPr>
      </w:pPr>
      <w:r>
        <w:rPr>
          <w:lang w:val="uk-UA"/>
        </w:rPr>
        <w:t>При підвищеній індивідуальній чутливості тварини до компонентів лікарського засобу і появі побічних реакцій, слід припинити застосування препарату та провести десенсибілізуючу або симптоматичну терапію.</w:t>
      </w:r>
    </w:p>
    <w:p w14:paraId="053A5E6A" w14:textId="77777777" w:rsidR="005107EF" w:rsidRDefault="005107EF" w:rsidP="005107EF">
      <w:pPr>
        <w:widowControl w:val="0"/>
        <w:ind w:firstLine="709"/>
        <w:rPr>
          <w:b/>
          <w:bCs/>
          <w:lang w:val="uk-UA"/>
        </w:rPr>
      </w:pPr>
      <w:r w:rsidRPr="00904712">
        <w:rPr>
          <w:b/>
          <w:bCs/>
          <w:lang w:val="uk-UA"/>
        </w:rPr>
        <w:t>5.10 Спеціальні застереження</w:t>
      </w:r>
    </w:p>
    <w:p w14:paraId="2B44BE28" w14:textId="77777777" w:rsidR="005107EF" w:rsidRPr="00740B52" w:rsidRDefault="005107EF" w:rsidP="005107EF">
      <w:pPr>
        <w:pStyle w:val="12"/>
        <w:rPr>
          <w:sz w:val="24"/>
        </w:rPr>
      </w:pPr>
      <w:r w:rsidRPr="00740B52">
        <w:rPr>
          <w:sz w:val="24"/>
        </w:rPr>
        <w:t>Препарат не призначений для застосування продуктивним тваринам.</w:t>
      </w:r>
    </w:p>
    <w:p w14:paraId="073FE079" w14:textId="77777777" w:rsidR="005107EF" w:rsidRDefault="005107EF" w:rsidP="005107EF">
      <w:pPr>
        <w:widowControl w:val="0"/>
        <w:ind w:firstLine="709"/>
        <w:rPr>
          <w:b/>
          <w:bCs/>
          <w:lang w:val="uk-UA"/>
        </w:rPr>
      </w:pPr>
      <w:r w:rsidRPr="00904712">
        <w:rPr>
          <w:b/>
          <w:bCs/>
          <w:lang w:val="uk-UA"/>
        </w:rPr>
        <w:t>5.11 Період виведення (каренції)</w:t>
      </w:r>
    </w:p>
    <w:p w14:paraId="38933090" w14:textId="77777777" w:rsidR="005107EF" w:rsidRPr="00C1625C" w:rsidRDefault="005107EF" w:rsidP="005107EF">
      <w:pPr>
        <w:widowControl w:val="0"/>
        <w:ind w:firstLine="709"/>
        <w:rPr>
          <w:lang w:val="uk-UA"/>
        </w:rPr>
      </w:pPr>
      <w:r w:rsidRPr="00C1625C">
        <w:rPr>
          <w:lang w:val="uk-UA"/>
        </w:rPr>
        <w:t>Відсутній</w:t>
      </w:r>
      <w:r>
        <w:rPr>
          <w:lang w:val="uk-UA"/>
        </w:rPr>
        <w:t>.</w:t>
      </w:r>
    </w:p>
    <w:p w14:paraId="01BADD68" w14:textId="77777777" w:rsidR="005107EF" w:rsidRDefault="005107EF" w:rsidP="005107EF">
      <w:pPr>
        <w:widowControl w:val="0"/>
        <w:ind w:firstLine="709"/>
        <w:rPr>
          <w:b/>
          <w:bCs/>
          <w:lang w:val="uk-UA"/>
        </w:rPr>
      </w:pPr>
      <w:r w:rsidRPr="00904712">
        <w:rPr>
          <w:b/>
          <w:bCs/>
          <w:lang w:val="uk-UA"/>
        </w:rPr>
        <w:t>5.12 Спеціальні застереження для осіб і обслуговуючого персоналу</w:t>
      </w:r>
    </w:p>
    <w:p w14:paraId="78CC9121" w14:textId="77777777" w:rsidR="005107EF" w:rsidRPr="00C1625C" w:rsidRDefault="005107EF" w:rsidP="005107EF">
      <w:pPr>
        <w:widowControl w:val="0"/>
        <w:ind w:firstLine="709"/>
        <w:rPr>
          <w:lang w:val="uk-UA"/>
        </w:rPr>
      </w:pPr>
      <w:r w:rsidRPr="00C1625C">
        <w:rPr>
          <w:lang w:val="uk-UA"/>
        </w:rPr>
        <w:t>Персонал, який працює з препаратом, повинен дотримуватись основних правил гігієни та безпеки, прийнятих при роботі з ветеринарними препаратами.</w:t>
      </w:r>
    </w:p>
    <w:p w14:paraId="5AE8A197" w14:textId="77777777" w:rsidR="005107EF" w:rsidRPr="00904712" w:rsidRDefault="005107EF" w:rsidP="005107EF">
      <w:pPr>
        <w:widowControl w:val="0"/>
        <w:ind w:firstLine="709"/>
        <w:rPr>
          <w:b/>
          <w:bCs/>
          <w:lang w:val="uk-UA"/>
        </w:rPr>
      </w:pPr>
      <w:r w:rsidRPr="00904712">
        <w:rPr>
          <w:b/>
          <w:bCs/>
          <w:lang w:val="uk-UA"/>
        </w:rPr>
        <w:t>6. Фармацевтичні особливості</w:t>
      </w:r>
    </w:p>
    <w:p w14:paraId="298BFF57" w14:textId="77777777" w:rsidR="005107EF" w:rsidRDefault="005107EF" w:rsidP="005107EF">
      <w:pPr>
        <w:widowControl w:val="0"/>
        <w:ind w:firstLine="709"/>
        <w:rPr>
          <w:b/>
          <w:bCs/>
          <w:lang w:val="uk-UA"/>
        </w:rPr>
      </w:pPr>
      <w:r w:rsidRPr="00904712">
        <w:rPr>
          <w:b/>
          <w:bCs/>
          <w:lang w:val="uk-UA"/>
        </w:rPr>
        <w:t>6.1 Форми несумісності</w:t>
      </w:r>
    </w:p>
    <w:p w14:paraId="7ACF6C24" w14:textId="77777777" w:rsidR="005107EF" w:rsidRPr="004925FD" w:rsidRDefault="005107EF" w:rsidP="005107EF">
      <w:pPr>
        <w:widowControl w:val="0"/>
        <w:ind w:firstLine="709"/>
        <w:rPr>
          <w:rFonts w:eastAsia="Calibri"/>
          <w:lang w:val="uk-UA"/>
        </w:rPr>
      </w:pPr>
      <w:r w:rsidRPr="004925FD">
        <w:rPr>
          <w:rFonts w:eastAsia="Calibri"/>
          <w:lang w:val="uk-UA"/>
        </w:rPr>
        <w:t>Не застосовувати препарат з антагоністами дофаміну (напр., метоклопрамід), а також з препаратами, що мають гіпотензивну дію.</w:t>
      </w:r>
    </w:p>
    <w:p w14:paraId="0274A27C" w14:textId="77777777" w:rsidR="005107EF" w:rsidRDefault="005107EF" w:rsidP="005107EF">
      <w:pPr>
        <w:widowControl w:val="0"/>
        <w:ind w:firstLine="709"/>
        <w:rPr>
          <w:b/>
          <w:bCs/>
          <w:lang w:val="uk-UA"/>
        </w:rPr>
      </w:pPr>
      <w:r w:rsidRPr="00904712">
        <w:rPr>
          <w:b/>
          <w:bCs/>
          <w:lang w:val="uk-UA"/>
        </w:rPr>
        <w:t>6.2 Термін придатності</w:t>
      </w:r>
    </w:p>
    <w:p w14:paraId="4F8A16D5" w14:textId="77777777" w:rsidR="005107EF" w:rsidRDefault="005107EF" w:rsidP="005107EF">
      <w:pPr>
        <w:widowControl w:val="0"/>
        <w:ind w:firstLine="709"/>
        <w:rPr>
          <w:lang w:val="uk-UA"/>
        </w:rPr>
      </w:pPr>
      <w:r w:rsidRPr="00C1625C">
        <w:rPr>
          <w:lang w:val="uk-UA"/>
        </w:rPr>
        <w:t>2 роки.</w:t>
      </w:r>
    </w:p>
    <w:p w14:paraId="7F9AD486" w14:textId="77777777" w:rsidR="005107EF" w:rsidRPr="004925FD" w:rsidRDefault="005107EF" w:rsidP="005107EF">
      <w:pPr>
        <w:shd w:val="clear" w:color="auto" w:fill="FFFFFF"/>
        <w:ind w:firstLine="709"/>
        <w:rPr>
          <w:lang w:val="uk-UA"/>
        </w:rPr>
      </w:pPr>
      <w:r w:rsidRPr="004925FD">
        <w:rPr>
          <w:lang w:val="uk-UA"/>
        </w:rPr>
        <w:t>Після першого відкриття флакону –28 діб, за умови зберігання його у темному місці за температури від 5 до 25° С.</w:t>
      </w:r>
    </w:p>
    <w:p w14:paraId="71D82624" w14:textId="77777777" w:rsidR="005107EF" w:rsidRDefault="005107EF" w:rsidP="005107EF">
      <w:pPr>
        <w:shd w:val="clear" w:color="auto" w:fill="FFFFFF"/>
        <w:ind w:firstLine="709"/>
        <w:rPr>
          <w:b/>
          <w:bCs/>
          <w:lang w:val="uk-UA"/>
        </w:rPr>
      </w:pPr>
      <w:r w:rsidRPr="00904712">
        <w:rPr>
          <w:b/>
          <w:bCs/>
          <w:lang w:val="uk-UA"/>
        </w:rPr>
        <w:t>6.3 Особливі заходи зберігання</w:t>
      </w:r>
    </w:p>
    <w:p w14:paraId="0C3C30E3" w14:textId="77777777" w:rsidR="005107EF" w:rsidRPr="00740B52" w:rsidRDefault="005107EF" w:rsidP="005107EF">
      <w:pPr>
        <w:shd w:val="clear" w:color="auto" w:fill="FFFFFF"/>
        <w:ind w:firstLine="709"/>
        <w:rPr>
          <w:rFonts w:eastAsia="Calibri"/>
          <w:lang w:val="uk-UA" w:eastAsia="en-US"/>
        </w:rPr>
      </w:pPr>
      <w:r w:rsidRPr="00740B52">
        <w:rPr>
          <w:lang w:val="uk-UA"/>
        </w:rPr>
        <w:t>Темне, недоступне для дітей місце за температури від 5 до 25 °С.</w:t>
      </w:r>
      <w:r w:rsidRPr="00740B52">
        <w:rPr>
          <w:rFonts w:eastAsia="Calibri"/>
          <w:lang w:val="uk-UA" w:eastAsia="en-US"/>
        </w:rPr>
        <w:t xml:space="preserve"> </w:t>
      </w:r>
    </w:p>
    <w:p w14:paraId="7C2C270A" w14:textId="77777777" w:rsidR="005107EF" w:rsidRDefault="005107EF" w:rsidP="005107EF">
      <w:pPr>
        <w:widowControl w:val="0"/>
        <w:ind w:firstLine="709"/>
        <w:rPr>
          <w:b/>
          <w:bCs/>
          <w:lang w:val="uk-UA"/>
        </w:rPr>
      </w:pPr>
      <w:r w:rsidRPr="00904712">
        <w:rPr>
          <w:b/>
          <w:bCs/>
          <w:lang w:val="uk-UA"/>
        </w:rPr>
        <w:t>6.4 Природа і склад контейнера первинного пакування</w:t>
      </w:r>
    </w:p>
    <w:p w14:paraId="44E29BC6" w14:textId="47571DF4" w:rsidR="005107EF" w:rsidRPr="004925FD" w:rsidRDefault="005107EF" w:rsidP="005107EF">
      <w:pPr>
        <w:widowControl w:val="0"/>
        <w:ind w:firstLine="709"/>
        <w:rPr>
          <w:lang w:val="uk-UA"/>
        </w:rPr>
      </w:pPr>
      <w:r w:rsidRPr="004925FD">
        <w:rPr>
          <w:lang w:val="uk-UA"/>
        </w:rPr>
        <w:t>Флакони-крапельниці з темного скла по 3,</w:t>
      </w:r>
      <w:r w:rsidR="00424C57" w:rsidRPr="00424C57">
        <w:t xml:space="preserve"> 5,</w:t>
      </w:r>
      <w:r w:rsidRPr="004925FD">
        <w:rPr>
          <w:lang w:val="uk-UA"/>
        </w:rPr>
        <w:t xml:space="preserve"> 7 та 15 мл розчину препарату.</w:t>
      </w:r>
    </w:p>
    <w:p w14:paraId="447EDF8F" w14:textId="77777777" w:rsidR="005107EF" w:rsidRDefault="005107EF" w:rsidP="005107EF">
      <w:pPr>
        <w:widowControl w:val="0"/>
        <w:ind w:firstLine="709"/>
        <w:rPr>
          <w:b/>
          <w:bCs/>
          <w:lang w:val="uk-UA"/>
        </w:rPr>
      </w:pPr>
      <w:r w:rsidRPr="00904712">
        <w:rPr>
          <w:b/>
          <w:bCs/>
          <w:lang w:val="uk-UA"/>
        </w:rPr>
        <w:t>6.5 Особливі заходи безпеки при поводженні з невикористаним препаратом або із його залишками</w:t>
      </w:r>
    </w:p>
    <w:p w14:paraId="5253489D" w14:textId="77777777" w:rsidR="005107EF" w:rsidRPr="00C1625C" w:rsidRDefault="005107EF" w:rsidP="005107EF">
      <w:pPr>
        <w:widowControl w:val="0"/>
        <w:ind w:firstLine="709"/>
        <w:rPr>
          <w:lang w:val="uk-UA"/>
        </w:rPr>
      </w:pPr>
      <w:r w:rsidRPr="00C1625C">
        <w:rPr>
          <w:lang w:val="uk-UA"/>
        </w:rPr>
        <w:t>Порожню упаковку та залишки невикористаного препарату потрібно утилізувати згідно з чинним законодавством.</w:t>
      </w:r>
    </w:p>
    <w:p w14:paraId="60159CCE" w14:textId="77777777" w:rsidR="005107EF" w:rsidRPr="00904712" w:rsidRDefault="005107EF" w:rsidP="005107EF">
      <w:pPr>
        <w:ind w:firstLine="709"/>
      </w:pPr>
      <w:r w:rsidRPr="00904712">
        <w:rPr>
          <w:b/>
        </w:rPr>
        <w:t xml:space="preserve">7. Назва та </w:t>
      </w:r>
      <w:r w:rsidRPr="00904712">
        <w:rPr>
          <w:b/>
          <w:lang w:val="uk-UA"/>
        </w:rPr>
        <w:t>м</w:t>
      </w:r>
      <w:r w:rsidRPr="00904712">
        <w:rPr>
          <w:b/>
        </w:rPr>
        <w:t>ісцезнаходження власника реєстраційного посвідчення</w:t>
      </w:r>
    </w:p>
    <w:p w14:paraId="382D68A6" w14:textId="77777777" w:rsidR="005107EF" w:rsidRPr="00904712" w:rsidRDefault="005107EF" w:rsidP="005107EF">
      <w:pPr>
        <w:ind w:firstLine="709"/>
      </w:pPr>
      <w:r w:rsidRPr="00904712">
        <w:t>ТОВ "БІОТЕСТЛАБ"</w:t>
      </w:r>
    </w:p>
    <w:p w14:paraId="41146BAA" w14:textId="77777777" w:rsidR="005107EF" w:rsidRPr="00904712" w:rsidRDefault="005107EF" w:rsidP="005107EF">
      <w:pPr>
        <w:ind w:firstLine="709"/>
        <w:rPr>
          <w:lang w:val="uk-UA"/>
        </w:rPr>
      </w:pPr>
      <w:r w:rsidRPr="00904712">
        <w:t>Україна</w:t>
      </w:r>
      <w:r w:rsidRPr="00904712">
        <w:rPr>
          <w:lang w:val="uk-UA"/>
        </w:rPr>
        <w:t>,</w:t>
      </w:r>
      <w:r w:rsidRPr="00904712">
        <w:t xml:space="preserve"> 08601, Київська область, м. Васильків, вул. Володимирська, 57А</w:t>
      </w:r>
      <w:r w:rsidRPr="00904712">
        <w:rPr>
          <w:lang w:val="uk-UA"/>
        </w:rPr>
        <w:t>.</w:t>
      </w:r>
    </w:p>
    <w:p w14:paraId="47733DE9" w14:textId="77777777" w:rsidR="005107EF" w:rsidRPr="00904712" w:rsidRDefault="005107EF" w:rsidP="005107EF">
      <w:pPr>
        <w:ind w:firstLine="709"/>
      </w:pPr>
      <w:r w:rsidRPr="00904712">
        <w:rPr>
          <w:b/>
        </w:rPr>
        <w:t xml:space="preserve">8. Назва та </w:t>
      </w:r>
      <w:r w:rsidRPr="00904712">
        <w:rPr>
          <w:b/>
          <w:lang w:val="uk-UA"/>
        </w:rPr>
        <w:t>м</w:t>
      </w:r>
      <w:r w:rsidRPr="00904712">
        <w:rPr>
          <w:b/>
        </w:rPr>
        <w:t>ісцезнаходження виробника (виробників)</w:t>
      </w:r>
    </w:p>
    <w:p w14:paraId="2B1AF5BA" w14:textId="77777777" w:rsidR="005107EF" w:rsidRPr="00904712" w:rsidRDefault="005107EF" w:rsidP="005107EF">
      <w:pPr>
        <w:ind w:firstLine="709"/>
        <w:rPr>
          <w:lang w:val="uk-UA"/>
        </w:rPr>
      </w:pPr>
      <w:r w:rsidRPr="00904712">
        <w:rPr>
          <w:lang w:val="uk-UA"/>
        </w:rPr>
        <w:t>ТОВ «</w:t>
      </w:r>
      <w:r w:rsidRPr="00904712">
        <w:t>БІОТЕСТЛАБ</w:t>
      </w:r>
      <w:r w:rsidRPr="00904712">
        <w:rPr>
          <w:lang w:val="uk-UA"/>
        </w:rPr>
        <w:t>»</w:t>
      </w:r>
    </w:p>
    <w:p w14:paraId="4451B17E" w14:textId="77777777" w:rsidR="005107EF" w:rsidRDefault="005107EF" w:rsidP="005107EF">
      <w:pPr>
        <w:ind w:firstLine="709"/>
        <w:rPr>
          <w:lang w:val="uk-UA"/>
        </w:rPr>
      </w:pPr>
      <w:r w:rsidRPr="00904712">
        <w:t>Україна</w:t>
      </w:r>
      <w:r w:rsidRPr="00904712">
        <w:rPr>
          <w:lang w:val="uk-UA"/>
        </w:rPr>
        <w:t>,</w:t>
      </w:r>
      <w:r w:rsidRPr="00904712">
        <w:t xml:space="preserve"> 08601, Київська область, Обухівський район, м. Васильків,</w:t>
      </w:r>
      <w:r w:rsidRPr="00904712">
        <w:rPr>
          <w:lang w:val="uk-UA"/>
        </w:rPr>
        <w:t xml:space="preserve"> </w:t>
      </w:r>
      <w:r w:rsidRPr="00904712">
        <w:t xml:space="preserve">вул. Лістрового Олександра, 1/3 </w:t>
      </w:r>
    </w:p>
    <w:p w14:paraId="0D130F36" w14:textId="77777777" w:rsidR="005107EF" w:rsidRPr="00904712" w:rsidRDefault="005107EF" w:rsidP="005107EF">
      <w:pPr>
        <w:ind w:firstLine="709"/>
      </w:pPr>
      <w:r w:rsidRPr="00904712">
        <w:rPr>
          <w:u w:val="single"/>
          <w:lang w:val="en-US"/>
        </w:rPr>
        <w:t>www</w:t>
      </w:r>
      <w:r w:rsidRPr="00904712">
        <w:rPr>
          <w:u w:val="single"/>
        </w:rPr>
        <w:t>.</w:t>
      </w:r>
      <w:r w:rsidRPr="00904712">
        <w:rPr>
          <w:u w:val="single"/>
          <w:lang w:val="en-US"/>
        </w:rPr>
        <w:t>biotestlab</w:t>
      </w:r>
      <w:r w:rsidRPr="00904712">
        <w:rPr>
          <w:u w:val="single"/>
        </w:rPr>
        <w:t>.</w:t>
      </w:r>
      <w:r w:rsidRPr="00904712">
        <w:rPr>
          <w:u w:val="single"/>
          <w:lang w:val="en-US"/>
        </w:rPr>
        <w:t>ua</w:t>
      </w:r>
      <w:r w:rsidRPr="00904712">
        <w:rPr>
          <w:u w:val="single"/>
        </w:rPr>
        <w:t>.</w:t>
      </w:r>
    </w:p>
    <w:p w14:paraId="2F3B3554" w14:textId="77777777" w:rsidR="005107EF" w:rsidRPr="00904712" w:rsidRDefault="005107EF" w:rsidP="005107EF">
      <w:pPr>
        <w:ind w:firstLine="709"/>
        <w:rPr>
          <w:b/>
        </w:rPr>
      </w:pPr>
      <w:r w:rsidRPr="00904712">
        <w:rPr>
          <w:b/>
        </w:rPr>
        <w:t>9. Додаткова інформація</w:t>
      </w:r>
    </w:p>
    <w:p w14:paraId="0D799F86" w14:textId="77777777" w:rsidR="005107EF" w:rsidRPr="00904712" w:rsidRDefault="005107EF" w:rsidP="005107EF">
      <w:pPr>
        <w:ind w:firstLine="709"/>
        <w:rPr>
          <w:lang w:val="uk-UA"/>
        </w:rPr>
      </w:pPr>
      <w:r w:rsidRPr="00904712">
        <w:t>Відсутня.</w:t>
      </w:r>
    </w:p>
    <w:p w14:paraId="258A3A05" w14:textId="77777777" w:rsidR="00CA606C" w:rsidRPr="00BF574D" w:rsidRDefault="00CA606C" w:rsidP="005107EF">
      <w:pPr>
        <w:widowControl w:val="0"/>
        <w:ind w:firstLine="425"/>
        <w:jc w:val="both"/>
      </w:pPr>
    </w:p>
    <w:sectPr w:rsidR="00CA606C" w:rsidRPr="00BF574D" w:rsidSect="00CD3320">
      <w:headerReference w:type="even" r:id="rId8"/>
      <w:headerReference w:type="default" r:id="rId9"/>
      <w:footerReference w:type="even" r:id="rId10"/>
      <w:footerReference w:type="default" r:id="rId11"/>
      <w:headerReference w:type="first" r:id="rId12"/>
      <w:footerReference w:type="first" r:id="rId13"/>
      <w:pgSz w:w="11906" w:h="16838"/>
      <w:pgMar w:top="567" w:right="45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B8611" w14:textId="77777777" w:rsidR="00CD3320" w:rsidRDefault="00CD3320" w:rsidP="00CD3320">
      <w:r>
        <w:separator/>
      </w:r>
    </w:p>
  </w:endnote>
  <w:endnote w:type="continuationSeparator" w:id="0">
    <w:p w14:paraId="76EE4667" w14:textId="77777777" w:rsidR="00CD3320" w:rsidRDefault="00CD3320" w:rsidP="00CD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DE8F" w14:textId="77777777" w:rsidR="00F90AA0" w:rsidRDefault="00F90A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5C9A" w14:textId="77777777" w:rsidR="00F90AA0" w:rsidRDefault="00F90AA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4CE1" w14:textId="77777777" w:rsidR="00F90AA0" w:rsidRDefault="00F90A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3CBE" w14:textId="77777777" w:rsidR="00CD3320" w:rsidRDefault="00CD3320" w:rsidP="00CD3320">
      <w:r>
        <w:separator/>
      </w:r>
    </w:p>
  </w:footnote>
  <w:footnote w:type="continuationSeparator" w:id="0">
    <w:p w14:paraId="6E98A537" w14:textId="77777777" w:rsidR="00CD3320" w:rsidRDefault="00CD3320" w:rsidP="00CD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FC81" w14:textId="77777777" w:rsidR="00F90AA0" w:rsidRDefault="00F90AA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5B42" w14:textId="77777777" w:rsidR="00CD3320" w:rsidRPr="00877901" w:rsidRDefault="00CD3320" w:rsidP="00CD3320">
    <w:pPr>
      <w:widowControl w:val="0"/>
      <w:ind w:firstLine="425"/>
      <w:jc w:val="right"/>
      <w:rPr>
        <w:bCs/>
        <w:color w:val="000000"/>
        <w:spacing w:val="3"/>
      </w:rPr>
    </w:pPr>
    <w:r>
      <w:rPr>
        <w:bCs/>
        <w:color w:val="000000"/>
        <w:spacing w:val="3"/>
      </w:rPr>
      <w:t>Продовження Додат</w:t>
    </w:r>
    <w:r w:rsidRPr="00877901">
      <w:rPr>
        <w:bCs/>
        <w:color w:val="000000"/>
        <w:spacing w:val="3"/>
      </w:rPr>
      <w:t>к</w:t>
    </w:r>
    <w:r>
      <w:rPr>
        <w:bCs/>
        <w:color w:val="000000"/>
        <w:spacing w:val="3"/>
      </w:rPr>
      <w:t>у</w:t>
    </w:r>
    <w:r w:rsidRPr="00877901">
      <w:rPr>
        <w:bCs/>
        <w:color w:val="000000"/>
        <w:spacing w:val="3"/>
      </w:rPr>
      <w:t xml:space="preserve"> 1 </w:t>
    </w:r>
  </w:p>
  <w:p w14:paraId="2060B36B" w14:textId="65E67F6F" w:rsidR="00CD3320" w:rsidRPr="00877901" w:rsidRDefault="00CD3320" w:rsidP="00CD3320">
    <w:pPr>
      <w:widowControl w:val="0"/>
      <w:ind w:firstLine="425"/>
      <w:jc w:val="right"/>
      <w:rPr>
        <w:bCs/>
        <w:color w:val="000000"/>
        <w:spacing w:val="3"/>
      </w:rPr>
    </w:pPr>
    <w:r w:rsidRPr="00877901">
      <w:rPr>
        <w:bCs/>
        <w:color w:val="000000"/>
        <w:spacing w:val="3"/>
      </w:rPr>
      <w:t>до реєстраційного посвідчення</w:t>
    </w:r>
    <w:r>
      <w:rPr>
        <w:bCs/>
        <w:color w:val="000000"/>
        <w:spacing w:val="3"/>
      </w:rPr>
      <w:t xml:space="preserve"> </w:t>
    </w:r>
    <w:r w:rsidR="00F90AA0" w:rsidRPr="00747358">
      <w:rPr>
        <w:lang w:val="uk-UA"/>
      </w:rPr>
      <w:t>АВ-0</w:t>
    </w:r>
    <w:r w:rsidR="00F90AA0" w:rsidRPr="00847C51">
      <w:t>9473</w:t>
    </w:r>
    <w:r w:rsidR="00F90AA0" w:rsidRPr="00747358">
      <w:rPr>
        <w:lang w:val="uk-UA"/>
      </w:rPr>
      <w:t>-01-</w:t>
    </w:r>
    <w:r w:rsidR="00F90AA0" w:rsidRPr="00847C51">
      <w:t>21</w:t>
    </w:r>
  </w:p>
  <w:p w14:paraId="38CFCB71" w14:textId="77777777" w:rsidR="00CD3320" w:rsidRPr="00CD3320" w:rsidRDefault="00CD332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4EF1" w14:textId="77777777" w:rsidR="00CD3320" w:rsidRPr="00877901" w:rsidRDefault="00CD3320" w:rsidP="00CD3320">
    <w:pPr>
      <w:widowControl w:val="0"/>
      <w:ind w:firstLine="425"/>
      <w:jc w:val="right"/>
      <w:rPr>
        <w:bCs/>
        <w:color w:val="000000"/>
        <w:spacing w:val="3"/>
      </w:rPr>
    </w:pPr>
    <w:r w:rsidRPr="00877901">
      <w:rPr>
        <w:bCs/>
        <w:color w:val="000000"/>
        <w:spacing w:val="3"/>
      </w:rPr>
      <w:t xml:space="preserve">Додаток 1 </w:t>
    </w:r>
  </w:p>
  <w:p w14:paraId="55666A3C" w14:textId="5C068EB4" w:rsidR="005E0156" w:rsidRPr="00847C51" w:rsidRDefault="00CD3320" w:rsidP="005E0156">
    <w:pPr>
      <w:widowControl w:val="0"/>
      <w:ind w:firstLine="425"/>
      <w:jc w:val="right"/>
      <w:rPr>
        <w:bCs/>
        <w:color w:val="000000"/>
        <w:spacing w:val="3"/>
      </w:rPr>
    </w:pPr>
    <w:r w:rsidRPr="00877901">
      <w:rPr>
        <w:bCs/>
        <w:color w:val="000000"/>
        <w:spacing w:val="3"/>
      </w:rPr>
      <w:t xml:space="preserve">до реєстраційного посвідчення </w:t>
    </w:r>
    <w:r w:rsidR="00747358" w:rsidRPr="00747358">
      <w:rPr>
        <w:lang w:val="uk-UA"/>
      </w:rPr>
      <w:t>АВ-0</w:t>
    </w:r>
    <w:r w:rsidR="005107EF" w:rsidRPr="00847C51">
      <w:t>9473</w:t>
    </w:r>
    <w:r w:rsidR="00747358" w:rsidRPr="00747358">
      <w:rPr>
        <w:lang w:val="uk-UA"/>
      </w:rPr>
      <w:t>-01-</w:t>
    </w:r>
    <w:r w:rsidR="005107EF" w:rsidRPr="00847C51">
      <w:t>21</w:t>
    </w:r>
  </w:p>
  <w:p w14:paraId="55067535" w14:textId="77777777" w:rsidR="00ED6241" w:rsidRPr="005E0156" w:rsidRDefault="00ED6241" w:rsidP="005E0156">
    <w:pPr>
      <w:widowControl w:val="0"/>
      <w:ind w:firstLine="425"/>
      <w:jc w:val="right"/>
      <w:rPr>
        <w:bCs/>
        <w:color w:val="000000"/>
        <w:spacing w:val="3"/>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C44"/>
    <w:multiLevelType w:val="multilevel"/>
    <w:tmpl w:val="200CB630"/>
    <w:lvl w:ilvl="0">
      <w:start w:val="6"/>
      <w:numFmt w:val="decimal"/>
      <w:lvlText w:val="%1"/>
      <w:lvlJc w:val="left"/>
      <w:pPr>
        <w:ind w:left="375" w:hanging="375"/>
      </w:pPr>
      <w:rPr>
        <w:rFonts w:hint="default"/>
        <w:color w:val="000000"/>
      </w:rPr>
    </w:lvl>
    <w:lvl w:ilvl="1">
      <w:start w:val="1"/>
      <w:numFmt w:val="decimal"/>
      <w:lvlText w:val="%1.%2"/>
      <w:lvlJc w:val="left"/>
      <w:pPr>
        <w:ind w:left="801" w:hanging="37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568" w:hanging="2160"/>
      </w:pPr>
      <w:rPr>
        <w:rFonts w:hint="default"/>
        <w:color w:val="000000"/>
      </w:rPr>
    </w:lvl>
  </w:abstractNum>
  <w:abstractNum w:abstractNumId="1" w15:restartNumberingAfterBreak="0">
    <w:nsid w:val="07C42114"/>
    <w:multiLevelType w:val="hybridMultilevel"/>
    <w:tmpl w:val="A76C4DD4"/>
    <w:lvl w:ilvl="0" w:tplc="CAACBF4E">
      <w:start w:val="1"/>
      <w:numFmt w:val="decimal"/>
      <w:lvlText w:val="%1."/>
      <w:lvlJc w:val="left"/>
      <w:pPr>
        <w:ind w:left="2632" w:hanging="360"/>
      </w:pPr>
      <w:rPr>
        <w:rFonts w:hint="default"/>
        <w:color w:val="000000"/>
      </w:rPr>
    </w:lvl>
    <w:lvl w:ilvl="1" w:tplc="04190019" w:tentative="1">
      <w:start w:val="1"/>
      <w:numFmt w:val="lowerLetter"/>
      <w:lvlText w:val="%2."/>
      <w:lvlJc w:val="left"/>
      <w:pPr>
        <w:ind w:left="3352" w:hanging="360"/>
      </w:pPr>
    </w:lvl>
    <w:lvl w:ilvl="2" w:tplc="0419001B" w:tentative="1">
      <w:start w:val="1"/>
      <w:numFmt w:val="lowerRoman"/>
      <w:lvlText w:val="%3."/>
      <w:lvlJc w:val="right"/>
      <w:pPr>
        <w:ind w:left="4072" w:hanging="180"/>
      </w:pPr>
    </w:lvl>
    <w:lvl w:ilvl="3" w:tplc="0419000F" w:tentative="1">
      <w:start w:val="1"/>
      <w:numFmt w:val="decimal"/>
      <w:lvlText w:val="%4."/>
      <w:lvlJc w:val="left"/>
      <w:pPr>
        <w:ind w:left="4792" w:hanging="360"/>
      </w:pPr>
    </w:lvl>
    <w:lvl w:ilvl="4" w:tplc="04190019" w:tentative="1">
      <w:start w:val="1"/>
      <w:numFmt w:val="lowerLetter"/>
      <w:lvlText w:val="%5."/>
      <w:lvlJc w:val="left"/>
      <w:pPr>
        <w:ind w:left="5512" w:hanging="360"/>
      </w:pPr>
    </w:lvl>
    <w:lvl w:ilvl="5" w:tplc="0419001B" w:tentative="1">
      <w:start w:val="1"/>
      <w:numFmt w:val="lowerRoman"/>
      <w:lvlText w:val="%6."/>
      <w:lvlJc w:val="right"/>
      <w:pPr>
        <w:ind w:left="6232" w:hanging="180"/>
      </w:pPr>
    </w:lvl>
    <w:lvl w:ilvl="6" w:tplc="0419000F" w:tentative="1">
      <w:start w:val="1"/>
      <w:numFmt w:val="decimal"/>
      <w:lvlText w:val="%7."/>
      <w:lvlJc w:val="left"/>
      <w:pPr>
        <w:ind w:left="6952" w:hanging="360"/>
      </w:pPr>
    </w:lvl>
    <w:lvl w:ilvl="7" w:tplc="04190019" w:tentative="1">
      <w:start w:val="1"/>
      <w:numFmt w:val="lowerLetter"/>
      <w:lvlText w:val="%8."/>
      <w:lvlJc w:val="left"/>
      <w:pPr>
        <w:ind w:left="7672" w:hanging="360"/>
      </w:pPr>
    </w:lvl>
    <w:lvl w:ilvl="8" w:tplc="0419001B" w:tentative="1">
      <w:start w:val="1"/>
      <w:numFmt w:val="lowerRoman"/>
      <w:lvlText w:val="%9."/>
      <w:lvlJc w:val="right"/>
      <w:pPr>
        <w:ind w:left="8392" w:hanging="180"/>
      </w:pPr>
    </w:lvl>
  </w:abstractNum>
  <w:abstractNum w:abstractNumId="2" w15:restartNumberingAfterBreak="0">
    <w:nsid w:val="144A144B"/>
    <w:multiLevelType w:val="multilevel"/>
    <w:tmpl w:val="8A5215A0"/>
    <w:lvl w:ilvl="0">
      <w:start w:val="5"/>
      <w:numFmt w:val="decimal"/>
      <w:lvlText w:val="%1"/>
      <w:lvlJc w:val="left"/>
      <w:pPr>
        <w:ind w:left="375" w:hanging="375"/>
      </w:pPr>
      <w:rPr>
        <w:rFonts w:hint="default"/>
        <w:color w:val="000000"/>
      </w:rPr>
    </w:lvl>
    <w:lvl w:ilvl="1">
      <w:start w:val="1"/>
      <w:numFmt w:val="decimal"/>
      <w:lvlText w:val="%1.%2"/>
      <w:lvlJc w:val="left"/>
      <w:pPr>
        <w:ind w:left="801" w:hanging="37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568" w:hanging="2160"/>
      </w:pPr>
      <w:rPr>
        <w:rFonts w:hint="default"/>
        <w:color w:val="000000"/>
      </w:rPr>
    </w:lvl>
  </w:abstractNum>
  <w:abstractNum w:abstractNumId="3" w15:restartNumberingAfterBreak="0">
    <w:nsid w:val="3B974AF4"/>
    <w:multiLevelType w:val="hybridMultilevel"/>
    <w:tmpl w:val="F0882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2336A8B"/>
    <w:multiLevelType w:val="multilevel"/>
    <w:tmpl w:val="958EEC94"/>
    <w:lvl w:ilvl="0">
      <w:start w:val="7"/>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8"/>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730BC1"/>
    <w:multiLevelType w:val="singleLevel"/>
    <w:tmpl w:val="34FC0DC2"/>
    <w:lvl w:ilvl="0">
      <w:start w:val="10"/>
      <w:numFmt w:val="decimal"/>
      <w:lvlText w:val="5.%1"/>
      <w:legacy w:legacy="1" w:legacySpace="0" w:legacyIndent="476"/>
      <w:lvlJc w:val="left"/>
      <w:rPr>
        <w:rFonts w:ascii="Times New Roman" w:hAnsi="Times New Roman" w:cs="Times New Roman" w:hint="default"/>
      </w:rPr>
    </w:lvl>
  </w:abstractNum>
  <w:abstractNum w:abstractNumId="6" w15:restartNumberingAfterBreak="0">
    <w:nsid w:val="74B644B6"/>
    <w:multiLevelType w:val="hybridMultilevel"/>
    <w:tmpl w:val="2D081688"/>
    <w:lvl w:ilvl="0" w:tplc="970A021C">
      <w:start w:val="2"/>
      <w:numFmt w:val="decimal"/>
      <w:lvlText w:val="%1."/>
      <w:lvlJc w:val="left"/>
      <w:pPr>
        <w:ind w:left="502" w:hanging="360"/>
      </w:pPr>
      <w:rPr>
        <w:rFonts w:hint="default"/>
        <w:color w:val="00000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78DA236E"/>
    <w:multiLevelType w:val="singleLevel"/>
    <w:tmpl w:val="BEFA1A6A"/>
    <w:lvl w:ilvl="0">
      <w:start w:val="7"/>
      <w:numFmt w:val="decimal"/>
      <w:lvlText w:val="5.%1"/>
      <w:legacy w:legacy="1" w:legacySpace="0" w:legacyIndent="356"/>
      <w:lvlJc w:val="left"/>
      <w:rPr>
        <w:rFonts w:ascii="Times New Roman" w:hAnsi="Times New Roman" w:cs="Times New Roman" w:hint="default"/>
      </w:rPr>
    </w:lvl>
  </w:abstractNum>
  <w:num w:numId="1" w16cid:durableId="840853704">
    <w:abstractNumId w:val="6"/>
  </w:num>
  <w:num w:numId="2" w16cid:durableId="1377386452">
    <w:abstractNumId w:val="2"/>
  </w:num>
  <w:num w:numId="3" w16cid:durableId="1328485246">
    <w:abstractNumId w:val="1"/>
  </w:num>
  <w:num w:numId="4" w16cid:durableId="1696073396">
    <w:abstractNumId w:val="0"/>
  </w:num>
  <w:num w:numId="5" w16cid:durableId="981424685">
    <w:abstractNumId w:val="4"/>
  </w:num>
  <w:num w:numId="6" w16cid:durableId="761531662">
    <w:abstractNumId w:val="3"/>
  </w:num>
  <w:num w:numId="7" w16cid:durableId="942801597">
    <w:abstractNumId w:val="7"/>
  </w:num>
  <w:num w:numId="8" w16cid:durableId="1976787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0F1B"/>
    <w:rsid w:val="0000343E"/>
    <w:rsid w:val="000333A8"/>
    <w:rsid w:val="00090590"/>
    <w:rsid w:val="000D2B6D"/>
    <w:rsid w:val="0012607A"/>
    <w:rsid w:val="00137122"/>
    <w:rsid w:val="00146A7D"/>
    <w:rsid w:val="00147495"/>
    <w:rsid w:val="002C3CCE"/>
    <w:rsid w:val="003A0039"/>
    <w:rsid w:val="003A1103"/>
    <w:rsid w:val="00420F1B"/>
    <w:rsid w:val="00424C57"/>
    <w:rsid w:val="004A0315"/>
    <w:rsid w:val="004B5C41"/>
    <w:rsid w:val="004C4E9B"/>
    <w:rsid w:val="005107EF"/>
    <w:rsid w:val="005903D3"/>
    <w:rsid w:val="005E0156"/>
    <w:rsid w:val="00617F16"/>
    <w:rsid w:val="00621681"/>
    <w:rsid w:val="00743730"/>
    <w:rsid w:val="00747358"/>
    <w:rsid w:val="007E0B80"/>
    <w:rsid w:val="007F1E81"/>
    <w:rsid w:val="00816169"/>
    <w:rsid w:val="008348FC"/>
    <w:rsid w:val="00847C51"/>
    <w:rsid w:val="00872A69"/>
    <w:rsid w:val="00877901"/>
    <w:rsid w:val="00885998"/>
    <w:rsid w:val="008A620D"/>
    <w:rsid w:val="008E1FFB"/>
    <w:rsid w:val="00907B99"/>
    <w:rsid w:val="009550ED"/>
    <w:rsid w:val="00956D21"/>
    <w:rsid w:val="009A42D8"/>
    <w:rsid w:val="009A5FFC"/>
    <w:rsid w:val="009B531E"/>
    <w:rsid w:val="009F1076"/>
    <w:rsid w:val="009F7117"/>
    <w:rsid w:val="00A41F97"/>
    <w:rsid w:val="00A73D66"/>
    <w:rsid w:val="00B02329"/>
    <w:rsid w:val="00B265AF"/>
    <w:rsid w:val="00B55FED"/>
    <w:rsid w:val="00B80CF7"/>
    <w:rsid w:val="00B86105"/>
    <w:rsid w:val="00BB6CBE"/>
    <w:rsid w:val="00BF574D"/>
    <w:rsid w:val="00C25399"/>
    <w:rsid w:val="00C50957"/>
    <w:rsid w:val="00C602C4"/>
    <w:rsid w:val="00CA606C"/>
    <w:rsid w:val="00CD3320"/>
    <w:rsid w:val="00D03ED3"/>
    <w:rsid w:val="00D5323E"/>
    <w:rsid w:val="00DC7DE5"/>
    <w:rsid w:val="00E22F1D"/>
    <w:rsid w:val="00E85C4C"/>
    <w:rsid w:val="00ED6241"/>
    <w:rsid w:val="00F90AA0"/>
    <w:rsid w:val="00FA2582"/>
    <w:rsid w:val="00FF057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96E"/>
  <w15:docId w15:val="{1486E6B4-F1DF-49EC-A6C5-4DCCD33B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9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link w:val="a3"/>
    <w:rsid w:val="00420F1B"/>
    <w:pPr>
      <w:widowControl w:val="0"/>
      <w:shd w:val="clear" w:color="auto" w:fill="FFFFFF"/>
      <w:spacing w:after="60" w:line="0" w:lineRule="atLeast"/>
      <w:jc w:val="right"/>
    </w:pPr>
    <w:rPr>
      <w:spacing w:val="2"/>
    </w:rPr>
  </w:style>
  <w:style w:type="character" w:customStyle="1" w:styleId="a3">
    <w:name w:val="Основной текст_"/>
    <w:basedOn w:val="a0"/>
    <w:link w:val="1"/>
    <w:rsid w:val="0012607A"/>
    <w:rPr>
      <w:rFonts w:ascii="Times New Roman" w:eastAsia="Times New Roman" w:hAnsi="Times New Roman" w:cs="Times New Roman"/>
      <w:spacing w:val="2"/>
      <w:shd w:val="clear" w:color="auto" w:fill="FFFFFF"/>
    </w:rPr>
  </w:style>
  <w:style w:type="paragraph" w:styleId="a4">
    <w:name w:val="List Paragraph"/>
    <w:basedOn w:val="a"/>
    <w:uiPriority w:val="34"/>
    <w:qFormat/>
    <w:rsid w:val="00CA606C"/>
    <w:pPr>
      <w:ind w:left="720"/>
      <w:contextualSpacing/>
    </w:pPr>
  </w:style>
  <w:style w:type="table" w:styleId="a5">
    <w:name w:val="Table Grid"/>
    <w:basedOn w:val="a1"/>
    <w:uiPriority w:val="59"/>
    <w:rsid w:val="00B86105"/>
    <w:pPr>
      <w:spacing w:after="0" w:line="240" w:lineRule="auto"/>
      <w:jc w:val="center"/>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A73D66"/>
    <w:rPr>
      <w:rFonts w:ascii="Times New Roman" w:hAnsi="Times New Roman" w:cs="Times New Roman"/>
      <w:i/>
      <w:iCs/>
      <w:shd w:val="clear" w:color="auto" w:fill="FFFFFF"/>
      <w:lang w:val="en-US"/>
    </w:rPr>
  </w:style>
  <w:style w:type="paragraph" w:customStyle="1" w:styleId="Bodytext30">
    <w:name w:val="Body text (3)"/>
    <w:basedOn w:val="a"/>
    <w:link w:val="Bodytext3"/>
    <w:rsid w:val="00A73D66"/>
    <w:pPr>
      <w:widowControl w:val="0"/>
      <w:shd w:val="clear" w:color="auto" w:fill="FFFFFF"/>
      <w:spacing w:line="274" w:lineRule="exact"/>
      <w:jc w:val="both"/>
    </w:pPr>
    <w:rPr>
      <w:i/>
      <w:iCs/>
      <w:lang w:val="en-US"/>
    </w:rPr>
  </w:style>
  <w:style w:type="paragraph" w:styleId="a6">
    <w:name w:val="header"/>
    <w:basedOn w:val="a"/>
    <w:link w:val="a7"/>
    <w:uiPriority w:val="99"/>
    <w:unhideWhenUsed/>
    <w:rsid w:val="00CD3320"/>
    <w:pPr>
      <w:tabs>
        <w:tab w:val="center" w:pos="4677"/>
        <w:tab w:val="right" w:pos="9355"/>
      </w:tabs>
    </w:pPr>
  </w:style>
  <w:style w:type="character" w:customStyle="1" w:styleId="a7">
    <w:name w:val="Верхній колонтитул Знак"/>
    <w:basedOn w:val="a0"/>
    <w:link w:val="a6"/>
    <w:uiPriority w:val="99"/>
    <w:rsid w:val="00CD3320"/>
    <w:rPr>
      <w:lang w:val="en-GB"/>
    </w:rPr>
  </w:style>
  <w:style w:type="paragraph" w:styleId="a8">
    <w:name w:val="footer"/>
    <w:basedOn w:val="a"/>
    <w:link w:val="a9"/>
    <w:uiPriority w:val="99"/>
    <w:unhideWhenUsed/>
    <w:rsid w:val="00CD3320"/>
    <w:pPr>
      <w:tabs>
        <w:tab w:val="center" w:pos="4677"/>
        <w:tab w:val="right" w:pos="9355"/>
      </w:tabs>
    </w:pPr>
  </w:style>
  <w:style w:type="character" w:customStyle="1" w:styleId="a9">
    <w:name w:val="Нижній колонтитул Знак"/>
    <w:basedOn w:val="a0"/>
    <w:link w:val="a8"/>
    <w:uiPriority w:val="99"/>
    <w:rsid w:val="00CD3320"/>
    <w:rPr>
      <w:lang w:val="en-GB"/>
    </w:rPr>
  </w:style>
  <w:style w:type="paragraph" w:customStyle="1" w:styleId="10">
    <w:name w:val="1 заголовок"/>
    <w:basedOn w:val="a"/>
    <w:link w:val="11"/>
    <w:autoRedefine/>
    <w:qFormat/>
    <w:rsid w:val="00907B99"/>
    <w:pPr>
      <w:keepNext/>
      <w:spacing w:line="360" w:lineRule="auto"/>
      <w:ind w:firstLine="709"/>
      <w:jc w:val="center"/>
      <w:outlineLvl w:val="0"/>
    </w:pPr>
    <w:rPr>
      <w:rFonts w:eastAsia="Arial Unicode MS"/>
      <w:b/>
      <w:bCs/>
      <w:sz w:val="32"/>
      <w:szCs w:val="32"/>
      <w:lang w:val="uk-UA"/>
    </w:rPr>
  </w:style>
  <w:style w:type="character" w:customStyle="1" w:styleId="11">
    <w:name w:val="1 заголовок Знак"/>
    <w:link w:val="10"/>
    <w:rsid w:val="00907B99"/>
    <w:rPr>
      <w:rFonts w:ascii="Times New Roman" w:eastAsia="Arial Unicode MS" w:hAnsi="Times New Roman" w:cs="Times New Roman"/>
      <w:b/>
      <w:bCs/>
      <w:sz w:val="32"/>
      <w:szCs w:val="32"/>
      <w:lang w:val="uk-UA"/>
    </w:rPr>
  </w:style>
  <w:style w:type="paragraph" w:customStyle="1" w:styleId="cs7fb5c607">
    <w:name w:val="cs7fb5c607"/>
    <w:basedOn w:val="a"/>
    <w:rsid w:val="005E0156"/>
    <w:pPr>
      <w:ind w:firstLine="720"/>
      <w:jc w:val="both"/>
    </w:pPr>
    <w:rPr>
      <w:lang w:val="uk-UA" w:eastAsia="uk-UA"/>
    </w:rPr>
  </w:style>
  <w:style w:type="character" w:customStyle="1" w:styleId="cs5efed22f6">
    <w:name w:val="cs5efed22f6"/>
    <w:rsid w:val="005E0156"/>
    <w:rPr>
      <w:rFonts w:ascii="Times New Roman" w:hAnsi="Times New Roman" w:cs="Times New Roman" w:hint="default"/>
      <w:b w:val="0"/>
      <w:bCs w:val="0"/>
      <w:i w:val="0"/>
      <w:iCs w:val="0"/>
      <w:color w:val="000000"/>
      <w:sz w:val="24"/>
      <w:szCs w:val="24"/>
      <w:shd w:val="clear" w:color="auto" w:fill="auto"/>
    </w:rPr>
  </w:style>
  <w:style w:type="paragraph" w:customStyle="1" w:styleId="12">
    <w:name w:val="1"/>
    <w:basedOn w:val="a"/>
    <w:link w:val="13"/>
    <w:autoRedefine/>
    <w:qFormat/>
    <w:rsid w:val="005107EF"/>
    <w:pPr>
      <w:spacing w:line="360" w:lineRule="auto"/>
      <w:ind w:firstLine="709"/>
      <w:jc w:val="both"/>
    </w:pPr>
    <w:rPr>
      <w:rFonts w:eastAsia="Calibri"/>
      <w:sz w:val="28"/>
      <w:lang w:val="uk-UA"/>
    </w:rPr>
  </w:style>
  <w:style w:type="character" w:customStyle="1" w:styleId="13">
    <w:name w:val="1 Знак"/>
    <w:basedOn w:val="a0"/>
    <w:link w:val="12"/>
    <w:rsid w:val="005107EF"/>
    <w:rPr>
      <w:rFonts w:ascii="Times New Roman" w:eastAsia="Calibri"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7A115-7C62-4591-AB19-6455ED63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2896</Words>
  <Characters>1651</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ARTLINE</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503</dc:creator>
  <cp:lastModifiedBy>Наталія Бондаренко</cp:lastModifiedBy>
  <cp:revision>26</cp:revision>
  <cp:lastPrinted>2024-09-05T12:16:00Z</cp:lastPrinted>
  <dcterms:created xsi:type="dcterms:W3CDTF">2024-05-31T13:18:00Z</dcterms:created>
  <dcterms:modified xsi:type="dcterms:W3CDTF">2025-09-17T07:43:00Z</dcterms:modified>
</cp:coreProperties>
</file>