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16" w:rsidRDefault="00F93E2A">
      <w:pPr>
        <w:keepNext/>
        <w:tabs>
          <w:tab w:val="clear" w:pos="567"/>
        </w:tabs>
        <w:spacing w:line="240" w:lineRule="auto"/>
        <w:ind w:firstLine="567"/>
        <w:jc w:val="right"/>
        <w:outlineLvl w:val="2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ru-RU"/>
        </w:rPr>
        <w:t>Додаток 1</w:t>
      </w:r>
    </w:p>
    <w:p w:rsidR="00CB2B16" w:rsidRDefault="00F93E2A">
      <w:pPr>
        <w:tabs>
          <w:tab w:val="clear" w:pos="567"/>
        </w:tabs>
        <w:spacing w:line="240" w:lineRule="auto"/>
        <w:jc w:val="right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до реєстраційного посвідчення  </w:t>
      </w:r>
    </w:p>
    <w:p w:rsidR="00CB2B16" w:rsidRDefault="00CB2B16">
      <w:pPr>
        <w:tabs>
          <w:tab w:val="clear" w:pos="567"/>
        </w:tabs>
        <w:spacing w:line="240" w:lineRule="auto"/>
        <w:rPr>
          <w:rFonts w:eastAsia="Cambria Math"/>
          <w:sz w:val="20"/>
          <w:lang w:val="ru-RU"/>
        </w:rPr>
      </w:pPr>
    </w:p>
    <w:p w:rsidR="00CB2B16" w:rsidRDefault="00F93E2A">
      <w:pPr>
        <w:tabs>
          <w:tab w:val="clear" w:pos="567"/>
        </w:tabs>
        <w:spacing w:line="240" w:lineRule="auto"/>
        <w:jc w:val="center"/>
        <w:rPr>
          <w:rFonts w:eastAsia="Cambria Math"/>
          <w:b/>
          <w:sz w:val="24"/>
          <w:szCs w:val="24"/>
          <w:lang w:val="uk-UA"/>
        </w:rPr>
      </w:pPr>
      <w:r>
        <w:rPr>
          <w:rFonts w:eastAsia="Cambria Math"/>
          <w:b/>
          <w:sz w:val="24"/>
          <w:szCs w:val="24"/>
          <w:lang w:val="uk-UA"/>
        </w:rPr>
        <w:t>Коротка характеристика препарату</w:t>
      </w:r>
    </w:p>
    <w:p w:rsidR="00CB2B16" w:rsidRDefault="00CB2B16">
      <w:pPr>
        <w:tabs>
          <w:tab w:val="clear" w:pos="567"/>
        </w:tabs>
        <w:spacing w:line="240" w:lineRule="auto"/>
        <w:rPr>
          <w:rFonts w:eastAsia="Cambria Math"/>
          <w:sz w:val="20"/>
          <w:lang w:val="ru-RU"/>
        </w:rPr>
      </w:pPr>
    </w:p>
    <w:p w:rsidR="00CB2B16" w:rsidRDefault="00F93E2A">
      <w:pPr>
        <w:tabs>
          <w:tab w:val="left" w:pos="2148"/>
        </w:tabs>
        <w:spacing w:line="240" w:lineRule="auto"/>
        <w:ind w:right="454" w:firstLine="567"/>
        <w:jc w:val="both"/>
        <w:rPr>
          <w:rFonts w:eastAsia="Cambria Math"/>
          <w:b/>
          <w:sz w:val="24"/>
          <w:szCs w:val="24"/>
          <w:lang w:val="uk-UA"/>
        </w:rPr>
      </w:pPr>
      <w:r>
        <w:rPr>
          <w:rFonts w:eastAsia="Cambria Math"/>
          <w:b/>
          <w:sz w:val="24"/>
          <w:szCs w:val="24"/>
          <w:lang w:val="uk-UA"/>
        </w:rPr>
        <w:t>1. Назва</w:t>
      </w:r>
    </w:p>
    <w:p w:rsidR="00CB2B16" w:rsidRDefault="00F93E2A">
      <w:pPr>
        <w:tabs>
          <w:tab w:val="left" w:pos="2148"/>
        </w:tabs>
        <w:spacing w:line="240" w:lineRule="auto"/>
        <w:ind w:right="454" w:firstLine="567"/>
        <w:jc w:val="both"/>
        <w:rPr>
          <w:rFonts w:eastAsia="Cambria Math"/>
          <w:bCs/>
          <w:sz w:val="24"/>
          <w:szCs w:val="24"/>
          <w:lang w:val="uk-UA"/>
        </w:rPr>
      </w:pPr>
      <w:r>
        <w:rPr>
          <w:rFonts w:eastAsia="Cambria Math"/>
          <w:bCs/>
          <w:sz w:val="24"/>
          <w:szCs w:val="24"/>
          <w:lang w:val="uk-UA"/>
        </w:rPr>
        <w:t>ДЕХІСПОТ</w:t>
      </w:r>
      <w:r>
        <w:rPr>
          <w:rFonts w:eastAsia="Cambria Math"/>
          <w:bCs/>
          <w:sz w:val="24"/>
          <w:szCs w:val="24"/>
          <w:vertAlign w:val="superscript"/>
          <w:lang w:val="uk-UA"/>
        </w:rPr>
        <w:t>®</w:t>
      </w:r>
      <w:r>
        <w:rPr>
          <w:rFonts w:eastAsia="Cambria Math"/>
          <w:bCs/>
          <w:sz w:val="24"/>
          <w:szCs w:val="24"/>
          <w:lang w:val="uk-UA"/>
        </w:rPr>
        <w:t xml:space="preserve"> </w:t>
      </w:r>
      <w:r>
        <w:rPr>
          <w:rFonts w:eastAsia="Cambria Math"/>
          <w:bCs/>
          <w:sz w:val="24"/>
          <w:szCs w:val="24"/>
          <w:lang w:val="sl-SI"/>
        </w:rPr>
        <w:t>(</w:t>
      </w:r>
      <w:r>
        <w:rPr>
          <w:rFonts w:eastAsia="Cambria Math"/>
          <w:bCs/>
          <w:sz w:val="24"/>
          <w:szCs w:val="24"/>
          <w:lang w:val="en-US"/>
        </w:rPr>
        <w:t>Dehispot</w:t>
      </w:r>
      <w:r>
        <w:rPr>
          <w:rFonts w:eastAsia="Cambria Math"/>
          <w:bCs/>
          <w:sz w:val="24"/>
          <w:szCs w:val="24"/>
          <w:vertAlign w:val="superscript"/>
          <w:lang w:val="uk-UA"/>
        </w:rPr>
        <w:t>®</w:t>
      </w:r>
      <w:r>
        <w:rPr>
          <w:rFonts w:eastAsia="Cambria Math"/>
          <w:bCs/>
          <w:sz w:val="24"/>
          <w:szCs w:val="24"/>
          <w:lang w:val="sl-SI"/>
        </w:rPr>
        <w:t xml:space="preserve">) </w:t>
      </w:r>
      <w:r>
        <w:rPr>
          <w:rFonts w:eastAsia="Cambria Math"/>
          <w:bCs/>
          <w:sz w:val="24"/>
          <w:szCs w:val="24"/>
          <w:lang w:val="uk-UA"/>
        </w:rPr>
        <w:t>Спот-он для маленьких котів</w:t>
      </w:r>
    </w:p>
    <w:p w:rsidR="00CB2B16" w:rsidRDefault="00F93E2A">
      <w:pPr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2. Склад</w:t>
      </w:r>
    </w:p>
    <w:p w:rsidR="00CB2B16" w:rsidRDefault="00F93E2A">
      <w:pPr>
        <w:spacing w:line="240" w:lineRule="auto"/>
        <w:ind w:right="-36" w:firstLine="567"/>
        <w:jc w:val="both"/>
        <w:rPr>
          <w:rFonts w:eastAsia="Cambria Math"/>
          <w:sz w:val="20"/>
          <w:lang w:val="uk-UA"/>
        </w:rPr>
      </w:pPr>
      <w:bookmarkStart w:id="0" w:name="_Hlk202380018"/>
      <w:r>
        <w:rPr>
          <w:rFonts w:eastAsia="Cambria Math"/>
          <w:sz w:val="24"/>
          <w:szCs w:val="24"/>
          <w:lang w:val="uk-UA"/>
        </w:rPr>
        <w:t>1 піпетка (0,35 мл) містить діючі речовин</w:t>
      </w:r>
      <w:bookmarkEnd w:id="0"/>
      <w:r>
        <w:rPr>
          <w:rFonts w:eastAsia="Cambria Math"/>
          <w:sz w:val="24"/>
          <w:szCs w:val="24"/>
          <w:lang w:val="uk-UA"/>
        </w:rPr>
        <w:t>и:</w:t>
      </w:r>
    </w:p>
    <w:p w:rsidR="00CB2B16" w:rsidRDefault="00F93E2A">
      <w:pPr>
        <w:tabs>
          <w:tab w:val="clear" w:pos="567"/>
        </w:tabs>
        <w:spacing w:line="240" w:lineRule="auto"/>
        <w:ind w:left="720" w:right="-36" w:hanging="153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празіквантел</w:t>
      </w:r>
      <w:r>
        <w:rPr>
          <w:rFonts w:eastAsia="Cambria Math"/>
          <w:sz w:val="24"/>
          <w:szCs w:val="24"/>
          <w:lang w:val="uk-UA" w:eastAsia="uk-UA"/>
        </w:rPr>
        <w:tab/>
        <w:t>- 30 мг</w:t>
      </w:r>
    </w:p>
    <w:p w:rsidR="00CB2B16" w:rsidRDefault="00F93E2A">
      <w:pPr>
        <w:tabs>
          <w:tab w:val="clear" w:pos="567"/>
        </w:tabs>
        <w:spacing w:line="240" w:lineRule="auto"/>
        <w:ind w:left="720" w:right="-36" w:hanging="153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емодепсид</w:t>
      </w:r>
      <w:r>
        <w:rPr>
          <w:rFonts w:eastAsia="Cambria Math"/>
          <w:sz w:val="24"/>
          <w:szCs w:val="24"/>
          <w:lang w:val="uk-UA" w:eastAsia="uk-UA"/>
        </w:rPr>
        <w:tab/>
        <w:t>- 7,5 мг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 xml:space="preserve">Допоміжні речовини: </w:t>
      </w:r>
      <w:r>
        <w:rPr>
          <w:rFonts w:eastAsia="Cambria Math"/>
          <w:sz w:val="24"/>
          <w:szCs w:val="24"/>
          <w:lang w:val="uk-UA" w:eastAsia="uk-UA"/>
        </w:rPr>
        <w:t>бутилгідроксіанізол (E320), ізопропіліден гліцерин, молочна кислота.</w:t>
      </w:r>
    </w:p>
    <w:p w:rsidR="00CB2B16" w:rsidRDefault="00F93E2A">
      <w:pPr>
        <w:spacing w:before="40"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3. Фармацевтична форма</w:t>
      </w:r>
    </w:p>
    <w:p w:rsidR="00CB2B16" w:rsidRDefault="00F93E2A">
      <w:pPr>
        <w:spacing w:before="40"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Розчин для зовнішнього застосування, точкового нанесення.</w:t>
      </w:r>
    </w:p>
    <w:p w:rsidR="00CB2B16" w:rsidRDefault="00F93E2A">
      <w:pPr>
        <w:spacing w:before="40"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4. Фармакологічні властивості</w:t>
      </w:r>
    </w:p>
    <w:p w:rsidR="00CB2B16" w:rsidRDefault="00F93E2A">
      <w:pPr>
        <w:spacing w:line="240" w:lineRule="auto"/>
        <w:ind w:right="-36" w:firstLine="560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b/>
          <w:i/>
          <w:iCs/>
          <w:snapToGrid w:val="0"/>
          <w:sz w:val="24"/>
          <w:szCs w:val="24"/>
          <w:lang w:val="uk-UA"/>
        </w:rPr>
        <w:t>ATC-vet класифікаційний код:</w:t>
      </w:r>
      <w:r>
        <w:rPr>
          <w:rFonts w:eastAsia="Cambria Math"/>
          <w:i/>
          <w:iCs/>
          <w:snapToGrid w:val="0"/>
          <w:sz w:val="24"/>
          <w:szCs w:val="24"/>
          <w:lang w:val="uk-UA"/>
        </w:rPr>
        <w:t xml:space="preserve">  </w:t>
      </w:r>
      <w:r>
        <w:rPr>
          <w:rFonts w:eastAsia="Cambria Math"/>
          <w:b/>
          <w:bCs/>
          <w:i/>
          <w:iCs/>
          <w:snapToGrid w:val="0"/>
          <w:sz w:val="24"/>
          <w:szCs w:val="24"/>
          <w:lang w:val="uk-UA"/>
        </w:rPr>
        <w:t xml:space="preserve">QP52 – Протигельмінтні препарати. QP52AA51 – </w:t>
      </w:r>
      <w:r>
        <w:rPr>
          <w:rFonts w:eastAsia="Cambria Math"/>
          <w:b/>
          <w:bCs/>
          <w:i/>
          <w:iCs/>
          <w:snapToGrid w:val="0"/>
          <w:sz w:val="24"/>
          <w:szCs w:val="24"/>
          <w:lang w:val="uk-UA"/>
        </w:rPr>
        <w:t>Празіквантел, комбінації.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i/>
          <w:iCs/>
          <w:snapToGrid w:val="0"/>
          <w:sz w:val="24"/>
          <w:szCs w:val="24"/>
          <w:lang w:val="uk-UA" w:eastAsia="uk-UA"/>
        </w:rPr>
      </w:pPr>
      <w:r>
        <w:rPr>
          <w:rFonts w:eastAsia="Cambria Math"/>
          <w:i/>
          <w:iCs/>
          <w:snapToGrid w:val="0"/>
          <w:sz w:val="24"/>
          <w:szCs w:val="24"/>
          <w:lang w:val="uk-UA" w:eastAsia="uk-UA"/>
        </w:rPr>
        <w:t>Фармакодинаміка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Празиквантел є похідним піразіноізохіноліну, що діє проти стьожкових червів, таких як Dipylidium caninum, Echinococcus multilocularis та Taenia taeniaeformis. 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Празиквантел швидко адсорбується поверхнею паразитів </w:t>
      </w:r>
      <w:r>
        <w:rPr>
          <w:rFonts w:eastAsia="Cambria Math"/>
          <w:snapToGrid w:val="0"/>
          <w:sz w:val="24"/>
          <w:szCs w:val="24"/>
          <w:lang w:val="uk-UA" w:eastAsia="uk-UA"/>
        </w:rPr>
        <w:t>та діє, зокрема, шляхом зміни проникності мембран паразитів для Са++. Це суттєво вражає поверхню тіла паразита, призводить до скорочення та паралічу, порушення обміну речовин та до загибелі паразита.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Емодепсид – частково синтетична сполука, що належить до </w:t>
      </w: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нової хімічної групи депсипептидів. Він діє проти круглих червів (аскарид та анкілостом). Емодепсид у складі цього ветеринарного лікарського засобу діє проти Toxocara cati, Toxascaris leonina та Ancylostoma tubaeforme. 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>Він діє на нервово-м’язову передачу,</w:t>
      </w:r>
      <w:r>
        <w:rPr>
          <w:rFonts w:eastAsia="Cambria Math"/>
          <w:snapToGrid w:val="0"/>
          <w:sz w:val="24"/>
          <w:szCs w:val="24"/>
          <w:lang w:val="uk-UA" w:eastAsia="uk-UA"/>
        </w:rPr>
        <w:t xml:space="preserve"> стимулюючи пресинаптичні рецептори, що належать до сімейства рецепторів секретину, що призводить до паралічу та загибелі паразитів.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i/>
          <w:iCs/>
          <w:snapToGrid w:val="0"/>
          <w:sz w:val="24"/>
          <w:szCs w:val="24"/>
          <w:lang w:val="uk-UA" w:eastAsia="uk-UA"/>
        </w:rPr>
      </w:pPr>
      <w:r>
        <w:rPr>
          <w:rFonts w:eastAsia="Cambria Math"/>
          <w:i/>
          <w:iCs/>
          <w:snapToGrid w:val="0"/>
          <w:sz w:val="24"/>
          <w:szCs w:val="24"/>
          <w:lang w:val="uk-UA" w:eastAsia="uk-UA"/>
        </w:rPr>
        <w:t>Фармакокінетика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bCs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Після точкового нанесення цього ветеринарного лікарського засобу на котів у мінімальній терапевтичній дозі </w:t>
      </w:r>
      <w:r>
        <w:rPr>
          <w:rFonts w:eastAsia="Cambria Math"/>
          <w:snapToGrid w:val="0"/>
          <w:sz w:val="24"/>
          <w:szCs w:val="24"/>
          <w:lang w:val="uk-UA" w:eastAsia="uk-UA"/>
        </w:rPr>
        <w:t>0,14 мл/кг маси тіла середні максимальні концентрації в сироватці крові становили 32,2 ± 23,9 мкг емодепсиду/л та 61,3 ± 44,1 мкг празиквантелу/л. Максимальні концентрації досягались через 18,7 ± 47 год після нанесення празиквантелу та емодепсиду (3,2 ± 2,</w:t>
      </w:r>
      <w:r>
        <w:rPr>
          <w:rFonts w:eastAsia="Cambria Math"/>
          <w:snapToGrid w:val="0"/>
          <w:sz w:val="24"/>
          <w:szCs w:val="24"/>
          <w:lang w:val="uk-UA" w:eastAsia="uk-UA"/>
        </w:rPr>
        <w:t xml:space="preserve">7 доби). Згодом обидві діючі речовини повільно виводяться із сироватки крові з періодом напіввиведення 4,1 ± 1,5 доби для празиквантелу та 9,2 ± 3,9 діб для емодепсиду. 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bCs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>Дослідження різних видів продемонстрували, що празиквантел швидко метаболізується в пе</w:t>
      </w:r>
      <w:r>
        <w:rPr>
          <w:rFonts w:eastAsia="Cambria Math"/>
          <w:snapToGrid w:val="0"/>
          <w:sz w:val="24"/>
          <w:szCs w:val="24"/>
          <w:lang w:val="uk-UA" w:eastAsia="uk-UA"/>
        </w:rPr>
        <w:t>чінці. Основними метаболітами є моногідроксициклогексилпохідні празиквантелу. Виведення нирками є переважним способом виведення.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>Виведення з калом є переважним способом виведення з незміненим емодепсидом та гідроксильованими похідними як основними продукта</w:t>
      </w:r>
      <w:r>
        <w:rPr>
          <w:rFonts w:eastAsia="Cambria Math"/>
          <w:snapToGrid w:val="0"/>
          <w:sz w:val="24"/>
          <w:szCs w:val="24"/>
          <w:lang w:val="uk-UA" w:eastAsia="uk-UA"/>
        </w:rPr>
        <w:t>ми виведення.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 Клінічні особливості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5.1 Вид тварин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454" w:firstLine="567"/>
        <w:jc w:val="both"/>
        <w:rPr>
          <w:rFonts w:eastAsia="Cambria Math" w:cs="SAPGUI-Belize-Icons"/>
          <w:sz w:val="24"/>
          <w:szCs w:val="24"/>
          <w:lang w:val="uk-UA" w:eastAsia="ru-RU"/>
        </w:rPr>
      </w:pPr>
      <w:r>
        <w:rPr>
          <w:rFonts w:eastAsia="Cambria Math" w:cs="SAPGUI-Belize-Icons"/>
          <w:sz w:val="24"/>
          <w:szCs w:val="24"/>
          <w:lang w:val="uk-UA" w:eastAsia="ru-RU"/>
        </w:rPr>
        <w:t>Коти (масою до 2,5 кг).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454" w:firstLine="567"/>
        <w:jc w:val="both"/>
        <w:rPr>
          <w:rFonts w:eastAsia="Cambria Math"/>
          <w:b/>
          <w:sz w:val="24"/>
          <w:szCs w:val="24"/>
          <w:lang w:val="uk-UA" w:eastAsia="ru-RU"/>
        </w:rPr>
      </w:pPr>
      <w:r>
        <w:rPr>
          <w:rFonts w:eastAsia="Cambria Math"/>
          <w:b/>
          <w:sz w:val="24"/>
          <w:szCs w:val="24"/>
          <w:lang w:val="uk-UA" w:eastAsia="ru-RU"/>
        </w:rPr>
        <w:t>5.2 Показання до застосування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Для котів зі змішаними паразитарними інфекціями, спричиненими круглими та стьожковими червами (або у групі ризику), на які діє кожна комбінована діюча речовина. Ветеринарний лікарський засіб показаний лише тоді, коли потрібна </w:t>
      </w:r>
      <w:r>
        <w:rPr>
          <w:rFonts w:eastAsia="Cambria Math"/>
          <w:sz w:val="24"/>
          <w:szCs w:val="24"/>
          <w:lang w:val="uk-UA"/>
        </w:rPr>
        <w:lastRenderedPageBreak/>
        <w:t>одночасна дія на круглих та ст</w:t>
      </w:r>
      <w:r>
        <w:rPr>
          <w:rFonts w:eastAsia="Cambria Math"/>
          <w:sz w:val="24"/>
          <w:szCs w:val="24"/>
          <w:lang w:val="uk-UA"/>
        </w:rPr>
        <w:t xml:space="preserve">ьожкових червів.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u w:val="single"/>
          <w:lang w:val="uk-UA"/>
        </w:rPr>
      </w:pPr>
      <w:r>
        <w:rPr>
          <w:rFonts w:eastAsia="Cambria Math"/>
          <w:sz w:val="24"/>
          <w:szCs w:val="24"/>
          <w:u w:val="single"/>
          <w:lang w:val="uk-UA"/>
        </w:rPr>
        <w:t>Круглі черви (нематоди)</w:t>
      </w:r>
      <w:r>
        <w:rPr>
          <w:rFonts w:eastAsia="Cambria Math"/>
          <w:sz w:val="24"/>
          <w:szCs w:val="24"/>
          <w:lang w:val="uk-UA"/>
        </w:rPr>
        <w:t>:</w:t>
      </w:r>
      <w:r>
        <w:rPr>
          <w:rFonts w:eastAsia="Cambria Math"/>
          <w:sz w:val="24"/>
          <w:szCs w:val="24"/>
          <w:u w:val="single"/>
          <w:lang w:val="uk-UA"/>
        </w:rPr>
        <w:t xml:space="preserve">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Toxocara cati </w:t>
      </w:r>
      <w:r>
        <w:rPr>
          <w:rFonts w:eastAsia="Cambria Math"/>
          <w:sz w:val="24"/>
          <w:szCs w:val="24"/>
          <w:lang w:val="uk-UA"/>
        </w:rPr>
        <w:t xml:space="preserve">(зрілі дорослі, незрілі дорослі, L4 та L3)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Toxocara cati </w:t>
      </w:r>
      <w:r>
        <w:rPr>
          <w:rFonts w:eastAsia="Cambria Math"/>
          <w:sz w:val="24"/>
          <w:szCs w:val="24"/>
          <w:lang w:val="uk-UA"/>
        </w:rPr>
        <w:t xml:space="preserve">(личинки L3) – обробка маток у другій половині вагітності для запобігання лактогенній передачі потомству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Toxascaris leonina </w:t>
      </w:r>
      <w:r>
        <w:rPr>
          <w:rFonts w:eastAsia="Cambria Math"/>
          <w:sz w:val="24"/>
          <w:szCs w:val="24"/>
          <w:lang w:val="uk-UA"/>
        </w:rPr>
        <w:t>(зрілі дорослі,</w:t>
      </w:r>
      <w:r>
        <w:rPr>
          <w:rFonts w:eastAsia="Cambria Math"/>
          <w:sz w:val="24"/>
          <w:szCs w:val="24"/>
          <w:lang w:val="uk-UA"/>
        </w:rPr>
        <w:t xml:space="preserve"> незрілі дорослі та L4)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Ancylostoma tubaeforme </w:t>
      </w:r>
      <w:r>
        <w:rPr>
          <w:rFonts w:eastAsia="Cambria Math"/>
          <w:sz w:val="24"/>
          <w:szCs w:val="24"/>
          <w:lang w:val="uk-UA"/>
        </w:rPr>
        <w:t>(зрілі дорослі, незрілі дорослі та L4)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u w:val="single"/>
          <w:lang w:val="uk-UA"/>
        </w:rPr>
      </w:pPr>
      <w:r>
        <w:rPr>
          <w:rFonts w:eastAsia="Cambria Math"/>
          <w:sz w:val="24"/>
          <w:szCs w:val="24"/>
          <w:u w:val="single"/>
          <w:lang w:val="uk-UA"/>
        </w:rPr>
        <w:t>Стьожкові черви (цестоди)</w:t>
      </w:r>
      <w:r>
        <w:rPr>
          <w:rFonts w:eastAsia="Cambria Math"/>
          <w:sz w:val="24"/>
          <w:szCs w:val="24"/>
          <w:lang w:val="uk-UA"/>
        </w:rPr>
        <w:t>:</w:t>
      </w:r>
      <w:r>
        <w:rPr>
          <w:rFonts w:eastAsia="Cambria Math"/>
          <w:sz w:val="24"/>
          <w:szCs w:val="24"/>
          <w:u w:val="single"/>
          <w:lang w:val="uk-UA"/>
        </w:rPr>
        <w:t xml:space="preserve">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Dipylidium caninum </w:t>
      </w:r>
      <w:r>
        <w:rPr>
          <w:rFonts w:eastAsia="Cambria Math"/>
          <w:sz w:val="24"/>
          <w:szCs w:val="24"/>
          <w:lang w:val="uk-UA"/>
        </w:rPr>
        <w:t xml:space="preserve">(зрілі дорослі та незрілі дорослі)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Taenia taeniaeformis </w:t>
      </w:r>
      <w:r>
        <w:rPr>
          <w:rFonts w:eastAsia="Cambria Math"/>
          <w:sz w:val="24"/>
          <w:szCs w:val="24"/>
          <w:lang w:val="uk-UA"/>
        </w:rPr>
        <w:t xml:space="preserve">(дорослі)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i/>
          <w:sz w:val="24"/>
          <w:szCs w:val="24"/>
          <w:lang w:val="uk-UA"/>
        </w:rPr>
        <w:t xml:space="preserve">Echinococcus multilocularis </w:t>
      </w:r>
      <w:r>
        <w:rPr>
          <w:rFonts w:eastAsia="Cambria Math"/>
          <w:sz w:val="24"/>
          <w:szCs w:val="24"/>
          <w:lang w:val="uk-UA"/>
        </w:rPr>
        <w:t>(дорослі)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ascii="SAPGUI-Belize-Icons" w:eastAsia="Cambria Math" w:hAnsi="SAPGUI-Belize-Icons" w:cs="SAPGUI-Belize-Icons"/>
          <w:sz w:val="20"/>
          <w:lang w:val="uk-UA"/>
        </w:rPr>
        <w:t>.</w:t>
      </w:r>
      <w:r>
        <w:rPr>
          <w:rFonts w:eastAsia="Cambria Math"/>
          <w:b/>
          <w:snapToGrid w:val="0"/>
          <w:sz w:val="24"/>
          <w:szCs w:val="24"/>
          <w:lang w:val="uk-UA"/>
        </w:rPr>
        <w:t>5.3 Протипоказан</w:t>
      </w:r>
      <w:r>
        <w:rPr>
          <w:rFonts w:eastAsia="Cambria Math"/>
          <w:b/>
          <w:snapToGrid w:val="0"/>
          <w:sz w:val="24"/>
          <w:szCs w:val="24"/>
          <w:lang w:val="uk-UA"/>
        </w:rPr>
        <w:t>ня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Не застосовувати у кошенят віком до 8 тижнів або котів вагою до 0,5 кг.</w:t>
      </w:r>
    </w:p>
    <w:p w:rsidR="00CB2B16" w:rsidRDefault="00F93E2A">
      <w:pPr>
        <w:tabs>
          <w:tab w:val="clear" w:pos="567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/>
        </w:rPr>
        <w:t>Не застосовувати у випадках з підвищеною чутливістю до діючих речовин або до будь-якої з допоміжних речовин.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5.4 Побічна дія</w:t>
      </w:r>
    </w:p>
    <w:p w:rsidR="00CB2B16" w:rsidRDefault="00F93E2A">
      <w:pPr>
        <w:tabs>
          <w:tab w:val="clear" w:pos="567"/>
        </w:tabs>
        <w:spacing w:line="240" w:lineRule="auto"/>
        <w:ind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Коти: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CB2B16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7"/>
              <w:jc w:val="both"/>
              <w:rPr>
                <w:rFonts w:eastAsia="Cambria Math"/>
                <w:snapToGrid w:val="0"/>
                <w:sz w:val="24"/>
                <w:szCs w:val="24"/>
                <w:lang w:val="uk-UA"/>
              </w:rPr>
            </w:pPr>
            <w:bookmarkStart w:id="1" w:name="_Hlk181952076"/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Дуже рідко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ind w:firstLine="567"/>
              <w:jc w:val="both"/>
              <w:rPr>
                <w:rFonts w:eastAsia="Cambria Math"/>
                <w:snapToGrid w:val="0"/>
                <w:sz w:val="24"/>
                <w:szCs w:val="24"/>
                <w:lang w:val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 xml:space="preserve">(&lt; 1 тварини/10 000 оброблених тварин, </w:t>
            </w: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включаючи поодинокі випадки):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7"/>
              <w:jc w:val="both"/>
              <w:rPr>
                <w:rFonts w:eastAsia="Cambria Math"/>
                <w:iCs/>
                <w:snapToGrid w:val="0"/>
                <w:sz w:val="24"/>
                <w:szCs w:val="24"/>
                <w:vertAlign w:val="superscript"/>
                <w:lang w:val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Алопеція у місці нанесення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1</w:t>
            </w: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, свербіж у місці нанесення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1</w:t>
            </w: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, запалення у місці нанесення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1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ind w:firstLine="567"/>
              <w:jc w:val="both"/>
              <w:rPr>
                <w:rFonts w:eastAsia="Cambria Math"/>
                <w:bCs/>
                <w:iCs/>
                <w:snapToGrid w:val="0"/>
                <w:sz w:val="24"/>
                <w:szCs w:val="24"/>
                <w:lang w:val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Слинотеча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, блювота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, діарея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2</w:t>
            </w: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, анорексія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ind w:firstLine="567"/>
              <w:jc w:val="both"/>
              <w:rPr>
                <w:rFonts w:eastAsia="Cambria Math"/>
                <w:bCs/>
                <w:iCs/>
                <w:snapToGrid w:val="0"/>
                <w:sz w:val="24"/>
                <w:szCs w:val="24"/>
                <w:lang w:val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Неврологічні розлади (легкі та минущі)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2,3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ind w:firstLine="567"/>
              <w:jc w:val="both"/>
              <w:rPr>
                <w:rFonts w:eastAsia="Cambria Math"/>
                <w:iCs/>
                <w:snapToGrid w:val="0"/>
                <w:sz w:val="24"/>
                <w:szCs w:val="24"/>
                <w:lang w:val="uk-UA"/>
              </w:rPr>
            </w:pPr>
            <w:r>
              <w:rPr>
                <w:rFonts w:eastAsia="Cambria Math"/>
                <w:snapToGrid w:val="0"/>
                <w:sz w:val="24"/>
                <w:szCs w:val="24"/>
                <w:lang w:val="uk-UA"/>
              </w:rPr>
              <w:t>Розлади поведінки</w:t>
            </w:r>
            <w:r>
              <w:rPr>
                <w:rFonts w:eastAsia="Cambria Math"/>
                <w:snapToGrid w:val="0"/>
                <w:sz w:val="24"/>
                <w:szCs w:val="24"/>
                <w:vertAlign w:val="superscript"/>
                <w:lang w:val="uk-UA"/>
              </w:rPr>
              <w:t>4</w:t>
            </w:r>
          </w:p>
        </w:tc>
      </w:tr>
    </w:tbl>
    <w:p w:rsidR="00CB2B16" w:rsidRDefault="00F93E2A">
      <w:pPr>
        <w:tabs>
          <w:tab w:val="clear" w:pos="567"/>
        </w:tabs>
        <w:spacing w:line="240" w:lineRule="auto"/>
        <w:ind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vertAlign w:val="superscript"/>
          <w:lang w:val="uk-UA"/>
        </w:rPr>
        <w:t>1</w:t>
      </w:r>
      <w:r>
        <w:rPr>
          <w:rFonts w:eastAsia="Cambria Math"/>
          <w:snapToGrid w:val="0"/>
          <w:sz w:val="24"/>
          <w:szCs w:val="24"/>
          <w:lang w:val="uk-UA"/>
        </w:rPr>
        <w:t>Минуща.</w:t>
      </w:r>
    </w:p>
    <w:bookmarkEnd w:id="1"/>
    <w:p w:rsidR="00CB2B16" w:rsidRDefault="00F93E2A">
      <w:pPr>
        <w:tabs>
          <w:tab w:val="clear" w:pos="567"/>
        </w:tabs>
        <w:spacing w:line="240" w:lineRule="auto"/>
        <w:ind w:firstLine="567"/>
        <w:jc w:val="both"/>
        <w:rPr>
          <w:rFonts w:eastAsia="Cambria Math"/>
          <w:bCs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vertAlign w:val="superscript"/>
          <w:lang w:val="uk-UA"/>
        </w:rPr>
        <w:t>2</w:t>
      </w:r>
      <w:r>
        <w:rPr>
          <w:rFonts w:eastAsia="Cambria Math"/>
          <w:snapToGrid w:val="0"/>
          <w:sz w:val="24"/>
          <w:szCs w:val="24"/>
          <w:lang w:val="uk-UA"/>
        </w:rPr>
        <w:t xml:space="preserve">Ці явища можуть виникати в </w:t>
      </w:r>
      <w:r>
        <w:rPr>
          <w:rFonts w:eastAsia="Cambria Math"/>
          <w:snapToGrid w:val="0"/>
          <w:sz w:val="24"/>
          <w:szCs w:val="24"/>
          <w:lang w:val="uk-UA"/>
        </w:rPr>
        <w:t>результаті вилизування місця нанесення одразу після обробки.</w:t>
      </w:r>
    </w:p>
    <w:p w:rsidR="00CB2B16" w:rsidRDefault="00F93E2A">
      <w:pPr>
        <w:tabs>
          <w:tab w:val="clear" w:pos="567"/>
        </w:tabs>
        <w:spacing w:line="240" w:lineRule="auto"/>
        <w:ind w:firstLine="567"/>
        <w:jc w:val="both"/>
        <w:rPr>
          <w:rFonts w:eastAsia="Cambria Math"/>
          <w:bCs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vertAlign w:val="superscript"/>
          <w:lang w:val="uk-UA"/>
        </w:rPr>
        <w:t>3</w:t>
      </w:r>
      <w:r>
        <w:rPr>
          <w:rFonts w:eastAsia="Cambria Math"/>
          <w:snapToGrid w:val="0"/>
          <w:sz w:val="24"/>
          <w:szCs w:val="24"/>
          <w:lang w:val="uk-UA"/>
        </w:rPr>
        <w:t>Наприклад, атаксія або тремор.</w:t>
      </w:r>
    </w:p>
    <w:p w:rsidR="00CB2B16" w:rsidRDefault="00F93E2A">
      <w:pPr>
        <w:tabs>
          <w:tab w:val="clear" w:pos="567"/>
        </w:tabs>
        <w:spacing w:line="240" w:lineRule="auto"/>
        <w:ind w:firstLine="567"/>
        <w:jc w:val="both"/>
        <w:rPr>
          <w:rFonts w:eastAsia="Cambria Math"/>
          <w:bCs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vertAlign w:val="superscript"/>
          <w:lang w:val="uk-UA"/>
        </w:rPr>
        <w:t>4</w:t>
      </w:r>
      <w:r>
        <w:rPr>
          <w:rFonts w:eastAsia="Cambria Math"/>
          <w:snapToGrid w:val="0"/>
          <w:sz w:val="24"/>
          <w:szCs w:val="24"/>
          <w:lang w:val="uk-UA"/>
        </w:rPr>
        <w:t>Наприклад, гіперактивність, тривожність та вокалізація.</w:t>
      </w:r>
    </w:p>
    <w:p w:rsidR="00CB2B16" w:rsidRDefault="00F93E2A">
      <w:pPr>
        <w:tabs>
          <w:tab w:val="clear" w:pos="567"/>
        </w:tabs>
        <w:spacing w:line="240" w:lineRule="auto"/>
        <w:ind w:firstLine="567"/>
        <w:jc w:val="both"/>
        <w:rPr>
          <w:rFonts w:eastAsia="Cambria Math"/>
          <w:sz w:val="24"/>
          <w:szCs w:val="24"/>
          <w:highlight w:val="lightGray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Важливо повідомляти про побічні реакції. Це дозволяє постійно контролювати безпеку ветеринарного лікарсько</w:t>
      </w:r>
      <w:r>
        <w:rPr>
          <w:rFonts w:eastAsia="Cambria Math"/>
          <w:snapToGrid w:val="0"/>
          <w:sz w:val="24"/>
          <w:szCs w:val="24"/>
          <w:lang w:val="uk-UA"/>
        </w:rPr>
        <w:t>го засобу. Звіти необхідно надсилати, бажано через ветеринара, власнику реєстраційного посвідчення або його локальному представнику або національному уповноваженому органу через національну систему звітності. Відповідні контактні дані наведені в листівці-в</w:t>
      </w:r>
      <w:r>
        <w:rPr>
          <w:rFonts w:eastAsia="Cambria Math"/>
          <w:snapToGrid w:val="0"/>
          <w:sz w:val="24"/>
          <w:szCs w:val="24"/>
          <w:lang w:val="uk-UA"/>
        </w:rPr>
        <w:t>кладиші.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5.5 Особливі застереження при використанні</w:t>
      </w:r>
    </w:p>
    <w:p w:rsidR="00CB2B16" w:rsidRDefault="00F93E2A">
      <w:pPr>
        <w:tabs>
          <w:tab w:val="clear" w:pos="567"/>
          <w:tab w:val="left" w:pos="10312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u w:val="single"/>
          <w:lang w:val="uk-UA" w:eastAsia="uk-UA"/>
        </w:rPr>
      </w:pPr>
      <w:r>
        <w:rPr>
          <w:rFonts w:eastAsia="Cambria Math"/>
          <w:snapToGrid w:val="0"/>
          <w:sz w:val="24"/>
          <w:szCs w:val="24"/>
          <w:u w:val="single"/>
          <w:lang w:val="uk-UA" w:eastAsia="uk-UA"/>
        </w:rPr>
        <w:t>Особливості безпечного застосування у цільових видів:</w:t>
      </w:r>
    </w:p>
    <w:p w:rsidR="00CB2B16" w:rsidRDefault="00F93E2A">
      <w:pPr>
        <w:tabs>
          <w:tab w:val="clear" w:pos="567"/>
          <w:tab w:val="left" w:pos="10312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Наносити виключно на поверхню шкіри та на неуражену ділянку. Не вводити перорально або парентерально. </w:t>
      </w:r>
    </w:p>
    <w:p w:rsidR="00CB2B16" w:rsidRDefault="00F93E2A">
      <w:pPr>
        <w:tabs>
          <w:tab w:val="clear" w:pos="567"/>
          <w:tab w:val="left" w:pos="10312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 xml:space="preserve">Не дозволяйте обробленому коту або іншим котам в одному домі вилизувати вологе місце нанесення. </w:t>
      </w:r>
    </w:p>
    <w:p w:rsidR="00CB2B16" w:rsidRDefault="00F93E2A">
      <w:pPr>
        <w:tabs>
          <w:tab w:val="clear" w:pos="567"/>
          <w:tab w:val="left" w:pos="10312"/>
        </w:tabs>
        <w:spacing w:line="240" w:lineRule="auto"/>
        <w:ind w:right="-36"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napToGrid w:val="0"/>
          <w:sz w:val="24"/>
          <w:szCs w:val="24"/>
          <w:lang w:val="uk-UA" w:eastAsia="uk-UA"/>
        </w:rPr>
        <w:t>Існує обмежений досвід застосування ветеринарного лікарського засобу у хворих та виснажених тварин, тому для цих тварин його необхідно застосовувати лише з ура</w:t>
      </w:r>
      <w:r>
        <w:rPr>
          <w:rFonts w:eastAsia="Cambria Math"/>
          <w:snapToGrid w:val="0"/>
          <w:sz w:val="24"/>
          <w:szCs w:val="24"/>
          <w:lang w:val="uk-UA" w:eastAsia="uk-UA"/>
        </w:rPr>
        <w:t>хуванням співвідношення користь/ризик.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5.6 Використання під час вагітності, лактації, несучості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Ветеринарний лікарський засіб можна застосовувати в період вагітності та годування груддю.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5.7 Взаємодія з іншими засобами та інші форми взаємодії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Емодепсид є субстратом Р-глікопротеїну. Одночасне застосування з іншими препаратами, що є субстратами/інгібіторами P-глікопротеїну (наприклад, івермектином та іншими протипаразитарними макроциклічними лактонами, еритроміцином, преднізолоном та циклоспорино</w:t>
      </w:r>
      <w:r>
        <w:rPr>
          <w:rFonts w:eastAsia="Cambria Math"/>
          <w:snapToGrid w:val="0"/>
          <w:sz w:val="24"/>
          <w:szCs w:val="24"/>
          <w:lang w:val="uk-UA"/>
        </w:rPr>
        <w:t>м), може призвести до фармакокінетичної взаємодії з іншими лікарськими засобами. Можливі клінічні наслідки такої взаємодії не вивчались. Якщо ваш кіт отримує будь-які лікарські засоби, обговоріть це з ветеринаром перед застосуванням цього ветеринарного лік</w:t>
      </w:r>
      <w:r>
        <w:rPr>
          <w:rFonts w:eastAsia="Cambria Math"/>
          <w:snapToGrid w:val="0"/>
          <w:sz w:val="24"/>
          <w:szCs w:val="24"/>
          <w:lang w:val="uk-UA"/>
        </w:rPr>
        <w:t xml:space="preserve">арського засобу. Також повідомте ветеринара </w:t>
      </w:r>
      <w:r>
        <w:rPr>
          <w:rFonts w:eastAsia="Cambria Math"/>
          <w:snapToGrid w:val="0"/>
          <w:sz w:val="24"/>
          <w:szCs w:val="24"/>
          <w:lang w:val="uk-UA"/>
        </w:rPr>
        <w:lastRenderedPageBreak/>
        <w:t>про застосування цього ветеринарного лікарського засобу, якщо він/вона призначає інші лікарські засоби.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5.8 Дози і способи введення тваринам різного віку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 xml:space="preserve">Точкове нанесення. 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Для забезпечення правильного дозування</w:t>
      </w:r>
      <w:r>
        <w:rPr>
          <w:rFonts w:eastAsia="Cambria Math"/>
          <w:sz w:val="24"/>
          <w:szCs w:val="24"/>
          <w:lang w:val="uk-UA" w:eastAsia="uk-UA"/>
        </w:rPr>
        <w:t>, маса тіла має бути визначена якомога точніше. Недостатнє дозування може бути менш ефективним та призводити до стійкості.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u w:val="single"/>
          <w:lang w:val="uk-UA" w:eastAsia="uk-UA"/>
        </w:rPr>
      </w:pPr>
      <w:r>
        <w:rPr>
          <w:rFonts w:eastAsia="Cambria Math"/>
          <w:sz w:val="24"/>
          <w:szCs w:val="24"/>
          <w:u w:val="single"/>
          <w:lang w:val="uk-UA" w:eastAsia="uk-UA"/>
        </w:rPr>
        <w:t xml:space="preserve">Дозування та схема лікування 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Рекомендовані мінімальні дози становлять 12 мг празиквантелу/кг маси тіла та 3 мг емодепсиду/кг маси ті</w:t>
      </w:r>
      <w:r>
        <w:rPr>
          <w:rFonts w:eastAsia="Cambria Math"/>
          <w:sz w:val="24"/>
          <w:szCs w:val="24"/>
          <w:lang w:val="uk-UA" w:eastAsia="uk-UA"/>
        </w:rPr>
        <w:t>ла в перерахунку на 0,14 мл ветеринарного лікарського засобу/кг маси тіла.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2410"/>
        <w:gridCol w:w="2410"/>
      </w:tblGrid>
      <w:tr w:rsidR="00CB2B16" w:rsidRPr="00F93E2A">
        <w:tc>
          <w:tcPr>
            <w:tcW w:w="1555" w:type="dxa"/>
            <w:shd w:val="clear" w:color="auto" w:fill="auto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Маса тіла кота (кг)</w:t>
            </w:r>
          </w:p>
        </w:tc>
        <w:tc>
          <w:tcPr>
            <w:tcW w:w="2409" w:type="dxa"/>
            <w:shd w:val="clear" w:color="auto" w:fill="auto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Розмір/об’єм піпетки (мл)</w:t>
            </w:r>
          </w:p>
        </w:tc>
        <w:tc>
          <w:tcPr>
            <w:tcW w:w="2410" w:type="dxa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Празиквантел (мг/кг маси тіла)</w:t>
            </w:r>
          </w:p>
        </w:tc>
        <w:tc>
          <w:tcPr>
            <w:tcW w:w="2410" w:type="dxa"/>
            <w:shd w:val="clear" w:color="auto" w:fill="auto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Емодепсид (мг/кг маси тіла)</w:t>
            </w:r>
          </w:p>
        </w:tc>
      </w:tr>
      <w:tr w:rsidR="00CB2B16">
        <w:tc>
          <w:tcPr>
            <w:tcW w:w="1555" w:type="dxa"/>
            <w:shd w:val="clear" w:color="auto" w:fill="auto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≥ 0,5-2,5</w:t>
            </w:r>
          </w:p>
        </w:tc>
        <w:tc>
          <w:tcPr>
            <w:tcW w:w="2409" w:type="dxa"/>
            <w:shd w:val="clear" w:color="auto" w:fill="auto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0,35</w:t>
            </w:r>
          </w:p>
        </w:tc>
        <w:tc>
          <w:tcPr>
            <w:tcW w:w="2410" w:type="dxa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12-60</w:t>
            </w:r>
          </w:p>
        </w:tc>
        <w:tc>
          <w:tcPr>
            <w:tcW w:w="2410" w:type="dxa"/>
            <w:shd w:val="clear" w:color="auto" w:fill="auto"/>
          </w:tcPr>
          <w:p w:rsidR="00CB2B16" w:rsidRDefault="00F93E2A">
            <w:pPr>
              <w:tabs>
                <w:tab w:val="clear" w:pos="567"/>
              </w:tabs>
              <w:spacing w:line="240" w:lineRule="auto"/>
              <w:ind w:firstLine="560"/>
              <w:jc w:val="both"/>
              <w:rPr>
                <w:rFonts w:eastAsia="Cambria Math"/>
                <w:sz w:val="24"/>
                <w:szCs w:val="24"/>
                <w:lang w:val="uk-UA" w:eastAsia="uk-UA"/>
              </w:rPr>
            </w:pPr>
            <w:r>
              <w:rPr>
                <w:rFonts w:eastAsia="Cambria Math"/>
                <w:sz w:val="24"/>
                <w:szCs w:val="24"/>
                <w:lang w:val="uk-UA" w:eastAsia="uk-UA"/>
              </w:rPr>
              <w:t>3-15</w:t>
            </w:r>
          </w:p>
        </w:tc>
      </w:tr>
    </w:tbl>
    <w:p w:rsidR="00CB2B16" w:rsidRDefault="00CB2B16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ru-RU" w:eastAsia="uk-UA"/>
        </w:rPr>
      </w:pPr>
      <w:r>
        <w:rPr>
          <w:rFonts w:eastAsia="Cambria Math"/>
          <w:sz w:val="24"/>
          <w:szCs w:val="24"/>
          <w:lang w:val="uk-UA" w:eastAsia="uk-UA"/>
        </w:rPr>
        <w:t xml:space="preserve">Для лікування круглих та стьожкових червів ефективним є разове нанесення за курс лікування. 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 xml:space="preserve">Для лікування маток з метою профілактики лактогенної передачі </w:t>
      </w:r>
      <w:r>
        <w:rPr>
          <w:rFonts w:eastAsia="Cambria Math"/>
          <w:i/>
          <w:iCs/>
          <w:sz w:val="24"/>
          <w:szCs w:val="24"/>
          <w:lang w:val="uk-UA" w:eastAsia="uk-UA"/>
        </w:rPr>
        <w:t>Toxocara cati</w:t>
      </w:r>
      <w:r>
        <w:rPr>
          <w:rFonts w:eastAsia="Cambria Math"/>
          <w:sz w:val="24"/>
          <w:szCs w:val="24"/>
          <w:lang w:val="uk-UA" w:eastAsia="uk-UA"/>
        </w:rPr>
        <w:t xml:space="preserve"> (личинки L3) потомству ефективним є разове нанесення за одну обробку приблизно за 7 дні</w:t>
      </w:r>
      <w:r>
        <w:rPr>
          <w:rFonts w:eastAsia="Cambria Math"/>
          <w:sz w:val="24"/>
          <w:szCs w:val="24"/>
          <w:lang w:val="uk-UA" w:eastAsia="uk-UA"/>
        </w:rPr>
        <w:t xml:space="preserve">в до очікуваної дати пологів. 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u w:val="single"/>
          <w:lang w:val="uk-UA" w:eastAsia="uk-UA"/>
        </w:rPr>
      </w:pPr>
      <w:r>
        <w:rPr>
          <w:rFonts w:eastAsia="Cambria Math"/>
          <w:sz w:val="24"/>
          <w:szCs w:val="24"/>
          <w:u w:val="single"/>
          <w:lang w:val="uk-UA" w:eastAsia="uk-UA"/>
        </w:rPr>
        <w:t xml:space="preserve">Спосіб застосування 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Тільки для зовнішнього застосування.</w:t>
      </w:r>
    </w:p>
    <w:p w:rsidR="00CB2B16" w:rsidRDefault="00F93E2A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 xml:space="preserve">Витягніть одну піпетку з упаковки. Тримайте піпетку у вертикальному положенні, викрутіть і зніміть кришку. </w:t>
      </w:r>
    </w:p>
    <w:p w:rsidR="00CB2B16" w:rsidRDefault="00F93E2A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 xml:space="preserve">Поверніть кришку і покладіть інший кінець кришки на піпетку. Натисніть і скрутіть кришку, щоб розірвати ізоляційну прокладку, а потім зніміть кришку з піпетки. </w:t>
      </w:r>
    </w:p>
    <w:p w:rsidR="00CB2B16" w:rsidRDefault="00F93E2A">
      <w:pPr>
        <w:numPr>
          <w:ilvl w:val="0"/>
          <w:numId w:val="26"/>
        </w:numPr>
        <w:tabs>
          <w:tab w:val="clear" w:pos="567"/>
        </w:tabs>
        <w:spacing w:line="240" w:lineRule="auto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t>Розділіть хутро на шиї тварини біля основи черепа, поки не буде видно шкіру. Покладіть кінчик п</w:t>
      </w:r>
      <w:r>
        <w:rPr>
          <w:rFonts w:eastAsia="Cambria Math"/>
          <w:sz w:val="24"/>
          <w:szCs w:val="24"/>
          <w:lang w:val="uk-UA" w:eastAsia="uk-UA"/>
        </w:rPr>
        <w:t>іпетки на шкіру і кілька разів стисніть піпетку, щоб видалити її вміст повністю і прямо на шкіру в одному місці. Уникайте контакту між ветеринарним лікарським засобом та вашими пальцями.</w:t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</w:instrText>
      </w:r>
      <w:r>
        <w:rPr>
          <w:rFonts w:eastAsia="Cambria Math"/>
          <w:sz w:val="24"/>
          <w:szCs w:val="24"/>
          <w:lang w:val="uk-UA" w:eastAsia="uk-UA"/>
        </w:rPr>
        <w:instrText xml:space="preserve">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</w:instrText>
      </w:r>
      <w:r>
        <w:rPr>
          <w:rFonts w:eastAsia="Cambria Math"/>
          <w:sz w:val="24"/>
          <w:szCs w:val="24"/>
          <w:lang w:val="uk-UA" w:eastAsia="uk-UA"/>
        </w:rPr>
        <w:instrText xml:space="preserve">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</w:instrText>
      </w:r>
      <w:r>
        <w:rPr>
          <w:rFonts w:eastAsia="Cambria Math"/>
          <w:sz w:val="24"/>
          <w:szCs w:val="24"/>
          <w:lang w:val="uk-UA" w:eastAsia="uk-UA"/>
        </w:rPr>
        <w:instrText xml:space="preserve">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</w:instrText>
      </w:r>
      <w:r>
        <w:rPr>
          <w:rFonts w:eastAsia="Cambria Math"/>
          <w:sz w:val="24"/>
          <w:szCs w:val="24"/>
          <w:lang w:val="uk-UA" w:eastAsia="uk-UA"/>
        </w:rPr>
        <w:instrText xml:space="preserve">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INCLUDEPICTURE  "cid:image002.png@01DB97DB.69748EC0" \* MERGEFORMATINET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fldChar w:fldCharType="begin"/>
      </w:r>
      <w:r>
        <w:rPr>
          <w:rFonts w:eastAsia="Cambria Math"/>
          <w:sz w:val="24"/>
          <w:szCs w:val="24"/>
          <w:lang w:val="uk-UA" w:eastAsia="uk-UA"/>
        </w:rPr>
        <w:instrText xml:space="preserve"> </w:instrText>
      </w:r>
      <w:r>
        <w:rPr>
          <w:rFonts w:eastAsia="Cambria Math"/>
          <w:sz w:val="24"/>
          <w:szCs w:val="24"/>
          <w:lang w:val="uk-UA" w:eastAsia="uk-UA"/>
        </w:rPr>
        <w:instrText>INCLUDEPICTURE  "cid:image002.png@01DB97DB.69748EC0" \* MERGEFORMATINE</w:instrText>
      </w:r>
      <w:r>
        <w:rPr>
          <w:rFonts w:eastAsia="Cambria Math"/>
          <w:sz w:val="24"/>
          <w:szCs w:val="24"/>
          <w:lang w:val="uk-UA" w:eastAsia="uk-UA"/>
        </w:rPr>
        <w:instrText>T</w:instrText>
      </w:r>
      <w:r>
        <w:rPr>
          <w:rFonts w:eastAsia="Cambria Math"/>
          <w:sz w:val="24"/>
          <w:szCs w:val="24"/>
          <w:lang w:val="uk-UA" w:eastAsia="uk-UA"/>
        </w:rPr>
        <w:instrText xml:space="preserve"> </w:instrText>
      </w:r>
      <w:r>
        <w:rPr>
          <w:rFonts w:eastAsia="Cambria Math"/>
          <w:sz w:val="24"/>
          <w:szCs w:val="24"/>
          <w:lang w:val="uk-UA" w:eastAsia="uk-UA"/>
        </w:rPr>
        <w:fldChar w:fldCharType="separate"/>
      </w:r>
      <w:r>
        <w:rPr>
          <w:rFonts w:eastAsia="Cambria Math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104.25pt;visibility:visible">
            <v:imagedata r:id="rId8" r:href="rId9"/>
          </v:shape>
        </w:pict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  <w:r>
        <w:rPr>
          <w:rFonts w:eastAsia="Cambria Math"/>
          <w:sz w:val="24"/>
          <w:szCs w:val="24"/>
          <w:lang w:val="uk-UA" w:eastAsia="uk-UA"/>
        </w:rPr>
        <w:fldChar w:fldCharType="end"/>
      </w:r>
    </w:p>
    <w:p w:rsidR="00CB2B16" w:rsidRDefault="00F93E2A">
      <w:pPr>
        <w:tabs>
          <w:tab w:val="clear" w:pos="567"/>
        </w:tabs>
        <w:spacing w:line="240" w:lineRule="auto"/>
        <w:ind w:firstLine="560"/>
        <w:jc w:val="both"/>
        <w:rPr>
          <w:rFonts w:eastAsia="Cambria Math"/>
          <w:snapToGrid w:val="0"/>
          <w:sz w:val="24"/>
          <w:szCs w:val="24"/>
          <w:lang w:val="uk-UA" w:eastAsia="uk-UA"/>
        </w:rPr>
      </w:pPr>
      <w:r>
        <w:rPr>
          <w:rFonts w:eastAsia="Cambria Math"/>
          <w:sz w:val="24"/>
          <w:szCs w:val="24"/>
          <w:lang w:val="uk-UA"/>
        </w:rPr>
        <w:t>Нанесення біля основи черепа мінімізує можливість злизування ветеринарного лікарського засобу твариною.</w:t>
      </w:r>
      <w:r>
        <w:rPr>
          <w:rFonts w:eastAsia="Cambria Math"/>
          <w:snapToGrid w:val="0"/>
          <w:sz w:val="24"/>
          <w:szCs w:val="24"/>
          <w:lang w:val="uk-UA" w:eastAsia="uk-UA"/>
        </w:rPr>
        <w:t> 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5.9 Передозування (симптоми, невідкладні заходи, антидоти)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Слинотеча, блювота та неврологічні симптоми</w:t>
      </w:r>
      <w:r>
        <w:rPr>
          <w:rFonts w:eastAsia="Cambria Math"/>
          <w:snapToGrid w:val="0"/>
          <w:sz w:val="24"/>
          <w:szCs w:val="24"/>
          <w:lang w:val="uk-UA"/>
        </w:rPr>
        <w:t xml:space="preserve"> (тремор) спостерігались тоді, коли ветеринарний лікарський засіб вводили у дозах, що в 10 разів перевищували рекомендовану дозу для дорослих котів та до 5 разів перевищували рекомендовану дозу для кошенят. Ці симптоми можуть виникати в результаті вилизува</w:t>
      </w:r>
      <w:r>
        <w:rPr>
          <w:rFonts w:eastAsia="Cambria Math"/>
          <w:snapToGrid w:val="0"/>
          <w:sz w:val="24"/>
          <w:szCs w:val="24"/>
          <w:lang w:val="uk-UA"/>
        </w:rPr>
        <w:t>ння місця нанесення. Симптоми були повністю оборотними.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Відомого специфічного антидоту не існує.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ru-RU"/>
        </w:rPr>
        <w:t>5.</w:t>
      </w:r>
      <w:r>
        <w:rPr>
          <w:rFonts w:eastAsia="Cambria Math"/>
          <w:b/>
          <w:snapToGrid w:val="0"/>
          <w:sz w:val="24"/>
          <w:szCs w:val="24"/>
          <w:lang w:val="uk-UA"/>
        </w:rPr>
        <w:t>10</w:t>
      </w:r>
      <w:r>
        <w:rPr>
          <w:rFonts w:eastAsia="Cambria Math"/>
          <w:b/>
          <w:snapToGrid w:val="0"/>
          <w:sz w:val="24"/>
          <w:szCs w:val="24"/>
          <w:lang w:val="ru-RU"/>
        </w:rPr>
        <w:t xml:space="preserve"> Спеціальні застереження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bookmarkStart w:id="2" w:name="_Hlk196727331"/>
      <w:r>
        <w:rPr>
          <w:rFonts w:eastAsia="Cambria Math"/>
          <w:snapToGrid w:val="0"/>
          <w:sz w:val="24"/>
          <w:szCs w:val="24"/>
          <w:lang w:val="uk-UA"/>
        </w:rPr>
        <w:t>Необґрунтоване застосування протипаразитарних засобів або застосування не за показаннями у КХЛЗ може підвищити стійкість та знизит</w:t>
      </w:r>
      <w:r>
        <w:rPr>
          <w:rFonts w:eastAsia="Cambria Math"/>
          <w:snapToGrid w:val="0"/>
          <w:sz w:val="24"/>
          <w:szCs w:val="24"/>
          <w:lang w:val="uk-UA"/>
        </w:rPr>
        <w:t xml:space="preserve">и ефективність. Рішення про застосування лікарського засобу має бути засновано на підтвердженні </w:t>
      </w:r>
      <w:r>
        <w:rPr>
          <w:rFonts w:eastAsia="Cambria Math"/>
          <w:snapToGrid w:val="0"/>
          <w:sz w:val="24"/>
          <w:szCs w:val="24"/>
          <w:lang w:val="uk-UA"/>
        </w:rPr>
        <w:lastRenderedPageBreak/>
        <w:t>виду паразиту та тягаря або ризику на основі його епідеміологічних особливостей для кожної окремої тварини.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За відсутності ризику супутньої інфекції необхідно з</w:t>
      </w:r>
      <w:r>
        <w:rPr>
          <w:rFonts w:eastAsia="Cambria Math"/>
          <w:snapToGrid w:val="0"/>
          <w:sz w:val="24"/>
          <w:szCs w:val="24"/>
          <w:lang w:val="uk-UA"/>
        </w:rPr>
        <w:t>астосовувати лікарський засіб вузького спектру дії.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Необхідно враховувати ймовірність того, що інші тварини в одному будинку можуть бути джерелом повторного зараження нематодами та/або цестодами, та їх необхідно лікувати відповідним лікарським засобом.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Якщ</w:t>
      </w:r>
      <w:r>
        <w:rPr>
          <w:rFonts w:eastAsia="Cambria Math"/>
          <w:snapToGrid w:val="0"/>
          <w:sz w:val="24"/>
          <w:szCs w:val="24"/>
          <w:lang w:val="uk-UA"/>
        </w:rPr>
        <w:t xml:space="preserve">о підтверджено зараження цестодою </w:t>
      </w:r>
      <w:r>
        <w:rPr>
          <w:rFonts w:eastAsia="Cambria Math"/>
          <w:i/>
          <w:iCs/>
          <w:snapToGrid w:val="0"/>
          <w:sz w:val="24"/>
          <w:szCs w:val="24"/>
          <w:lang w:val="uk-UA"/>
        </w:rPr>
        <w:t>Dipylidium caninum,</w:t>
      </w:r>
      <w:r>
        <w:rPr>
          <w:rFonts w:eastAsia="Cambria Math"/>
          <w:snapToGrid w:val="0"/>
          <w:sz w:val="24"/>
          <w:szCs w:val="24"/>
          <w:lang w:val="uk-UA"/>
        </w:rPr>
        <w:t xml:space="preserve"> з ветеринаром необхідно обговорити супутнє лікування для профілактики проміжних хазяїв, таких як блохи та воші, з метою запобігання повторному зараженню.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Паразитостійкість до будь-якого конкретного клас</w:t>
      </w:r>
      <w:r>
        <w:rPr>
          <w:rFonts w:eastAsia="Cambria Math"/>
          <w:snapToGrid w:val="0"/>
          <w:sz w:val="24"/>
          <w:szCs w:val="24"/>
          <w:lang w:val="uk-UA"/>
        </w:rPr>
        <w:t xml:space="preserve">у антигельмінтних засобів може розвинутись після частого багаторазового застосування антигельмінтних засобів цього класу.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 xml:space="preserve">Повідомлялось про стійкість </w:t>
      </w:r>
      <w:r>
        <w:rPr>
          <w:rFonts w:eastAsia="Cambria Math"/>
          <w:i/>
          <w:iCs/>
          <w:snapToGrid w:val="0"/>
          <w:sz w:val="24"/>
          <w:szCs w:val="24"/>
          <w:lang w:val="uk-UA"/>
        </w:rPr>
        <w:t>Dipylidium caninum</w:t>
      </w:r>
      <w:r>
        <w:rPr>
          <w:rFonts w:eastAsia="Cambria Math"/>
          <w:snapToGrid w:val="0"/>
          <w:sz w:val="24"/>
          <w:szCs w:val="24"/>
          <w:lang w:val="uk-UA"/>
        </w:rPr>
        <w:t xml:space="preserve"> до празиквантелу у собак.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При застосуванні цього препарату необхідно враховувати місце</w:t>
      </w:r>
      <w:r>
        <w:rPr>
          <w:rFonts w:eastAsia="Cambria Math"/>
          <w:snapToGrid w:val="0"/>
          <w:sz w:val="24"/>
          <w:szCs w:val="24"/>
          <w:lang w:val="uk-UA"/>
        </w:rPr>
        <w:t>ву інформацію про чутливість цільових паразитів, за наявності.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 xml:space="preserve">Рекомендується досліджувати випадки підозрюваної стійкості за допомогою відповідного методу діагностики.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Про підтверджену стійкість необхідно повідомити власника реєстраційного посвідчення або</w:t>
      </w:r>
      <w:r>
        <w:rPr>
          <w:rFonts w:eastAsia="Cambria Math"/>
          <w:snapToGrid w:val="0"/>
          <w:sz w:val="24"/>
          <w:szCs w:val="24"/>
          <w:lang w:val="uk-UA"/>
        </w:rPr>
        <w:t xml:space="preserve"> уповноважені органи.</w:t>
      </w:r>
    </w:p>
    <w:bookmarkEnd w:id="2"/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Миття або занурення тварини у воду після лікування може знизити ефективність ветеринарного лікарського засобу. Тому тварин не можна мити до висихання розчину.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5.11 Період виведення (каренція)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Для непродуктивних тварин не визначають.</w:t>
      </w:r>
    </w:p>
    <w:p w:rsidR="00CB2B16" w:rsidRDefault="00F93E2A">
      <w:pPr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z w:val="24"/>
          <w:szCs w:val="24"/>
          <w:lang w:val="uk-UA"/>
        </w:rPr>
      </w:pPr>
      <w:r>
        <w:rPr>
          <w:rFonts w:eastAsia="Cambria Math"/>
          <w:b/>
          <w:sz w:val="24"/>
          <w:szCs w:val="24"/>
          <w:lang w:val="uk-UA"/>
        </w:rPr>
        <w:t>5.12 Спеціальні застереження для осіб і обслуговуючого персоналу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>Цей ветеринарний лікарський засіб може подразнювати шкіру та очі.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У разі випадкового потрапляння на шкіру, негайно вимийте шкіру водою з милом. 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Якщо ветеринарний лікарський засіб випадково потрапив в очі, їх слід ретельно промити водою. 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Якщо симптоми з боку шкіри або очей зберігаються, негайно зверніться до лікаря та покажіть йому листок-вкладиш або етикетку. 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Уникайте прямого контакту з вологим </w:t>
      </w:r>
      <w:r>
        <w:rPr>
          <w:rFonts w:eastAsia="Cambria Math"/>
          <w:sz w:val="24"/>
          <w:szCs w:val="24"/>
          <w:lang w:val="uk-UA"/>
        </w:rPr>
        <w:t>місцем нанесення. Не дозволяйте дітям активно контактувати (наприклад, уві сні) з обробленими котами протягом перших 24 годин після нанесення.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 xml:space="preserve">Не палити, не їсти та не пити під час нанесення. 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>Вимийте руки після використання.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bookmarkStart w:id="3" w:name="_Hlk158986893"/>
      <w:r>
        <w:rPr>
          <w:rFonts w:eastAsia="Cambria Math"/>
          <w:sz w:val="24"/>
          <w:szCs w:val="24"/>
          <w:lang w:val="uk-UA"/>
        </w:rPr>
        <w:t>Розчинник, що міститься у цьом</w:t>
      </w:r>
      <w:r>
        <w:rPr>
          <w:rFonts w:eastAsia="Cambria Math"/>
          <w:sz w:val="24"/>
          <w:szCs w:val="24"/>
          <w:lang w:val="uk-UA"/>
        </w:rPr>
        <w:t>у ветеринарному лікарському засобі, може забарвити певні матеріали, включаючи шкіру, тканини, пластмасу та готові поверхні. Дайте місцю нанесення висохнути, перш ніж дозволити контакт з такими матеріалами.</w:t>
      </w:r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/>
        </w:rPr>
      </w:pPr>
      <w:r>
        <w:rPr>
          <w:rFonts w:eastAsia="Cambria Math"/>
          <w:sz w:val="24"/>
          <w:szCs w:val="24"/>
          <w:lang w:val="uk-UA"/>
        </w:rPr>
        <w:t>Ехінококоз є небезпечним для людини. Оскільки ехін</w:t>
      </w:r>
      <w:r>
        <w:rPr>
          <w:rFonts w:eastAsia="Cambria Math"/>
          <w:sz w:val="24"/>
          <w:szCs w:val="24"/>
          <w:lang w:val="uk-UA"/>
        </w:rPr>
        <w:t>ококоз є захворюванням, про яке необхідно повідомити Всесвітню організацію охорони здоров’я тварин, від відповідних уповноважених органів необхідно отримати спеціальні рекомендації щодо лікування та подальшого спостереження, а також захисту людей.</w:t>
      </w:r>
      <w:bookmarkEnd w:id="3"/>
    </w:p>
    <w:p w:rsidR="00CB2B16" w:rsidRDefault="00F93E2A">
      <w:pPr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6. Фарма</w:t>
      </w:r>
      <w:r>
        <w:rPr>
          <w:rFonts w:eastAsia="Cambria Math"/>
          <w:b/>
          <w:snapToGrid w:val="0"/>
          <w:sz w:val="24"/>
          <w:szCs w:val="24"/>
          <w:lang w:val="uk-UA"/>
        </w:rPr>
        <w:t>цевтичні особливості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454" w:firstLine="567"/>
        <w:jc w:val="both"/>
        <w:rPr>
          <w:rFonts w:eastAsia="Cambria Math"/>
          <w:b/>
          <w:sz w:val="24"/>
          <w:szCs w:val="24"/>
          <w:lang w:val="uk-UA" w:eastAsia="ru-RU"/>
        </w:rPr>
      </w:pPr>
      <w:r>
        <w:rPr>
          <w:rFonts w:eastAsia="Cambria Math"/>
          <w:b/>
          <w:sz w:val="24"/>
          <w:szCs w:val="24"/>
          <w:lang w:val="uk-UA" w:eastAsia="ru-RU"/>
        </w:rPr>
        <w:t>6.1 Форми несумісності (основні)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uk-UA" w:eastAsia="ru-RU"/>
        </w:rPr>
      </w:pPr>
      <w:r>
        <w:rPr>
          <w:rFonts w:eastAsia="Cambria Math"/>
          <w:sz w:val="24"/>
          <w:szCs w:val="24"/>
          <w:lang w:val="uk-UA" w:eastAsia="ru-RU"/>
        </w:rPr>
        <w:t>Не встановлені.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6.2 Термін придатності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-36" w:firstLine="567"/>
        <w:jc w:val="both"/>
        <w:rPr>
          <w:rFonts w:eastAsia="Cambria Math"/>
          <w:snapToGrid w:val="0"/>
          <w:sz w:val="24"/>
          <w:szCs w:val="24"/>
          <w:lang w:val="uk-UA"/>
        </w:rPr>
      </w:pPr>
      <w:r>
        <w:rPr>
          <w:rFonts w:eastAsia="Cambria Math"/>
          <w:snapToGrid w:val="0"/>
          <w:sz w:val="24"/>
          <w:szCs w:val="24"/>
          <w:lang w:val="uk-UA"/>
        </w:rPr>
        <w:t>2</w:t>
      </w:r>
      <w:r>
        <w:rPr>
          <w:rFonts w:eastAsia="Cambria Math"/>
          <w:snapToGrid w:val="0"/>
          <w:sz w:val="24"/>
          <w:szCs w:val="24"/>
          <w:lang w:val="sl-SI"/>
        </w:rPr>
        <w:t xml:space="preserve"> </w:t>
      </w:r>
      <w:r>
        <w:rPr>
          <w:rFonts w:eastAsia="Cambria Math"/>
          <w:snapToGrid w:val="0"/>
          <w:sz w:val="24"/>
          <w:szCs w:val="24"/>
          <w:lang w:val="uk-UA"/>
        </w:rPr>
        <w:t xml:space="preserve">роки. 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t>6.3 Особливі заходи зберігання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ru-RU"/>
        </w:rPr>
      </w:pPr>
      <w:r>
        <w:rPr>
          <w:rFonts w:eastAsia="Cambria Math"/>
          <w:sz w:val="24"/>
          <w:szCs w:val="24"/>
          <w:lang w:val="uk-UA"/>
        </w:rPr>
        <w:t>Зберігати в оригінальній упаковці для захисту від дії світла та вологи, у недоступному для дітей місці за температури не ви</w:t>
      </w:r>
      <w:r>
        <w:rPr>
          <w:rFonts w:eastAsia="Cambria Math"/>
          <w:sz w:val="24"/>
          <w:szCs w:val="24"/>
          <w:lang w:val="uk-UA"/>
        </w:rPr>
        <w:t>ще 30 °С.</w:t>
      </w:r>
    </w:p>
    <w:p w:rsidR="00CB2B16" w:rsidRDefault="00F93E2A">
      <w:pPr>
        <w:widowControl w:val="0"/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napToGrid w:val="0"/>
          <w:sz w:val="24"/>
          <w:szCs w:val="24"/>
          <w:lang w:val="uk-UA"/>
        </w:rPr>
      </w:pPr>
      <w:r>
        <w:rPr>
          <w:rFonts w:eastAsia="Cambria Math"/>
          <w:b/>
          <w:snapToGrid w:val="0"/>
          <w:sz w:val="24"/>
          <w:szCs w:val="24"/>
          <w:lang w:val="uk-UA"/>
        </w:rPr>
        <w:lastRenderedPageBreak/>
        <w:t>6.4 Природа і склад контейнера первинного пакування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uk-UA" w:eastAsia="ru-RU"/>
        </w:rPr>
      </w:pPr>
      <w:r>
        <w:rPr>
          <w:rFonts w:eastAsia="Cambria Math"/>
          <w:sz w:val="24"/>
          <w:szCs w:val="24"/>
          <w:lang w:val="uk-UA" w:eastAsia="ru-RU"/>
        </w:rPr>
        <w:t xml:space="preserve">Однодозова піпетка з поліпропілену білого кольору з кришкою з поліетилену високої щільності, упакована у багатошаровий алюмінієвий пакет. </w:t>
      </w:r>
      <w:r>
        <w:rPr>
          <w:rFonts w:eastAsia="Cambria Math"/>
          <w:sz w:val="24"/>
          <w:szCs w:val="24"/>
          <w:lang w:val="uk-UA"/>
        </w:rPr>
        <w:t>Картонна коробка, що містить 1</w:t>
      </w:r>
      <w:r>
        <w:rPr>
          <w:rFonts w:eastAsia="Cambria Math"/>
          <w:sz w:val="24"/>
          <w:szCs w:val="24"/>
          <w:lang w:val="sl-SI"/>
        </w:rPr>
        <w:t xml:space="preserve"> </w:t>
      </w:r>
      <w:r w:rsidRPr="00F93E2A">
        <w:rPr>
          <w:rFonts w:eastAsia="Cambria Math"/>
          <w:strike/>
          <w:sz w:val="24"/>
          <w:szCs w:val="24"/>
          <w:highlight w:val="yellow"/>
          <w:lang w:val="uk-UA"/>
        </w:rPr>
        <w:t>піпеток, кожна</w:t>
      </w:r>
      <w:r>
        <w:rPr>
          <w:rFonts w:eastAsia="Cambria Math"/>
          <w:sz w:val="24"/>
          <w:szCs w:val="24"/>
          <w:lang w:val="uk-UA"/>
        </w:rPr>
        <w:t xml:space="preserve"> піпетку</w:t>
      </w:r>
      <w:bookmarkStart w:id="4" w:name="_GoBack"/>
      <w:bookmarkEnd w:id="4"/>
      <w:r>
        <w:rPr>
          <w:rFonts w:eastAsia="Cambria Math"/>
          <w:sz w:val="24"/>
          <w:szCs w:val="24"/>
          <w:lang w:val="uk-UA"/>
        </w:rPr>
        <w:t xml:space="preserve"> </w:t>
      </w:r>
      <w:r>
        <w:rPr>
          <w:rFonts w:eastAsia="Cambria Math"/>
          <w:sz w:val="24"/>
          <w:szCs w:val="24"/>
          <w:lang w:val="uk-UA"/>
        </w:rPr>
        <w:t>об’ємом 0,35 мл.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-36" w:firstLine="567"/>
        <w:jc w:val="both"/>
        <w:rPr>
          <w:rFonts w:eastAsia="Cambria Math"/>
          <w:b/>
          <w:sz w:val="28"/>
          <w:lang w:val="uk-UA" w:eastAsia="ru-RU"/>
        </w:rPr>
      </w:pPr>
      <w:r>
        <w:rPr>
          <w:rFonts w:eastAsia="Cambria Math"/>
          <w:b/>
          <w:sz w:val="24"/>
          <w:szCs w:val="24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-36" w:firstLine="567"/>
        <w:jc w:val="both"/>
        <w:rPr>
          <w:rFonts w:eastAsia="Cambria Math"/>
          <w:sz w:val="24"/>
          <w:szCs w:val="24"/>
          <w:lang w:val="ru-RU" w:eastAsia="ru-RU"/>
        </w:rPr>
      </w:pPr>
      <w:r>
        <w:rPr>
          <w:rFonts w:eastAsia="Cambria Math"/>
          <w:sz w:val="24"/>
          <w:szCs w:val="24"/>
          <w:lang w:val="uk-UA" w:eastAsia="ru-RU"/>
        </w:rPr>
        <w:t>Невикористаний або протермінований препарат утилізують відповідно до вимог чинного законодавства.</w:t>
      </w:r>
    </w:p>
    <w:p w:rsidR="00CB2B16" w:rsidRDefault="00F93E2A">
      <w:pPr>
        <w:widowControl w:val="0"/>
        <w:tabs>
          <w:tab w:val="clear" w:pos="567"/>
        </w:tabs>
        <w:snapToGrid w:val="0"/>
        <w:spacing w:line="240" w:lineRule="auto"/>
        <w:ind w:right="454" w:firstLine="567"/>
        <w:jc w:val="both"/>
        <w:rPr>
          <w:rFonts w:eastAsia="Cambria Math"/>
          <w:sz w:val="24"/>
          <w:szCs w:val="24"/>
          <w:lang w:val="ru-RU" w:eastAsia="ru-RU"/>
        </w:rPr>
      </w:pPr>
      <w:r>
        <w:rPr>
          <w:rFonts w:eastAsia="Cambria Math"/>
          <w:b/>
          <w:sz w:val="24"/>
          <w:szCs w:val="24"/>
          <w:lang w:val="uk-UA" w:eastAsia="ru-RU"/>
        </w:rPr>
        <w:t>7. Назва і місце знаходження власника реєстрацій</w:t>
      </w:r>
      <w:r>
        <w:rPr>
          <w:rFonts w:eastAsia="Cambria Math"/>
          <w:b/>
          <w:sz w:val="24"/>
          <w:szCs w:val="24"/>
          <w:lang w:val="uk-UA" w:eastAsia="ru-RU"/>
        </w:rPr>
        <w:t>ного посвідчення</w:t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5067"/>
        <w:gridCol w:w="5148"/>
      </w:tblGrid>
      <w:tr w:rsidR="00CB2B16">
        <w:tc>
          <w:tcPr>
            <w:tcW w:w="5067" w:type="dxa"/>
          </w:tcPr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ru-RU"/>
              </w:rPr>
            </w:pPr>
            <w:r>
              <w:rPr>
                <w:rFonts w:eastAsia="Cambria Math"/>
                <w:sz w:val="24"/>
                <w:szCs w:val="24"/>
                <w:lang w:val="uk-UA"/>
              </w:rPr>
              <w:t>КРКА, д.д., Ново место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uk-UA"/>
              </w:rPr>
            </w:pPr>
            <w:r>
              <w:rPr>
                <w:rFonts w:eastAsia="Cambria Math"/>
                <w:sz w:val="24"/>
                <w:szCs w:val="24"/>
                <w:lang w:val="ru-RU"/>
              </w:rPr>
              <w:t>Шмар'єшка цеста 6, 8501 Ново место</w:t>
            </w:r>
            <w:r>
              <w:rPr>
                <w:rFonts w:eastAsia="Cambria Math"/>
                <w:sz w:val="24"/>
                <w:szCs w:val="24"/>
                <w:lang w:val="uk-UA"/>
              </w:rPr>
              <w:t>, Словенія</w:t>
            </w:r>
          </w:p>
        </w:tc>
        <w:tc>
          <w:tcPr>
            <w:tcW w:w="5148" w:type="dxa"/>
          </w:tcPr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es-ES"/>
              </w:rPr>
            </w:pPr>
            <w:r>
              <w:rPr>
                <w:rFonts w:eastAsia="Cambria Math"/>
                <w:sz w:val="24"/>
                <w:szCs w:val="24"/>
                <w:lang w:val="uk-UA"/>
              </w:rPr>
              <w:t>КRKA, d.d., Novo mesto</w:t>
            </w:r>
            <w:r>
              <w:rPr>
                <w:rFonts w:eastAsia="Cambria Math"/>
                <w:sz w:val="24"/>
                <w:szCs w:val="24"/>
                <w:lang w:val="es-ES"/>
              </w:rPr>
              <w:t xml:space="preserve"> 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en-US"/>
              </w:rPr>
            </w:pPr>
            <w:r>
              <w:rPr>
                <w:rFonts w:eastAsia="Cambria Math"/>
                <w:sz w:val="24"/>
                <w:szCs w:val="24"/>
                <w:lang w:val="es-ES"/>
              </w:rPr>
              <w:t>Šmarješka cesta 6, 8501 Novo mesto</w:t>
            </w:r>
            <w:r>
              <w:rPr>
                <w:rFonts w:eastAsia="Cambria Math"/>
                <w:sz w:val="24"/>
                <w:szCs w:val="24"/>
                <w:lang w:val="uk-UA"/>
              </w:rPr>
              <w:t xml:space="preserve">, </w:t>
            </w:r>
            <w:r>
              <w:rPr>
                <w:rFonts w:eastAsia="Cambria Math"/>
                <w:sz w:val="24"/>
                <w:szCs w:val="24"/>
                <w:lang w:val="es-ES"/>
              </w:rPr>
              <w:t>Slovenia</w:t>
            </w:r>
          </w:p>
        </w:tc>
      </w:tr>
    </w:tbl>
    <w:p w:rsidR="00CB2B16" w:rsidRDefault="00F93E2A">
      <w:pPr>
        <w:tabs>
          <w:tab w:val="clear" w:pos="567"/>
        </w:tabs>
        <w:spacing w:line="240" w:lineRule="auto"/>
        <w:ind w:right="454" w:firstLine="567"/>
        <w:jc w:val="both"/>
        <w:rPr>
          <w:rFonts w:eastAsia="Cambria Math"/>
          <w:b/>
          <w:sz w:val="24"/>
          <w:szCs w:val="24"/>
          <w:lang w:val="en-US"/>
        </w:rPr>
      </w:pPr>
      <w:r>
        <w:rPr>
          <w:rFonts w:eastAsia="Cambria Math"/>
          <w:b/>
          <w:sz w:val="24"/>
          <w:szCs w:val="24"/>
          <w:lang w:val="uk-UA"/>
        </w:rPr>
        <w:t>8. Назва і місце знаходження виробника</w:t>
      </w:r>
    </w:p>
    <w:tbl>
      <w:tblPr>
        <w:tblW w:w="10200" w:type="dxa"/>
        <w:tblInd w:w="8" w:type="dxa"/>
        <w:tblLayout w:type="fixed"/>
        <w:tblLook w:val="00A0" w:firstRow="1" w:lastRow="0" w:firstColumn="1" w:lastColumn="0" w:noHBand="0" w:noVBand="0"/>
      </w:tblPr>
      <w:tblGrid>
        <w:gridCol w:w="5100"/>
        <w:gridCol w:w="5100"/>
      </w:tblGrid>
      <w:tr w:rsidR="00CB2B16">
        <w:trPr>
          <w:trHeight w:val="261"/>
        </w:trPr>
        <w:tc>
          <w:tcPr>
            <w:tcW w:w="5100" w:type="dxa"/>
          </w:tcPr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ru-RU"/>
              </w:rPr>
            </w:pPr>
            <w:r>
              <w:rPr>
                <w:rFonts w:eastAsia="Cambria Math"/>
                <w:sz w:val="24"/>
                <w:szCs w:val="24"/>
                <w:lang w:val="uk-UA"/>
              </w:rPr>
              <w:t>КРКА, д.д., Ново место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jc w:val="both"/>
              <w:rPr>
                <w:rFonts w:eastAsia="Cambria Math"/>
                <w:b/>
                <w:sz w:val="24"/>
                <w:szCs w:val="24"/>
                <w:lang w:val="ru-RU"/>
              </w:rPr>
            </w:pPr>
            <w:r>
              <w:rPr>
                <w:rFonts w:eastAsia="Cambria Math"/>
                <w:sz w:val="24"/>
                <w:szCs w:val="24"/>
                <w:lang w:val="ru-RU"/>
              </w:rPr>
              <w:t>Шмар'єшка цеста 6, 8501 Ново место</w:t>
            </w:r>
            <w:r>
              <w:rPr>
                <w:rFonts w:eastAsia="Cambria Math"/>
                <w:sz w:val="24"/>
                <w:szCs w:val="24"/>
                <w:lang w:val="uk-UA"/>
              </w:rPr>
              <w:t xml:space="preserve">, </w:t>
            </w:r>
            <w:r>
              <w:rPr>
                <w:rFonts w:eastAsia="Cambria Math"/>
                <w:sz w:val="24"/>
                <w:szCs w:val="24"/>
                <w:lang w:val="uk-UA"/>
              </w:rPr>
              <w:t>Словенія</w:t>
            </w:r>
          </w:p>
        </w:tc>
        <w:tc>
          <w:tcPr>
            <w:tcW w:w="5100" w:type="dxa"/>
          </w:tcPr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es-ES"/>
              </w:rPr>
            </w:pPr>
            <w:r>
              <w:rPr>
                <w:rFonts w:eastAsia="Cambria Math"/>
                <w:sz w:val="24"/>
                <w:szCs w:val="24"/>
                <w:lang w:val="uk-UA"/>
              </w:rPr>
              <w:t>КRKA, d.d., Novo mesto</w:t>
            </w:r>
            <w:r>
              <w:rPr>
                <w:rFonts w:eastAsia="Cambria Math"/>
                <w:sz w:val="24"/>
                <w:szCs w:val="24"/>
                <w:lang w:val="es-ES"/>
              </w:rPr>
              <w:t xml:space="preserve"> </w:t>
            </w:r>
          </w:p>
          <w:p w:rsidR="00CB2B16" w:rsidRDefault="00F93E2A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uk-UA"/>
              </w:rPr>
            </w:pPr>
            <w:r>
              <w:rPr>
                <w:rFonts w:eastAsia="Cambria Math"/>
                <w:sz w:val="24"/>
                <w:szCs w:val="24"/>
                <w:lang w:val="es-ES"/>
              </w:rPr>
              <w:t>Šmarješka cesta 6, 8501 Novo mesto</w:t>
            </w:r>
            <w:r>
              <w:rPr>
                <w:rFonts w:eastAsia="Cambria Math"/>
                <w:sz w:val="24"/>
                <w:szCs w:val="24"/>
                <w:lang w:val="uk-UA"/>
              </w:rPr>
              <w:t xml:space="preserve">, </w:t>
            </w:r>
            <w:r>
              <w:rPr>
                <w:rFonts w:eastAsia="Cambria Math"/>
                <w:sz w:val="24"/>
                <w:szCs w:val="24"/>
                <w:lang w:val="es-ES"/>
              </w:rPr>
              <w:t>Slovenia</w:t>
            </w:r>
          </w:p>
          <w:p w:rsidR="00CB2B16" w:rsidRDefault="00CB2B16">
            <w:pPr>
              <w:tabs>
                <w:tab w:val="clear" w:pos="567"/>
              </w:tabs>
              <w:spacing w:line="240" w:lineRule="auto"/>
              <w:rPr>
                <w:rFonts w:eastAsia="Cambria Math"/>
                <w:sz w:val="24"/>
                <w:szCs w:val="24"/>
                <w:lang w:val="sl-SI"/>
              </w:rPr>
            </w:pPr>
          </w:p>
        </w:tc>
      </w:tr>
    </w:tbl>
    <w:p w:rsidR="00CB2B16" w:rsidRDefault="00CB2B16">
      <w:pPr>
        <w:tabs>
          <w:tab w:val="clear" w:pos="567"/>
        </w:tabs>
        <w:spacing w:line="240" w:lineRule="auto"/>
        <w:jc w:val="center"/>
        <w:rPr>
          <w:rFonts w:eastAsia="Cambria Math"/>
          <w:sz w:val="20"/>
          <w:lang w:val="uk-UA"/>
        </w:rPr>
      </w:pPr>
    </w:p>
    <w:p w:rsidR="00CB2B16" w:rsidRDefault="00CB2B16"/>
    <w:sectPr w:rsidR="00CB2B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16" w:rsidRDefault="00F93E2A">
      <w:pPr>
        <w:spacing w:line="240" w:lineRule="auto"/>
      </w:pPr>
      <w:r>
        <w:separator/>
      </w:r>
    </w:p>
  </w:endnote>
  <w:endnote w:type="continuationSeparator" w:id="0">
    <w:p w:rsidR="00CB2B16" w:rsidRDefault="00F93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APGUI-Belize-Icons">
    <w:altName w:val="Cambria Math"/>
    <w:charset w:val="00"/>
    <w:family w:val="auto"/>
    <w:pitch w:val="variable"/>
    <w:sig w:usb0="00000003" w:usb1="1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6" w:rsidRDefault="00CB2B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6" w:rsidRDefault="00F93E2A">
    <w:pPr>
      <w:pStyle w:val="a3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>
      <w:rPr>
        <w:rStyle w:val="a5"/>
        <w:rFonts w:cs="Arial"/>
      </w:rPr>
      <w:t>5</w:t>
    </w:r>
    <w:r>
      <w:rPr>
        <w:rStyle w:val="a5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6" w:rsidRDefault="00F93E2A">
    <w:pPr>
      <w:pStyle w:val="a3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16" w:rsidRDefault="00F93E2A">
      <w:pPr>
        <w:spacing w:line="240" w:lineRule="auto"/>
      </w:pPr>
      <w:r>
        <w:separator/>
      </w:r>
    </w:p>
  </w:footnote>
  <w:footnote w:type="continuationSeparator" w:id="0">
    <w:p w:rsidR="00CB2B16" w:rsidRDefault="00F93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6" w:rsidRDefault="00CB2B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6" w:rsidRDefault="00CB2B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16" w:rsidRDefault="00CB2B16">
    <w:pPr>
      <w:pStyle w:val="a4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4263F"/>
    <w:multiLevelType w:val="hybridMultilevel"/>
    <w:tmpl w:val="9148084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12"/>
  </w:num>
  <w:num w:numId="7">
    <w:abstractNumId w:val="7"/>
  </w:num>
  <w:num w:numId="8">
    <w:abstractNumId w:val="9"/>
  </w:num>
  <w:num w:numId="9">
    <w:abstractNumId w:val="2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8"/>
  </w:num>
  <w:num w:numId="17">
    <w:abstractNumId w:val="10"/>
  </w:num>
  <w:num w:numId="18">
    <w:abstractNumId w:val="11"/>
  </w:num>
  <w:num w:numId="19">
    <w:abstractNumId w:val="21"/>
  </w:num>
  <w:num w:numId="20">
    <w:abstractNumId w:val="13"/>
  </w:num>
  <w:num w:numId="21">
    <w:abstractNumId w:val="19"/>
  </w:num>
  <w:num w:numId="22">
    <w:abstractNumId w:val="16"/>
  </w:num>
  <w:num w:numId="23">
    <w:abstractNumId w:val="6"/>
  </w:num>
  <w:num w:numId="24">
    <w:abstractNumId w:val="19"/>
  </w:num>
  <w:num w:numId="25">
    <w:abstractNumId w:val="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CB2B16"/>
    <w:rsid w:val="00CB2B16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a"/>
    <w:next w:val="a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clear" w:pos="567"/>
      </w:tabs>
      <w:spacing w:line="240" w:lineRule="auto"/>
    </w:pPr>
    <w:rPr>
      <w:i/>
      <w:color w:val="008000"/>
    </w:rPr>
  </w:style>
  <w:style w:type="paragraph" w:styleId="a7">
    <w:name w:val="annotation text"/>
    <w:basedOn w:val="a"/>
    <w:link w:val="a8"/>
    <w:semiHidden/>
    <w:rPr>
      <w:sz w:val="20"/>
    </w:rPr>
  </w:style>
  <w:style w:type="character" w:styleId="a9">
    <w:name w:val="Hyperlink"/>
    <w:rPr>
      <w:color w:val="0000FF"/>
      <w:u w:val="single"/>
    </w:rPr>
  </w:style>
  <w:style w:type="paragraph" w:customStyle="1" w:styleId="EMEAEnBodyText">
    <w:name w:val="EMEA En Body Text"/>
    <w:basedOn w:val="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a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a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a1"/>
    <w:semiHidden/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a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subject"/>
    <w:basedOn w:val="a7"/>
    <w:next w:val="a7"/>
    <w:link w:val="ad"/>
    <w:rPr>
      <w:b/>
      <w:bCs/>
    </w:rPr>
  </w:style>
  <w:style w:type="character" w:customStyle="1" w:styleId="a8">
    <w:name w:val="Текст примечания Знак"/>
    <w:link w:val="a7"/>
    <w:semiHidden/>
    <w:rPr>
      <w:rFonts w:eastAsia="Times New Roman"/>
      <w:lang w:eastAsia="en-US"/>
    </w:rPr>
  </w:style>
  <w:style w:type="character" w:customStyle="1" w:styleId="ad">
    <w:name w:val="Тема примечания Знак"/>
    <w:link w:val="ac"/>
    <w:rPr>
      <w:rFonts w:eastAsia="Times New Roman"/>
      <w:b/>
      <w:bCs/>
      <w:lang w:eastAsia="en-US"/>
    </w:rPr>
  </w:style>
  <w:style w:type="paragraph" w:styleId="ae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Pr>
      <w:rFonts w:eastAsia="Times New Roman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8128</Words>
  <Characters>4634</Characters>
  <Application>Microsoft Office Word</Application>
  <DocSecurity>0</DocSecurity>
  <Lines>38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Hqrdtemplateclean_en</vt:lpstr>
      <vt:lpstr>Hqrdtemplatecleanen v10.1</vt:lpstr>
    </vt:vector>
  </TitlesOfParts>
  <Company/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Lyuba_Kalynovska</cp:lastModifiedBy>
  <cp:revision>39</cp:revision>
  <dcterms:created xsi:type="dcterms:W3CDTF">2019-04-02T15:23:00Z</dcterms:created>
  <dcterms:modified xsi:type="dcterms:W3CDTF">2025-11-12T12:33:00Z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