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4A" w:rsidRDefault="009D54F5">
      <w:pPr>
        <w:keepNext/>
        <w:tabs>
          <w:tab w:val="clear" w:pos="567"/>
        </w:tabs>
        <w:spacing w:line="240" w:lineRule="auto"/>
        <w:ind w:firstLine="567"/>
        <w:jc w:val="right"/>
        <w:outlineLvl w:val="2"/>
        <w:rPr>
          <w:rFonts w:eastAsia="Cambria Math"/>
          <w:sz w:val="24"/>
          <w:szCs w:val="24"/>
          <w:lang w:val="uk-UA"/>
        </w:rPr>
      </w:pPr>
      <w:r>
        <w:rPr>
          <w:rFonts w:eastAsia="Cambria Math"/>
          <w:sz w:val="24"/>
          <w:szCs w:val="24"/>
          <w:lang w:val="ru-RU"/>
        </w:rPr>
        <w:t>Додаток 1</w:t>
      </w:r>
    </w:p>
    <w:p w:rsidR="00AE154A" w:rsidRDefault="009D54F5">
      <w:pPr>
        <w:tabs>
          <w:tab w:val="clear" w:pos="567"/>
        </w:tabs>
        <w:spacing w:line="240" w:lineRule="auto"/>
        <w:jc w:val="right"/>
        <w:rPr>
          <w:rFonts w:eastAsia="Cambria Math"/>
          <w:sz w:val="24"/>
          <w:szCs w:val="24"/>
          <w:lang w:val="uk-UA"/>
        </w:rPr>
      </w:pPr>
      <w:r>
        <w:rPr>
          <w:rFonts w:eastAsia="Cambria Math"/>
          <w:sz w:val="24"/>
          <w:szCs w:val="24"/>
          <w:lang w:val="uk-UA"/>
        </w:rPr>
        <w:t xml:space="preserve">до реєстраційного посвідчення  </w:t>
      </w:r>
    </w:p>
    <w:p w:rsidR="00AE154A" w:rsidRDefault="00AE154A">
      <w:pPr>
        <w:tabs>
          <w:tab w:val="clear" w:pos="567"/>
        </w:tabs>
        <w:spacing w:line="240" w:lineRule="auto"/>
        <w:rPr>
          <w:rFonts w:eastAsia="Cambria Math"/>
          <w:sz w:val="20"/>
          <w:lang w:val="ru-RU"/>
        </w:rPr>
      </w:pPr>
    </w:p>
    <w:p w:rsidR="00AE154A" w:rsidRDefault="009D54F5">
      <w:pPr>
        <w:tabs>
          <w:tab w:val="clear" w:pos="567"/>
        </w:tabs>
        <w:spacing w:line="240" w:lineRule="auto"/>
        <w:jc w:val="center"/>
        <w:rPr>
          <w:rFonts w:eastAsia="Cambria Math"/>
          <w:b/>
          <w:sz w:val="24"/>
          <w:szCs w:val="24"/>
          <w:lang w:val="uk-UA"/>
        </w:rPr>
      </w:pPr>
      <w:r>
        <w:rPr>
          <w:rFonts w:eastAsia="Cambria Math"/>
          <w:b/>
          <w:sz w:val="24"/>
          <w:szCs w:val="24"/>
          <w:lang w:val="uk-UA"/>
        </w:rPr>
        <w:t>Коротка характеристика препарату</w:t>
      </w:r>
    </w:p>
    <w:p w:rsidR="00AE154A" w:rsidRDefault="00AE154A">
      <w:pPr>
        <w:tabs>
          <w:tab w:val="clear" w:pos="567"/>
        </w:tabs>
        <w:spacing w:line="240" w:lineRule="auto"/>
        <w:rPr>
          <w:rFonts w:eastAsia="Cambria Math"/>
          <w:sz w:val="20"/>
          <w:lang w:val="ru-RU"/>
        </w:rPr>
      </w:pPr>
    </w:p>
    <w:p w:rsidR="00AE154A" w:rsidRDefault="009D54F5">
      <w:pPr>
        <w:tabs>
          <w:tab w:val="left" w:pos="2148"/>
        </w:tabs>
        <w:spacing w:line="240" w:lineRule="auto"/>
        <w:ind w:right="454" w:firstLine="567"/>
        <w:jc w:val="both"/>
        <w:rPr>
          <w:rFonts w:eastAsia="Cambria Math"/>
          <w:b/>
          <w:sz w:val="24"/>
          <w:szCs w:val="24"/>
          <w:lang w:val="uk-UA"/>
        </w:rPr>
      </w:pPr>
      <w:r>
        <w:rPr>
          <w:rFonts w:eastAsia="Cambria Math"/>
          <w:b/>
          <w:sz w:val="24"/>
          <w:szCs w:val="24"/>
          <w:lang w:val="uk-UA"/>
        </w:rPr>
        <w:t>1. Назва</w:t>
      </w:r>
    </w:p>
    <w:p w:rsidR="00AE154A" w:rsidRDefault="009D54F5">
      <w:pPr>
        <w:tabs>
          <w:tab w:val="left" w:pos="2148"/>
        </w:tabs>
        <w:spacing w:line="240" w:lineRule="auto"/>
        <w:ind w:right="454" w:firstLine="567"/>
        <w:jc w:val="both"/>
        <w:rPr>
          <w:rFonts w:eastAsia="Cambria Math"/>
          <w:bCs/>
          <w:sz w:val="24"/>
          <w:szCs w:val="24"/>
          <w:lang w:val="uk-UA"/>
        </w:rPr>
      </w:pPr>
      <w:r>
        <w:rPr>
          <w:rFonts w:eastAsia="Cambria Math"/>
          <w:bCs/>
          <w:sz w:val="24"/>
          <w:szCs w:val="24"/>
          <w:lang w:val="uk-UA"/>
        </w:rPr>
        <w:t>ДЕХІСПОТ</w:t>
      </w:r>
      <w:r>
        <w:rPr>
          <w:rFonts w:eastAsia="Cambria Math"/>
          <w:bCs/>
          <w:sz w:val="24"/>
          <w:szCs w:val="24"/>
          <w:vertAlign w:val="superscript"/>
          <w:lang w:val="uk-UA"/>
        </w:rPr>
        <w:t>®</w:t>
      </w:r>
      <w:r>
        <w:rPr>
          <w:rFonts w:eastAsia="Cambria Math"/>
          <w:bCs/>
          <w:sz w:val="24"/>
          <w:szCs w:val="24"/>
          <w:lang w:val="uk-UA"/>
        </w:rPr>
        <w:t xml:space="preserve"> </w:t>
      </w:r>
      <w:r>
        <w:rPr>
          <w:rFonts w:eastAsia="Cambria Math"/>
          <w:bCs/>
          <w:sz w:val="24"/>
          <w:szCs w:val="24"/>
          <w:lang w:val="sl-SI"/>
        </w:rPr>
        <w:t>(</w:t>
      </w:r>
      <w:r>
        <w:rPr>
          <w:rFonts w:eastAsia="Cambria Math"/>
          <w:bCs/>
          <w:sz w:val="24"/>
          <w:szCs w:val="24"/>
          <w:lang w:val="en-US"/>
        </w:rPr>
        <w:t>Dehispot</w:t>
      </w:r>
      <w:r>
        <w:rPr>
          <w:rFonts w:eastAsia="Cambria Math"/>
          <w:bCs/>
          <w:sz w:val="24"/>
          <w:szCs w:val="24"/>
          <w:vertAlign w:val="superscript"/>
          <w:lang w:val="uk-UA"/>
        </w:rPr>
        <w:t>®</w:t>
      </w:r>
      <w:r>
        <w:rPr>
          <w:rFonts w:eastAsia="Cambria Math"/>
          <w:bCs/>
          <w:sz w:val="24"/>
          <w:szCs w:val="24"/>
          <w:lang w:val="ru-RU"/>
        </w:rPr>
        <w:t xml:space="preserve">) </w:t>
      </w:r>
      <w:r>
        <w:rPr>
          <w:rFonts w:eastAsia="Cambria Math"/>
          <w:bCs/>
          <w:sz w:val="24"/>
          <w:szCs w:val="24"/>
          <w:lang w:val="uk-UA"/>
        </w:rPr>
        <w:t>Спот-он для середніх котів</w:t>
      </w:r>
    </w:p>
    <w:p w:rsidR="00AE154A" w:rsidRDefault="009D54F5">
      <w:pPr>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2. Склад</w:t>
      </w:r>
    </w:p>
    <w:p w:rsidR="00AE154A" w:rsidRDefault="009D54F5">
      <w:pPr>
        <w:spacing w:line="240" w:lineRule="auto"/>
        <w:ind w:right="-36" w:firstLine="567"/>
        <w:jc w:val="both"/>
        <w:rPr>
          <w:rFonts w:eastAsia="Cambria Math"/>
          <w:sz w:val="20"/>
          <w:lang w:val="uk-UA"/>
        </w:rPr>
      </w:pPr>
      <w:bookmarkStart w:id="0" w:name="_Hlk202380018"/>
      <w:bookmarkStart w:id="1" w:name="_Hlk202380172"/>
      <w:r>
        <w:rPr>
          <w:rFonts w:eastAsia="Cambria Math"/>
          <w:sz w:val="24"/>
          <w:szCs w:val="24"/>
          <w:lang w:val="uk-UA"/>
        </w:rPr>
        <w:t>1 піпетка (0,7 мл) містить діючі речовин</w:t>
      </w:r>
      <w:bookmarkEnd w:id="0"/>
      <w:r>
        <w:rPr>
          <w:rFonts w:eastAsia="Cambria Math"/>
          <w:sz w:val="24"/>
          <w:szCs w:val="24"/>
          <w:lang w:val="uk-UA"/>
        </w:rPr>
        <w:t>и:</w:t>
      </w:r>
    </w:p>
    <w:p w:rsidR="00AE154A" w:rsidRDefault="009D54F5">
      <w:pPr>
        <w:tabs>
          <w:tab w:val="clear" w:pos="567"/>
        </w:tabs>
        <w:spacing w:line="240" w:lineRule="auto"/>
        <w:ind w:left="720" w:right="-36" w:hanging="153"/>
        <w:jc w:val="both"/>
        <w:rPr>
          <w:rFonts w:eastAsia="Cambria Math"/>
          <w:sz w:val="24"/>
          <w:szCs w:val="24"/>
          <w:lang w:val="uk-UA" w:eastAsia="uk-UA"/>
        </w:rPr>
      </w:pPr>
      <w:r>
        <w:rPr>
          <w:rFonts w:eastAsia="Cambria Math"/>
          <w:sz w:val="24"/>
          <w:szCs w:val="24"/>
          <w:lang w:val="uk-UA" w:eastAsia="uk-UA"/>
        </w:rPr>
        <w:t>празіквантел</w:t>
      </w:r>
      <w:r>
        <w:rPr>
          <w:rFonts w:eastAsia="Cambria Math"/>
          <w:sz w:val="24"/>
          <w:szCs w:val="24"/>
          <w:lang w:val="uk-UA" w:eastAsia="uk-UA"/>
        </w:rPr>
        <w:tab/>
        <w:t>- 60 мг</w:t>
      </w:r>
    </w:p>
    <w:p w:rsidR="00AE154A" w:rsidRDefault="009D54F5">
      <w:pPr>
        <w:tabs>
          <w:tab w:val="clear" w:pos="567"/>
        </w:tabs>
        <w:spacing w:line="240" w:lineRule="auto"/>
        <w:ind w:left="720" w:right="-36" w:hanging="153"/>
        <w:jc w:val="both"/>
        <w:rPr>
          <w:rFonts w:eastAsia="Cambria Math"/>
          <w:sz w:val="24"/>
          <w:szCs w:val="24"/>
          <w:lang w:val="uk-UA" w:eastAsia="uk-UA"/>
        </w:rPr>
      </w:pPr>
      <w:r>
        <w:rPr>
          <w:rFonts w:eastAsia="Cambria Math"/>
          <w:sz w:val="24"/>
          <w:szCs w:val="24"/>
          <w:lang w:val="uk-UA" w:eastAsia="uk-UA"/>
        </w:rPr>
        <w:t>емодепсид</w:t>
      </w:r>
      <w:r>
        <w:rPr>
          <w:rFonts w:eastAsia="Cambria Math"/>
          <w:sz w:val="24"/>
          <w:szCs w:val="24"/>
          <w:lang w:val="uk-UA" w:eastAsia="uk-UA"/>
        </w:rPr>
        <w:tab/>
        <w:t>- 15 мг</w:t>
      </w:r>
    </w:p>
    <w:p w:rsidR="00AE154A" w:rsidRDefault="009D54F5">
      <w:pPr>
        <w:tabs>
          <w:tab w:val="clear" w:pos="567"/>
        </w:tabs>
        <w:spacing w:line="240" w:lineRule="auto"/>
        <w:ind w:right="-36" w:firstLine="567"/>
        <w:jc w:val="both"/>
        <w:rPr>
          <w:rFonts w:eastAsia="Cambria Math"/>
          <w:sz w:val="24"/>
          <w:szCs w:val="24"/>
          <w:lang w:val="uk-UA" w:eastAsia="uk-UA"/>
        </w:rPr>
      </w:pPr>
      <w:r>
        <w:rPr>
          <w:rFonts w:eastAsia="Cambria Math"/>
          <w:sz w:val="24"/>
          <w:szCs w:val="24"/>
          <w:lang w:val="uk-UA" w:eastAsia="uk-UA"/>
        </w:rPr>
        <w:t>Допоміжні речовини: бутилгідроксіанізол (E320), ізопропіліден гліцерин, молочна кислота</w:t>
      </w:r>
      <w:bookmarkEnd w:id="1"/>
      <w:r>
        <w:rPr>
          <w:rFonts w:eastAsia="Cambria Math"/>
          <w:sz w:val="24"/>
          <w:szCs w:val="24"/>
          <w:lang w:val="uk-UA" w:eastAsia="uk-UA"/>
        </w:rPr>
        <w:t>.</w:t>
      </w:r>
    </w:p>
    <w:p w:rsidR="00AE154A" w:rsidRDefault="009D54F5">
      <w:pPr>
        <w:spacing w:before="40" w:line="240" w:lineRule="auto"/>
        <w:ind w:right="454" w:firstLine="567"/>
        <w:jc w:val="both"/>
        <w:rPr>
          <w:rFonts w:eastAsia="Cambria Math"/>
          <w:b/>
          <w:snapToGrid w:val="0"/>
          <w:sz w:val="24"/>
          <w:szCs w:val="24"/>
          <w:lang w:val="uk-UA"/>
        </w:rPr>
      </w:pPr>
      <w:r>
        <w:rPr>
          <w:rFonts w:eastAsia="Cambria Math"/>
          <w:b/>
          <w:snapToGrid w:val="0"/>
          <w:sz w:val="24"/>
          <w:szCs w:val="24"/>
          <w:lang w:val="uk-UA"/>
        </w:rPr>
        <w:t>3. Фармацевтична форма</w:t>
      </w:r>
    </w:p>
    <w:p w:rsidR="00AE154A" w:rsidRDefault="009D54F5">
      <w:pPr>
        <w:spacing w:before="40" w:line="240" w:lineRule="auto"/>
        <w:ind w:right="454" w:firstLine="567"/>
        <w:jc w:val="both"/>
        <w:rPr>
          <w:rFonts w:eastAsia="Cambria Math"/>
          <w:snapToGrid w:val="0"/>
          <w:sz w:val="24"/>
          <w:szCs w:val="24"/>
          <w:lang w:val="uk-UA"/>
        </w:rPr>
      </w:pPr>
      <w:r>
        <w:rPr>
          <w:rFonts w:eastAsia="Cambria Math"/>
          <w:snapToGrid w:val="0"/>
          <w:sz w:val="24"/>
          <w:szCs w:val="24"/>
          <w:lang w:val="uk-UA"/>
        </w:rPr>
        <w:t>Розчин для зовнішнього застосування, точкового нанесення.</w:t>
      </w:r>
    </w:p>
    <w:p w:rsidR="00AE154A" w:rsidRDefault="009D54F5">
      <w:pPr>
        <w:spacing w:before="40" w:line="240" w:lineRule="auto"/>
        <w:ind w:right="454" w:firstLine="567"/>
        <w:jc w:val="both"/>
        <w:rPr>
          <w:rFonts w:eastAsia="Cambria Math"/>
          <w:b/>
          <w:snapToGrid w:val="0"/>
          <w:sz w:val="24"/>
          <w:szCs w:val="24"/>
          <w:lang w:val="uk-UA"/>
        </w:rPr>
      </w:pPr>
      <w:r>
        <w:rPr>
          <w:rFonts w:eastAsia="Cambria Math"/>
          <w:b/>
          <w:snapToGrid w:val="0"/>
          <w:sz w:val="24"/>
          <w:szCs w:val="24"/>
          <w:lang w:val="uk-UA"/>
        </w:rPr>
        <w:t>4. Фармакологічні властивості</w:t>
      </w:r>
    </w:p>
    <w:p w:rsidR="00AE154A" w:rsidRDefault="009D54F5">
      <w:pPr>
        <w:spacing w:line="240" w:lineRule="auto"/>
        <w:ind w:right="-36" w:firstLine="560"/>
        <w:jc w:val="both"/>
        <w:rPr>
          <w:rFonts w:eastAsia="Cambria Math"/>
          <w:sz w:val="24"/>
          <w:szCs w:val="24"/>
          <w:lang w:val="uk-UA"/>
        </w:rPr>
      </w:pPr>
      <w:r>
        <w:rPr>
          <w:rFonts w:eastAsia="Cambria Math"/>
          <w:b/>
          <w:i/>
          <w:iCs/>
          <w:snapToGrid w:val="0"/>
          <w:sz w:val="24"/>
          <w:szCs w:val="24"/>
          <w:lang w:val="uk-UA"/>
        </w:rPr>
        <w:t>ATC-vet класифікаційний код:</w:t>
      </w:r>
      <w:r>
        <w:rPr>
          <w:rFonts w:eastAsia="Cambria Math"/>
          <w:i/>
          <w:iCs/>
          <w:snapToGrid w:val="0"/>
          <w:sz w:val="24"/>
          <w:szCs w:val="24"/>
          <w:lang w:val="uk-UA"/>
        </w:rPr>
        <w:t xml:space="preserve">  </w:t>
      </w:r>
      <w:r>
        <w:rPr>
          <w:rFonts w:eastAsia="Cambria Math"/>
          <w:b/>
          <w:bCs/>
          <w:i/>
          <w:iCs/>
          <w:snapToGrid w:val="0"/>
          <w:sz w:val="24"/>
          <w:szCs w:val="24"/>
          <w:lang w:val="uk-UA"/>
        </w:rPr>
        <w:t>QP52 – Протигельмінтні препарати. QP52AA51 – Празіквантел, комбінації.</w:t>
      </w:r>
    </w:p>
    <w:p w:rsidR="00AE154A" w:rsidRDefault="009D54F5">
      <w:pPr>
        <w:tabs>
          <w:tab w:val="clear" w:pos="567"/>
        </w:tabs>
        <w:spacing w:line="240" w:lineRule="auto"/>
        <w:ind w:right="-36" w:firstLine="560"/>
        <w:jc w:val="both"/>
        <w:rPr>
          <w:rFonts w:eastAsia="Cambria Math"/>
          <w:i/>
          <w:iCs/>
          <w:snapToGrid w:val="0"/>
          <w:sz w:val="24"/>
          <w:szCs w:val="24"/>
          <w:lang w:val="uk-UA" w:eastAsia="uk-UA"/>
        </w:rPr>
      </w:pPr>
      <w:r>
        <w:rPr>
          <w:rFonts w:eastAsia="Cambria Math"/>
          <w:i/>
          <w:iCs/>
          <w:snapToGrid w:val="0"/>
          <w:sz w:val="24"/>
          <w:szCs w:val="24"/>
          <w:lang w:val="uk-UA" w:eastAsia="uk-UA"/>
        </w:rPr>
        <w:t>Фармакодинаміка</w:t>
      </w:r>
    </w:p>
    <w:p w:rsidR="00AE154A" w:rsidRDefault="009D54F5">
      <w:pPr>
        <w:tabs>
          <w:tab w:val="clear" w:pos="567"/>
        </w:tabs>
        <w:spacing w:line="240" w:lineRule="auto"/>
        <w:ind w:right="-36" w:firstLine="560"/>
        <w:jc w:val="both"/>
        <w:rPr>
          <w:rFonts w:eastAsia="Cambria Math"/>
          <w:snapToGrid w:val="0"/>
          <w:sz w:val="24"/>
          <w:szCs w:val="24"/>
          <w:lang w:val="uk-UA" w:eastAsia="uk-UA"/>
        </w:rPr>
      </w:pPr>
      <w:r>
        <w:rPr>
          <w:rFonts w:eastAsia="Cambria Math"/>
          <w:snapToGrid w:val="0"/>
          <w:sz w:val="24"/>
          <w:szCs w:val="24"/>
          <w:lang w:val="uk-UA" w:eastAsia="uk-UA"/>
        </w:rPr>
        <w:t xml:space="preserve">Празиквантел є похідним піразіноізохіноліну, що діє проти стьожкових червів, таких як Dipylidium caninum, Echinococcus multilocularis та Taenia taeniaeformis. </w:t>
      </w:r>
    </w:p>
    <w:p w:rsidR="00AE154A" w:rsidRDefault="009D54F5">
      <w:pPr>
        <w:tabs>
          <w:tab w:val="clear" w:pos="567"/>
        </w:tabs>
        <w:spacing w:line="240" w:lineRule="auto"/>
        <w:ind w:right="-36" w:firstLine="560"/>
        <w:jc w:val="both"/>
        <w:rPr>
          <w:rFonts w:eastAsia="Cambria Math"/>
          <w:snapToGrid w:val="0"/>
          <w:sz w:val="24"/>
          <w:szCs w:val="24"/>
          <w:lang w:val="uk-UA" w:eastAsia="uk-UA"/>
        </w:rPr>
      </w:pPr>
      <w:r>
        <w:rPr>
          <w:rFonts w:eastAsia="Cambria Math"/>
          <w:snapToGrid w:val="0"/>
          <w:sz w:val="24"/>
          <w:szCs w:val="24"/>
          <w:lang w:val="uk-UA" w:eastAsia="uk-UA"/>
        </w:rPr>
        <w:t>Празиквантел швидко адсорбується поверхнею паразитів та діє, зокрема, шляхом зміни проникності мембран паразитів для Са++. Це суттєво вражає поверхню тіла паразита, призводить до скорочення та паралічу, порушення обміну речовин та до загибелі паразита.</w:t>
      </w:r>
    </w:p>
    <w:p w:rsidR="00AE154A" w:rsidRDefault="009D54F5">
      <w:pPr>
        <w:tabs>
          <w:tab w:val="clear" w:pos="567"/>
        </w:tabs>
        <w:spacing w:line="240" w:lineRule="auto"/>
        <w:ind w:right="-36" w:firstLine="560"/>
        <w:jc w:val="both"/>
        <w:rPr>
          <w:rFonts w:eastAsia="Cambria Math"/>
          <w:snapToGrid w:val="0"/>
          <w:sz w:val="24"/>
          <w:szCs w:val="24"/>
          <w:lang w:val="uk-UA" w:eastAsia="uk-UA"/>
        </w:rPr>
      </w:pPr>
      <w:r>
        <w:rPr>
          <w:rFonts w:eastAsia="Cambria Math"/>
          <w:snapToGrid w:val="0"/>
          <w:sz w:val="24"/>
          <w:szCs w:val="24"/>
          <w:lang w:val="uk-UA" w:eastAsia="uk-UA"/>
        </w:rPr>
        <w:t xml:space="preserve">Емодепсид – частково синтетична сполука, що належить до нової хімічної групи депсипептидів. Він діє проти круглих червів (аскарид та анкілостом). Емодепсид у складі цього ветеринарного лікарського засобу діє проти Toxocara cati, Toxascaris leonina та Ancylostoma tubaeforme. </w:t>
      </w:r>
    </w:p>
    <w:p w:rsidR="00AE154A" w:rsidRDefault="009D54F5">
      <w:pPr>
        <w:tabs>
          <w:tab w:val="clear" w:pos="567"/>
        </w:tabs>
        <w:spacing w:line="240" w:lineRule="auto"/>
        <w:ind w:right="-36" w:firstLine="560"/>
        <w:jc w:val="both"/>
        <w:rPr>
          <w:rFonts w:eastAsia="Cambria Math"/>
          <w:snapToGrid w:val="0"/>
          <w:sz w:val="24"/>
          <w:szCs w:val="24"/>
          <w:lang w:val="uk-UA" w:eastAsia="uk-UA"/>
        </w:rPr>
      </w:pPr>
      <w:r>
        <w:rPr>
          <w:rFonts w:eastAsia="Cambria Math"/>
          <w:snapToGrid w:val="0"/>
          <w:sz w:val="24"/>
          <w:szCs w:val="24"/>
          <w:lang w:val="uk-UA" w:eastAsia="uk-UA"/>
        </w:rPr>
        <w:t>Він діє на нервово-м’язову передачу, стимулюючи пресинаптичні рецептори, що належать до сімейства рецепторів секретину, що призводить до паралічу та загибелі паразитів.</w:t>
      </w:r>
    </w:p>
    <w:p w:rsidR="00AE154A" w:rsidRDefault="009D54F5">
      <w:pPr>
        <w:tabs>
          <w:tab w:val="clear" w:pos="567"/>
        </w:tabs>
        <w:spacing w:line="240" w:lineRule="auto"/>
        <w:ind w:right="-36" w:firstLine="560"/>
        <w:jc w:val="both"/>
        <w:rPr>
          <w:rFonts w:eastAsia="Cambria Math"/>
          <w:i/>
          <w:iCs/>
          <w:snapToGrid w:val="0"/>
          <w:sz w:val="24"/>
          <w:szCs w:val="24"/>
          <w:lang w:val="uk-UA" w:eastAsia="uk-UA"/>
        </w:rPr>
      </w:pPr>
      <w:r>
        <w:rPr>
          <w:rFonts w:eastAsia="Cambria Math"/>
          <w:i/>
          <w:iCs/>
          <w:snapToGrid w:val="0"/>
          <w:sz w:val="24"/>
          <w:szCs w:val="24"/>
          <w:lang w:val="uk-UA" w:eastAsia="uk-UA"/>
        </w:rPr>
        <w:t>Фармакокінетика</w:t>
      </w:r>
    </w:p>
    <w:p w:rsidR="00AE154A" w:rsidRDefault="009D54F5">
      <w:pPr>
        <w:tabs>
          <w:tab w:val="clear" w:pos="567"/>
        </w:tabs>
        <w:spacing w:line="240" w:lineRule="auto"/>
        <w:ind w:right="-36" w:firstLine="560"/>
        <w:jc w:val="both"/>
        <w:rPr>
          <w:rFonts w:eastAsia="Cambria Math"/>
          <w:bCs/>
          <w:snapToGrid w:val="0"/>
          <w:sz w:val="24"/>
          <w:szCs w:val="24"/>
          <w:lang w:val="uk-UA" w:eastAsia="uk-UA"/>
        </w:rPr>
      </w:pPr>
      <w:r>
        <w:rPr>
          <w:rFonts w:eastAsia="Cambria Math"/>
          <w:snapToGrid w:val="0"/>
          <w:sz w:val="24"/>
          <w:szCs w:val="24"/>
          <w:lang w:val="uk-UA" w:eastAsia="uk-UA"/>
        </w:rPr>
        <w:t xml:space="preserve">Після точкового нанесення цього ветеринарного лікарського засобу на котів у мінімальній терапевтичній дозі 0,14 мл/кг маси тіла середні максимальні концентрації в сироватці крові становили 32,2 ± 23,9 мкг емодепсиду/л та 61,3 ± 44,1 мкг празиквантелу/л. Максимальні концентрації досягались через 18,7 ± 47 год після нанесення празиквантелу та емодепсиду (3,2 ± 2,7 доби). Згодом обидві діючі речовини повільно виводяться із сироватки крові з періодом напіввиведення 4,1 ± 1,5 доби для празиквантелу та 9,2 ± 3,9 діб для емодепсиду. </w:t>
      </w:r>
    </w:p>
    <w:p w:rsidR="00AE154A" w:rsidRDefault="009D54F5">
      <w:pPr>
        <w:tabs>
          <w:tab w:val="clear" w:pos="567"/>
        </w:tabs>
        <w:spacing w:line="240" w:lineRule="auto"/>
        <w:ind w:right="-36" w:firstLine="560"/>
        <w:jc w:val="both"/>
        <w:rPr>
          <w:rFonts w:eastAsia="Cambria Math"/>
          <w:bCs/>
          <w:snapToGrid w:val="0"/>
          <w:sz w:val="24"/>
          <w:szCs w:val="24"/>
          <w:lang w:val="uk-UA" w:eastAsia="uk-UA"/>
        </w:rPr>
      </w:pPr>
      <w:r>
        <w:rPr>
          <w:rFonts w:eastAsia="Cambria Math"/>
          <w:snapToGrid w:val="0"/>
          <w:sz w:val="24"/>
          <w:szCs w:val="24"/>
          <w:lang w:val="uk-UA" w:eastAsia="uk-UA"/>
        </w:rPr>
        <w:t>Дослідження різних видів продемонстрували, що празиквантел швидко метаболізується в печінці. Основними метаболітами є моногідроксициклогексилпохідні празиквантелу. Виведення нирками є переважним способом виведення.</w:t>
      </w:r>
    </w:p>
    <w:p w:rsidR="00AE154A" w:rsidRDefault="009D54F5">
      <w:pPr>
        <w:tabs>
          <w:tab w:val="clear" w:pos="567"/>
        </w:tabs>
        <w:spacing w:line="240" w:lineRule="auto"/>
        <w:ind w:right="-36" w:firstLine="560"/>
        <w:jc w:val="both"/>
        <w:rPr>
          <w:rFonts w:eastAsia="Cambria Math"/>
          <w:snapToGrid w:val="0"/>
          <w:sz w:val="24"/>
          <w:szCs w:val="24"/>
          <w:lang w:val="uk-UA" w:eastAsia="uk-UA"/>
        </w:rPr>
      </w:pPr>
      <w:r>
        <w:rPr>
          <w:rFonts w:eastAsia="Cambria Math"/>
          <w:snapToGrid w:val="0"/>
          <w:sz w:val="24"/>
          <w:szCs w:val="24"/>
          <w:lang w:val="uk-UA" w:eastAsia="uk-UA"/>
        </w:rPr>
        <w:t>Виведення з калом є переважним способом виведення з незміненим емодепсидом та гідроксильованими похідними як основними продуктами виведення.</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5. Клінічні особливості</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5.1 Вид тварин</w:t>
      </w:r>
    </w:p>
    <w:p w:rsidR="00AE154A" w:rsidRDefault="009D54F5">
      <w:pPr>
        <w:widowControl w:val="0"/>
        <w:tabs>
          <w:tab w:val="clear" w:pos="567"/>
        </w:tabs>
        <w:snapToGrid w:val="0"/>
        <w:spacing w:line="240" w:lineRule="auto"/>
        <w:ind w:right="454" w:firstLine="567"/>
        <w:jc w:val="both"/>
        <w:rPr>
          <w:rFonts w:eastAsia="Cambria Math" w:cs="SAPGUI-Belize-Icons"/>
          <w:sz w:val="24"/>
          <w:szCs w:val="24"/>
          <w:lang w:val="uk-UA" w:eastAsia="ru-RU"/>
        </w:rPr>
      </w:pPr>
      <w:r>
        <w:rPr>
          <w:rFonts w:eastAsia="Cambria Math" w:cs="SAPGUI-Belize-Icons"/>
          <w:sz w:val="24"/>
          <w:szCs w:val="24"/>
          <w:lang w:val="uk-UA" w:eastAsia="ru-RU"/>
        </w:rPr>
        <w:t>Коти (масою від 2,5 до 5 кг).</w:t>
      </w:r>
    </w:p>
    <w:p w:rsidR="00AE154A" w:rsidRDefault="009D54F5">
      <w:pPr>
        <w:widowControl w:val="0"/>
        <w:tabs>
          <w:tab w:val="clear" w:pos="567"/>
        </w:tabs>
        <w:snapToGrid w:val="0"/>
        <w:spacing w:line="240" w:lineRule="auto"/>
        <w:ind w:right="454" w:firstLine="567"/>
        <w:jc w:val="both"/>
        <w:rPr>
          <w:rFonts w:eastAsia="Cambria Math"/>
          <w:b/>
          <w:sz w:val="24"/>
          <w:szCs w:val="24"/>
          <w:lang w:val="uk-UA" w:eastAsia="ru-RU"/>
        </w:rPr>
      </w:pPr>
      <w:r>
        <w:rPr>
          <w:rFonts w:eastAsia="Cambria Math"/>
          <w:b/>
          <w:sz w:val="24"/>
          <w:szCs w:val="24"/>
          <w:lang w:val="uk-UA" w:eastAsia="ru-RU"/>
        </w:rPr>
        <w:t>5.2 Показання до застосування</w:t>
      </w:r>
    </w:p>
    <w:p w:rsidR="00AE154A" w:rsidRDefault="009D54F5">
      <w:pPr>
        <w:widowControl w:val="0"/>
        <w:tabs>
          <w:tab w:val="clear" w:pos="567"/>
        </w:tabs>
        <w:spacing w:line="240" w:lineRule="auto"/>
        <w:ind w:right="454" w:firstLine="567"/>
        <w:jc w:val="both"/>
        <w:rPr>
          <w:rFonts w:eastAsia="Cambria Math"/>
          <w:sz w:val="24"/>
          <w:szCs w:val="24"/>
          <w:lang w:val="uk-UA"/>
        </w:rPr>
      </w:pPr>
      <w:r>
        <w:rPr>
          <w:rFonts w:eastAsia="Cambria Math"/>
          <w:sz w:val="24"/>
          <w:szCs w:val="24"/>
          <w:lang w:val="uk-UA"/>
        </w:rPr>
        <w:t xml:space="preserve">Для котів зі змішаними паразитарними інфекціями, спричиненими круглими та стьожковими червами (або у групі ризику), на які діє кожна комбінована діюча речовина. Ветеринарний лікарський засіб показаний лише тоді, коли потрібна </w:t>
      </w:r>
      <w:r>
        <w:rPr>
          <w:rFonts w:eastAsia="Cambria Math"/>
          <w:sz w:val="24"/>
          <w:szCs w:val="24"/>
          <w:lang w:val="uk-UA"/>
        </w:rPr>
        <w:lastRenderedPageBreak/>
        <w:t xml:space="preserve">одночасна дія на круглих та стьожкових червів. </w:t>
      </w:r>
    </w:p>
    <w:p w:rsidR="00AE154A" w:rsidRDefault="009D54F5">
      <w:pPr>
        <w:widowControl w:val="0"/>
        <w:tabs>
          <w:tab w:val="clear" w:pos="567"/>
        </w:tabs>
        <w:spacing w:line="240" w:lineRule="auto"/>
        <w:ind w:right="454" w:firstLine="567"/>
        <w:jc w:val="both"/>
        <w:rPr>
          <w:rFonts w:eastAsia="Cambria Math"/>
          <w:sz w:val="24"/>
          <w:szCs w:val="24"/>
          <w:u w:val="single"/>
          <w:lang w:val="uk-UA"/>
        </w:rPr>
      </w:pPr>
      <w:r>
        <w:rPr>
          <w:rFonts w:eastAsia="Cambria Math"/>
          <w:sz w:val="24"/>
          <w:szCs w:val="24"/>
          <w:u w:val="single"/>
          <w:lang w:val="uk-UA"/>
        </w:rPr>
        <w:t>Круглі черви (нематоди)</w:t>
      </w:r>
      <w:r>
        <w:rPr>
          <w:rFonts w:eastAsia="Cambria Math"/>
          <w:sz w:val="24"/>
          <w:szCs w:val="24"/>
          <w:lang w:val="uk-UA"/>
        </w:rPr>
        <w:t>:</w:t>
      </w:r>
      <w:r>
        <w:rPr>
          <w:rFonts w:eastAsia="Cambria Math"/>
          <w:sz w:val="24"/>
          <w:szCs w:val="24"/>
          <w:u w:val="single"/>
          <w:lang w:val="uk-UA"/>
        </w:rPr>
        <w:t xml:space="preserve"> </w:t>
      </w:r>
    </w:p>
    <w:p w:rsidR="00AE154A" w:rsidRDefault="009D54F5">
      <w:pPr>
        <w:widowControl w:val="0"/>
        <w:tabs>
          <w:tab w:val="clear" w:pos="567"/>
        </w:tabs>
        <w:spacing w:line="240" w:lineRule="auto"/>
        <w:ind w:right="454" w:firstLine="567"/>
        <w:jc w:val="both"/>
        <w:rPr>
          <w:rFonts w:eastAsia="Cambria Math"/>
          <w:sz w:val="24"/>
          <w:szCs w:val="24"/>
          <w:lang w:val="uk-UA"/>
        </w:rPr>
      </w:pPr>
      <w:r>
        <w:rPr>
          <w:rFonts w:eastAsia="Cambria Math"/>
          <w:i/>
          <w:sz w:val="24"/>
          <w:szCs w:val="24"/>
          <w:lang w:val="uk-UA"/>
        </w:rPr>
        <w:t xml:space="preserve">Toxocara cati </w:t>
      </w:r>
      <w:r>
        <w:rPr>
          <w:rFonts w:eastAsia="Cambria Math"/>
          <w:sz w:val="24"/>
          <w:szCs w:val="24"/>
          <w:lang w:val="uk-UA"/>
        </w:rPr>
        <w:t xml:space="preserve">(зрілі дорослі, незрілі дорослі, L4 та L3) </w:t>
      </w:r>
    </w:p>
    <w:p w:rsidR="00AE154A" w:rsidRDefault="009D54F5">
      <w:pPr>
        <w:widowControl w:val="0"/>
        <w:tabs>
          <w:tab w:val="clear" w:pos="567"/>
        </w:tabs>
        <w:spacing w:line="240" w:lineRule="auto"/>
        <w:ind w:right="454" w:firstLine="567"/>
        <w:jc w:val="both"/>
        <w:rPr>
          <w:rFonts w:eastAsia="Cambria Math"/>
          <w:sz w:val="24"/>
          <w:szCs w:val="24"/>
          <w:lang w:val="uk-UA"/>
        </w:rPr>
      </w:pPr>
      <w:r>
        <w:rPr>
          <w:rFonts w:eastAsia="Cambria Math"/>
          <w:i/>
          <w:sz w:val="24"/>
          <w:szCs w:val="24"/>
          <w:lang w:val="uk-UA"/>
        </w:rPr>
        <w:t xml:space="preserve">Toxocara cati </w:t>
      </w:r>
      <w:r>
        <w:rPr>
          <w:rFonts w:eastAsia="Cambria Math"/>
          <w:sz w:val="24"/>
          <w:szCs w:val="24"/>
          <w:lang w:val="uk-UA"/>
        </w:rPr>
        <w:t xml:space="preserve">(личинки L3) – обробка маток у другій половині вагітності для запобігання лактогенній передачі потомству </w:t>
      </w:r>
    </w:p>
    <w:p w:rsidR="00AE154A" w:rsidRDefault="009D54F5">
      <w:pPr>
        <w:widowControl w:val="0"/>
        <w:tabs>
          <w:tab w:val="clear" w:pos="567"/>
        </w:tabs>
        <w:spacing w:line="240" w:lineRule="auto"/>
        <w:ind w:right="454" w:firstLine="567"/>
        <w:jc w:val="both"/>
        <w:rPr>
          <w:rFonts w:eastAsia="Cambria Math"/>
          <w:sz w:val="24"/>
          <w:szCs w:val="24"/>
          <w:lang w:val="uk-UA"/>
        </w:rPr>
      </w:pPr>
      <w:r>
        <w:rPr>
          <w:rFonts w:eastAsia="Cambria Math"/>
          <w:i/>
          <w:sz w:val="24"/>
          <w:szCs w:val="24"/>
          <w:lang w:val="uk-UA"/>
        </w:rPr>
        <w:t xml:space="preserve">Toxascaris leonina </w:t>
      </w:r>
      <w:r>
        <w:rPr>
          <w:rFonts w:eastAsia="Cambria Math"/>
          <w:sz w:val="24"/>
          <w:szCs w:val="24"/>
          <w:lang w:val="uk-UA"/>
        </w:rPr>
        <w:t>(зрілі дорослі, незрілі дорослі та L4)</w:t>
      </w:r>
    </w:p>
    <w:p w:rsidR="00AE154A" w:rsidRDefault="009D54F5">
      <w:pPr>
        <w:widowControl w:val="0"/>
        <w:tabs>
          <w:tab w:val="clear" w:pos="567"/>
        </w:tabs>
        <w:spacing w:line="240" w:lineRule="auto"/>
        <w:ind w:right="454" w:firstLine="567"/>
        <w:jc w:val="both"/>
        <w:rPr>
          <w:rFonts w:eastAsia="Cambria Math"/>
          <w:sz w:val="24"/>
          <w:szCs w:val="24"/>
          <w:lang w:val="uk-UA"/>
        </w:rPr>
      </w:pPr>
      <w:r>
        <w:rPr>
          <w:rFonts w:eastAsia="Cambria Math"/>
          <w:i/>
          <w:sz w:val="24"/>
          <w:szCs w:val="24"/>
          <w:lang w:val="uk-UA"/>
        </w:rPr>
        <w:t xml:space="preserve">Ancylostoma tubaeforme </w:t>
      </w:r>
      <w:r>
        <w:rPr>
          <w:rFonts w:eastAsia="Cambria Math"/>
          <w:sz w:val="24"/>
          <w:szCs w:val="24"/>
          <w:lang w:val="uk-UA"/>
        </w:rPr>
        <w:t>(зрілі дорослі, незрілі дорослі та L4)</w:t>
      </w:r>
    </w:p>
    <w:p w:rsidR="00AE154A" w:rsidRDefault="009D54F5">
      <w:pPr>
        <w:widowControl w:val="0"/>
        <w:tabs>
          <w:tab w:val="clear" w:pos="567"/>
        </w:tabs>
        <w:spacing w:line="240" w:lineRule="auto"/>
        <w:ind w:right="454" w:firstLine="567"/>
        <w:jc w:val="both"/>
        <w:rPr>
          <w:rFonts w:eastAsia="Cambria Math"/>
          <w:sz w:val="24"/>
          <w:szCs w:val="24"/>
          <w:u w:val="single"/>
          <w:lang w:val="uk-UA"/>
        </w:rPr>
      </w:pPr>
      <w:r>
        <w:rPr>
          <w:rFonts w:eastAsia="Cambria Math"/>
          <w:sz w:val="24"/>
          <w:szCs w:val="24"/>
          <w:u w:val="single"/>
          <w:lang w:val="uk-UA"/>
        </w:rPr>
        <w:t>Стьожкові черви (цестоди)</w:t>
      </w:r>
      <w:r>
        <w:rPr>
          <w:rFonts w:eastAsia="Cambria Math"/>
          <w:sz w:val="24"/>
          <w:szCs w:val="24"/>
          <w:lang w:val="uk-UA"/>
        </w:rPr>
        <w:t>:</w:t>
      </w:r>
      <w:r>
        <w:rPr>
          <w:rFonts w:eastAsia="Cambria Math"/>
          <w:sz w:val="24"/>
          <w:szCs w:val="24"/>
          <w:u w:val="single"/>
          <w:lang w:val="uk-UA"/>
        </w:rPr>
        <w:t xml:space="preserve"> </w:t>
      </w:r>
    </w:p>
    <w:p w:rsidR="00AE154A" w:rsidRDefault="009D54F5">
      <w:pPr>
        <w:widowControl w:val="0"/>
        <w:tabs>
          <w:tab w:val="clear" w:pos="567"/>
        </w:tabs>
        <w:spacing w:line="240" w:lineRule="auto"/>
        <w:ind w:right="454" w:firstLine="567"/>
        <w:jc w:val="both"/>
        <w:rPr>
          <w:rFonts w:eastAsia="Cambria Math"/>
          <w:sz w:val="24"/>
          <w:szCs w:val="24"/>
          <w:lang w:val="uk-UA"/>
        </w:rPr>
      </w:pPr>
      <w:r>
        <w:rPr>
          <w:rFonts w:eastAsia="Cambria Math"/>
          <w:i/>
          <w:sz w:val="24"/>
          <w:szCs w:val="24"/>
          <w:lang w:val="uk-UA"/>
        </w:rPr>
        <w:t xml:space="preserve">Dipylidium caninum </w:t>
      </w:r>
      <w:r>
        <w:rPr>
          <w:rFonts w:eastAsia="Cambria Math"/>
          <w:sz w:val="24"/>
          <w:szCs w:val="24"/>
          <w:lang w:val="uk-UA"/>
        </w:rPr>
        <w:t xml:space="preserve">(зрілі дорослі та незрілі дорослі) </w:t>
      </w:r>
    </w:p>
    <w:p w:rsidR="00AE154A" w:rsidRDefault="009D54F5">
      <w:pPr>
        <w:widowControl w:val="0"/>
        <w:tabs>
          <w:tab w:val="clear" w:pos="567"/>
        </w:tabs>
        <w:spacing w:line="240" w:lineRule="auto"/>
        <w:ind w:right="454" w:firstLine="567"/>
        <w:jc w:val="both"/>
        <w:rPr>
          <w:rFonts w:eastAsia="Cambria Math"/>
          <w:sz w:val="24"/>
          <w:szCs w:val="24"/>
          <w:lang w:val="uk-UA"/>
        </w:rPr>
      </w:pPr>
      <w:r>
        <w:rPr>
          <w:rFonts w:eastAsia="Cambria Math"/>
          <w:i/>
          <w:sz w:val="24"/>
          <w:szCs w:val="24"/>
          <w:lang w:val="uk-UA"/>
        </w:rPr>
        <w:t xml:space="preserve">Taenia taeniaeformis </w:t>
      </w:r>
      <w:r>
        <w:rPr>
          <w:rFonts w:eastAsia="Cambria Math"/>
          <w:sz w:val="24"/>
          <w:szCs w:val="24"/>
          <w:lang w:val="uk-UA"/>
        </w:rPr>
        <w:t xml:space="preserve">(дорослі) </w:t>
      </w:r>
    </w:p>
    <w:p w:rsidR="00AE154A" w:rsidRDefault="009D54F5">
      <w:pPr>
        <w:widowControl w:val="0"/>
        <w:tabs>
          <w:tab w:val="clear" w:pos="567"/>
        </w:tabs>
        <w:spacing w:line="240" w:lineRule="auto"/>
        <w:ind w:right="454" w:firstLine="567"/>
        <w:jc w:val="both"/>
        <w:rPr>
          <w:rFonts w:eastAsia="Cambria Math"/>
          <w:sz w:val="24"/>
          <w:szCs w:val="24"/>
          <w:lang w:val="uk-UA"/>
        </w:rPr>
      </w:pPr>
      <w:r>
        <w:rPr>
          <w:rFonts w:eastAsia="Cambria Math"/>
          <w:i/>
          <w:sz w:val="24"/>
          <w:szCs w:val="24"/>
          <w:lang w:val="uk-UA"/>
        </w:rPr>
        <w:t xml:space="preserve">Echinococcus multilocularis </w:t>
      </w:r>
      <w:r>
        <w:rPr>
          <w:rFonts w:eastAsia="Cambria Math"/>
          <w:sz w:val="24"/>
          <w:szCs w:val="24"/>
          <w:lang w:val="uk-UA"/>
        </w:rPr>
        <w:t>(дорослі)</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ascii="SAPGUI-Belize-Icons" w:eastAsia="Cambria Math" w:hAnsi="SAPGUI-Belize-Icons" w:cs="SAPGUI-Belize-Icons"/>
          <w:sz w:val="20"/>
          <w:lang w:val="uk-UA"/>
        </w:rPr>
        <w:t>.</w:t>
      </w:r>
      <w:r>
        <w:rPr>
          <w:rFonts w:eastAsia="Cambria Math"/>
          <w:b/>
          <w:snapToGrid w:val="0"/>
          <w:sz w:val="24"/>
          <w:szCs w:val="24"/>
          <w:lang w:val="uk-UA"/>
        </w:rPr>
        <w:t>5.3 Протипоказання</w:t>
      </w:r>
    </w:p>
    <w:p w:rsidR="00AE154A" w:rsidRDefault="009D54F5">
      <w:pPr>
        <w:tabs>
          <w:tab w:val="clear" w:pos="567"/>
        </w:tabs>
        <w:spacing w:line="240" w:lineRule="auto"/>
        <w:ind w:right="-36" w:firstLine="560"/>
        <w:jc w:val="both"/>
        <w:rPr>
          <w:rFonts w:eastAsia="Cambria Math"/>
          <w:sz w:val="24"/>
          <w:szCs w:val="24"/>
          <w:lang w:val="uk-UA" w:eastAsia="uk-UA"/>
        </w:rPr>
      </w:pPr>
      <w:r>
        <w:rPr>
          <w:rFonts w:eastAsia="Cambria Math"/>
          <w:sz w:val="24"/>
          <w:szCs w:val="24"/>
          <w:lang w:val="uk-UA" w:eastAsia="uk-UA"/>
        </w:rPr>
        <w:t>Не застосовувати у кошенят віком до 8 тижнів або котів вагою до 2,5 кг.</w:t>
      </w:r>
    </w:p>
    <w:p w:rsidR="00AE154A" w:rsidRDefault="009D54F5">
      <w:pPr>
        <w:tabs>
          <w:tab w:val="clear" w:pos="567"/>
        </w:tabs>
        <w:spacing w:line="240" w:lineRule="auto"/>
        <w:ind w:right="-36" w:firstLine="560"/>
        <w:jc w:val="both"/>
        <w:rPr>
          <w:rFonts w:eastAsia="Cambria Math"/>
          <w:snapToGrid w:val="0"/>
          <w:sz w:val="24"/>
          <w:szCs w:val="24"/>
          <w:lang w:val="uk-UA" w:eastAsia="uk-UA"/>
        </w:rPr>
      </w:pPr>
      <w:r>
        <w:rPr>
          <w:rFonts w:eastAsia="Cambria Math"/>
          <w:sz w:val="24"/>
          <w:szCs w:val="24"/>
          <w:lang w:val="uk-UA"/>
        </w:rPr>
        <w:t>Не застосовувати у випадках з підвищеною чутливістю до діючих речовин або до будь-якої з допоміжних речовин.</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5.4 Побічна дія</w:t>
      </w:r>
    </w:p>
    <w:p w:rsidR="00AE154A" w:rsidRDefault="009D54F5">
      <w:pPr>
        <w:tabs>
          <w:tab w:val="clear" w:pos="567"/>
        </w:tabs>
        <w:spacing w:line="240" w:lineRule="auto"/>
        <w:ind w:firstLine="567"/>
        <w:jc w:val="both"/>
        <w:rPr>
          <w:rFonts w:eastAsia="Cambria Math"/>
          <w:snapToGrid w:val="0"/>
          <w:sz w:val="24"/>
          <w:szCs w:val="24"/>
          <w:lang w:val="uk-UA"/>
        </w:rPr>
      </w:pPr>
      <w:r>
        <w:rPr>
          <w:rFonts w:eastAsia="Cambria Math"/>
          <w:snapToGrid w:val="0"/>
          <w:sz w:val="24"/>
          <w:szCs w:val="24"/>
          <w:lang w:val="uk-UA"/>
        </w:rPr>
        <w:t>Коти: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AE154A">
        <w:tc>
          <w:tcPr>
            <w:tcW w:w="1957" w:type="pct"/>
            <w:tcBorders>
              <w:top w:val="single" w:sz="4" w:space="0" w:color="auto"/>
              <w:left w:val="single" w:sz="4" w:space="0" w:color="auto"/>
              <w:bottom w:val="single" w:sz="4" w:space="0" w:color="auto"/>
              <w:right w:val="single" w:sz="4" w:space="0" w:color="auto"/>
            </w:tcBorders>
            <w:hideMark/>
          </w:tcPr>
          <w:p w:rsidR="00AE154A" w:rsidRDefault="009D54F5">
            <w:pPr>
              <w:tabs>
                <w:tab w:val="clear" w:pos="567"/>
              </w:tabs>
              <w:spacing w:line="240" w:lineRule="auto"/>
              <w:ind w:firstLine="567"/>
              <w:jc w:val="both"/>
              <w:rPr>
                <w:rFonts w:eastAsia="Cambria Math"/>
                <w:snapToGrid w:val="0"/>
                <w:sz w:val="24"/>
                <w:szCs w:val="24"/>
                <w:lang w:val="uk-UA"/>
              </w:rPr>
            </w:pPr>
            <w:bookmarkStart w:id="2" w:name="_Hlk181952076"/>
            <w:r>
              <w:rPr>
                <w:rFonts w:eastAsia="Cambria Math"/>
                <w:snapToGrid w:val="0"/>
                <w:sz w:val="24"/>
                <w:szCs w:val="24"/>
                <w:lang w:val="uk-UA"/>
              </w:rPr>
              <w:t>Дуже рідко</w:t>
            </w:r>
          </w:p>
          <w:p w:rsidR="00AE154A" w:rsidRDefault="009D54F5">
            <w:pPr>
              <w:tabs>
                <w:tab w:val="clear" w:pos="567"/>
              </w:tabs>
              <w:spacing w:line="240" w:lineRule="auto"/>
              <w:ind w:firstLine="567"/>
              <w:jc w:val="both"/>
              <w:rPr>
                <w:rFonts w:eastAsia="Cambria Math"/>
                <w:snapToGrid w:val="0"/>
                <w:sz w:val="24"/>
                <w:szCs w:val="24"/>
                <w:lang w:val="uk-UA"/>
              </w:rPr>
            </w:pPr>
            <w:r>
              <w:rPr>
                <w:rFonts w:eastAsia="Cambria Math"/>
                <w:snapToGrid w:val="0"/>
                <w:sz w:val="24"/>
                <w:szCs w:val="24"/>
                <w:lang w:val="uk-UA"/>
              </w:rPr>
              <w:t>(&lt; 1 тварини/10 000 оброблених тварин, включаючи поодинокі випадки):</w:t>
            </w:r>
          </w:p>
        </w:tc>
        <w:tc>
          <w:tcPr>
            <w:tcW w:w="3043" w:type="pct"/>
            <w:tcBorders>
              <w:top w:val="single" w:sz="4" w:space="0" w:color="auto"/>
              <w:left w:val="single" w:sz="4" w:space="0" w:color="auto"/>
              <w:bottom w:val="single" w:sz="4" w:space="0" w:color="auto"/>
              <w:right w:val="single" w:sz="4" w:space="0" w:color="auto"/>
            </w:tcBorders>
            <w:hideMark/>
          </w:tcPr>
          <w:p w:rsidR="00AE154A" w:rsidRDefault="009D54F5">
            <w:pPr>
              <w:tabs>
                <w:tab w:val="clear" w:pos="567"/>
              </w:tabs>
              <w:spacing w:line="240" w:lineRule="auto"/>
              <w:ind w:firstLine="567"/>
              <w:jc w:val="both"/>
              <w:rPr>
                <w:rFonts w:eastAsia="Cambria Math"/>
                <w:iCs/>
                <w:snapToGrid w:val="0"/>
                <w:sz w:val="24"/>
                <w:szCs w:val="24"/>
                <w:vertAlign w:val="superscript"/>
                <w:lang w:val="uk-UA"/>
              </w:rPr>
            </w:pPr>
            <w:r>
              <w:rPr>
                <w:rFonts w:eastAsia="Cambria Math"/>
                <w:snapToGrid w:val="0"/>
                <w:sz w:val="24"/>
                <w:szCs w:val="24"/>
                <w:lang w:val="uk-UA"/>
              </w:rPr>
              <w:t>Алопеція у місці нанесення</w:t>
            </w:r>
            <w:r>
              <w:rPr>
                <w:rFonts w:eastAsia="Cambria Math"/>
                <w:snapToGrid w:val="0"/>
                <w:sz w:val="24"/>
                <w:szCs w:val="24"/>
                <w:vertAlign w:val="superscript"/>
                <w:lang w:val="uk-UA"/>
              </w:rPr>
              <w:t>1</w:t>
            </w:r>
            <w:r>
              <w:rPr>
                <w:rFonts w:eastAsia="Cambria Math"/>
                <w:snapToGrid w:val="0"/>
                <w:sz w:val="24"/>
                <w:szCs w:val="24"/>
                <w:lang w:val="uk-UA"/>
              </w:rPr>
              <w:t>, свербіж у місці нанесення</w:t>
            </w:r>
            <w:r>
              <w:rPr>
                <w:rFonts w:eastAsia="Cambria Math"/>
                <w:snapToGrid w:val="0"/>
                <w:sz w:val="24"/>
                <w:szCs w:val="24"/>
                <w:vertAlign w:val="superscript"/>
                <w:lang w:val="uk-UA"/>
              </w:rPr>
              <w:t>1</w:t>
            </w:r>
            <w:r>
              <w:rPr>
                <w:rFonts w:eastAsia="Cambria Math"/>
                <w:snapToGrid w:val="0"/>
                <w:sz w:val="24"/>
                <w:szCs w:val="24"/>
                <w:lang w:val="uk-UA"/>
              </w:rPr>
              <w:t>, запалення у місці нанесення</w:t>
            </w:r>
            <w:r>
              <w:rPr>
                <w:rFonts w:eastAsia="Cambria Math"/>
                <w:snapToGrid w:val="0"/>
                <w:sz w:val="24"/>
                <w:szCs w:val="24"/>
                <w:vertAlign w:val="superscript"/>
                <w:lang w:val="uk-UA"/>
              </w:rPr>
              <w:t>1</w:t>
            </w:r>
          </w:p>
          <w:p w:rsidR="00AE154A" w:rsidRDefault="009D54F5">
            <w:pPr>
              <w:tabs>
                <w:tab w:val="clear" w:pos="567"/>
              </w:tabs>
              <w:spacing w:line="240" w:lineRule="auto"/>
              <w:ind w:firstLine="567"/>
              <w:jc w:val="both"/>
              <w:rPr>
                <w:rFonts w:eastAsia="Cambria Math"/>
                <w:bCs/>
                <w:iCs/>
                <w:snapToGrid w:val="0"/>
                <w:sz w:val="24"/>
                <w:szCs w:val="24"/>
                <w:lang w:val="uk-UA"/>
              </w:rPr>
            </w:pPr>
            <w:r>
              <w:rPr>
                <w:rFonts w:eastAsia="Cambria Math"/>
                <w:snapToGrid w:val="0"/>
                <w:sz w:val="24"/>
                <w:szCs w:val="24"/>
                <w:lang w:val="uk-UA"/>
              </w:rPr>
              <w:t>Слинотеча</w:t>
            </w:r>
            <w:r>
              <w:rPr>
                <w:rFonts w:eastAsia="Cambria Math"/>
                <w:snapToGrid w:val="0"/>
                <w:sz w:val="24"/>
                <w:szCs w:val="24"/>
                <w:vertAlign w:val="superscript"/>
                <w:lang w:val="uk-UA"/>
              </w:rPr>
              <w:t>2</w:t>
            </w:r>
            <w:r>
              <w:rPr>
                <w:rFonts w:eastAsia="Cambria Math"/>
                <w:snapToGrid w:val="0"/>
                <w:sz w:val="24"/>
                <w:szCs w:val="24"/>
                <w:lang w:val="uk-UA"/>
              </w:rPr>
              <w:t>, блювота</w:t>
            </w:r>
            <w:r>
              <w:rPr>
                <w:rFonts w:eastAsia="Cambria Math"/>
                <w:snapToGrid w:val="0"/>
                <w:sz w:val="24"/>
                <w:szCs w:val="24"/>
                <w:vertAlign w:val="superscript"/>
                <w:lang w:val="uk-UA"/>
              </w:rPr>
              <w:t>2</w:t>
            </w:r>
            <w:r>
              <w:rPr>
                <w:rFonts w:eastAsia="Cambria Math"/>
                <w:snapToGrid w:val="0"/>
                <w:sz w:val="24"/>
                <w:szCs w:val="24"/>
                <w:lang w:val="uk-UA"/>
              </w:rPr>
              <w:t>, діарея</w:t>
            </w:r>
            <w:r>
              <w:rPr>
                <w:rFonts w:eastAsia="Cambria Math"/>
                <w:snapToGrid w:val="0"/>
                <w:sz w:val="24"/>
                <w:szCs w:val="24"/>
                <w:vertAlign w:val="superscript"/>
                <w:lang w:val="uk-UA"/>
              </w:rPr>
              <w:t>2</w:t>
            </w:r>
            <w:r>
              <w:rPr>
                <w:rFonts w:eastAsia="Cambria Math"/>
                <w:snapToGrid w:val="0"/>
                <w:sz w:val="24"/>
                <w:szCs w:val="24"/>
                <w:lang w:val="uk-UA"/>
              </w:rPr>
              <w:t>, анорексія</w:t>
            </w:r>
          </w:p>
          <w:p w:rsidR="00AE154A" w:rsidRDefault="009D54F5">
            <w:pPr>
              <w:tabs>
                <w:tab w:val="clear" w:pos="567"/>
              </w:tabs>
              <w:spacing w:line="240" w:lineRule="auto"/>
              <w:ind w:firstLine="567"/>
              <w:jc w:val="both"/>
              <w:rPr>
                <w:rFonts w:eastAsia="Cambria Math"/>
                <w:bCs/>
                <w:iCs/>
                <w:snapToGrid w:val="0"/>
                <w:sz w:val="24"/>
                <w:szCs w:val="24"/>
                <w:lang w:val="uk-UA"/>
              </w:rPr>
            </w:pPr>
            <w:r>
              <w:rPr>
                <w:rFonts w:eastAsia="Cambria Math"/>
                <w:snapToGrid w:val="0"/>
                <w:sz w:val="24"/>
                <w:szCs w:val="24"/>
                <w:lang w:val="uk-UA"/>
              </w:rPr>
              <w:t>Неврологічні розлади (легкі та минущі)</w:t>
            </w:r>
            <w:r>
              <w:rPr>
                <w:rFonts w:eastAsia="Cambria Math"/>
                <w:snapToGrid w:val="0"/>
                <w:sz w:val="24"/>
                <w:szCs w:val="24"/>
                <w:vertAlign w:val="superscript"/>
                <w:lang w:val="uk-UA"/>
              </w:rPr>
              <w:t>2,3</w:t>
            </w:r>
          </w:p>
          <w:p w:rsidR="00AE154A" w:rsidRDefault="009D54F5">
            <w:pPr>
              <w:tabs>
                <w:tab w:val="clear" w:pos="567"/>
              </w:tabs>
              <w:spacing w:line="240" w:lineRule="auto"/>
              <w:ind w:firstLine="567"/>
              <w:jc w:val="both"/>
              <w:rPr>
                <w:rFonts w:eastAsia="Cambria Math"/>
                <w:iCs/>
                <w:snapToGrid w:val="0"/>
                <w:sz w:val="24"/>
                <w:szCs w:val="24"/>
                <w:lang w:val="uk-UA"/>
              </w:rPr>
            </w:pPr>
            <w:r>
              <w:rPr>
                <w:rFonts w:eastAsia="Cambria Math"/>
                <w:snapToGrid w:val="0"/>
                <w:sz w:val="24"/>
                <w:szCs w:val="24"/>
                <w:lang w:val="uk-UA"/>
              </w:rPr>
              <w:t>Розлади поведінки</w:t>
            </w:r>
            <w:r>
              <w:rPr>
                <w:rFonts w:eastAsia="Cambria Math"/>
                <w:snapToGrid w:val="0"/>
                <w:sz w:val="24"/>
                <w:szCs w:val="24"/>
                <w:vertAlign w:val="superscript"/>
                <w:lang w:val="uk-UA"/>
              </w:rPr>
              <w:t>4</w:t>
            </w:r>
          </w:p>
        </w:tc>
      </w:tr>
    </w:tbl>
    <w:p w:rsidR="00AE154A" w:rsidRDefault="009D54F5">
      <w:pPr>
        <w:tabs>
          <w:tab w:val="clear" w:pos="567"/>
        </w:tabs>
        <w:spacing w:line="240" w:lineRule="auto"/>
        <w:ind w:firstLine="567"/>
        <w:jc w:val="both"/>
        <w:rPr>
          <w:rFonts w:eastAsia="Cambria Math"/>
          <w:snapToGrid w:val="0"/>
          <w:sz w:val="24"/>
          <w:szCs w:val="24"/>
          <w:lang w:val="uk-UA"/>
        </w:rPr>
      </w:pPr>
      <w:r>
        <w:rPr>
          <w:rFonts w:eastAsia="Cambria Math"/>
          <w:snapToGrid w:val="0"/>
          <w:sz w:val="24"/>
          <w:szCs w:val="24"/>
          <w:vertAlign w:val="superscript"/>
          <w:lang w:val="uk-UA"/>
        </w:rPr>
        <w:t>1</w:t>
      </w:r>
      <w:r>
        <w:rPr>
          <w:rFonts w:eastAsia="Cambria Math"/>
          <w:snapToGrid w:val="0"/>
          <w:sz w:val="24"/>
          <w:szCs w:val="24"/>
          <w:lang w:val="uk-UA"/>
        </w:rPr>
        <w:t>Минуща.</w:t>
      </w:r>
    </w:p>
    <w:bookmarkEnd w:id="2"/>
    <w:p w:rsidR="00AE154A" w:rsidRDefault="009D54F5">
      <w:pPr>
        <w:tabs>
          <w:tab w:val="clear" w:pos="567"/>
        </w:tabs>
        <w:spacing w:line="240" w:lineRule="auto"/>
        <w:ind w:firstLine="567"/>
        <w:jc w:val="both"/>
        <w:rPr>
          <w:rFonts w:eastAsia="Cambria Math"/>
          <w:bCs/>
          <w:snapToGrid w:val="0"/>
          <w:sz w:val="24"/>
          <w:szCs w:val="24"/>
          <w:lang w:val="uk-UA"/>
        </w:rPr>
      </w:pPr>
      <w:r>
        <w:rPr>
          <w:rFonts w:eastAsia="Cambria Math"/>
          <w:snapToGrid w:val="0"/>
          <w:sz w:val="24"/>
          <w:szCs w:val="24"/>
          <w:vertAlign w:val="superscript"/>
          <w:lang w:val="uk-UA"/>
        </w:rPr>
        <w:t>2</w:t>
      </w:r>
      <w:r>
        <w:rPr>
          <w:rFonts w:eastAsia="Cambria Math"/>
          <w:snapToGrid w:val="0"/>
          <w:sz w:val="24"/>
          <w:szCs w:val="24"/>
          <w:lang w:val="uk-UA"/>
        </w:rPr>
        <w:t>Ці явища можуть виникати в результаті вилизування місця нанесення одразу після обробки.</w:t>
      </w:r>
    </w:p>
    <w:p w:rsidR="00AE154A" w:rsidRDefault="009D54F5">
      <w:pPr>
        <w:tabs>
          <w:tab w:val="clear" w:pos="567"/>
        </w:tabs>
        <w:spacing w:line="240" w:lineRule="auto"/>
        <w:ind w:firstLine="567"/>
        <w:jc w:val="both"/>
        <w:rPr>
          <w:rFonts w:eastAsia="Cambria Math"/>
          <w:bCs/>
          <w:snapToGrid w:val="0"/>
          <w:sz w:val="24"/>
          <w:szCs w:val="24"/>
          <w:lang w:val="uk-UA"/>
        </w:rPr>
      </w:pPr>
      <w:r>
        <w:rPr>
          <w:rFonts w:eastAsia="Cambria Math"/>
          <w:snapToGrid w:val="0"/>
          <w:sz w:val="24"/>
          <w:szCs w:val="24"/>
          <w:vertAlign w:val="superscript"/>
          <w:lang w:val="uk-UA"/>
        </w:rPr>
        <w:t>3</w:t>
      </w:r>
      <w:r>
        <w:rPr>
          <w:rFonts w:eastAsia="Cambria Math"/>
          <w:snapToGrid w:val="0"/>
          <w:sz w:val="24"/>
          <w:szCs w:val="24"/>
          <w:lang w:val="uk-UA"/>
        </w:rPr>
        <w:t>Наприклад, атаксія або тремор.</w:t>
      </w:r>
    </w:p>
    <w:p w:rsidR="00AE154A" w:rsidRDefault="009D54F5">
      <w:pPr>
        <w:tabs>
          <w:tab w:val="clear" w:pos="567"/>
        </w:tabs>
        <w:spacing w:line="240" w:lineRule="auto"/>
        <w:ind w:firstLine="567"/>
        <w:jc w:val="both"/>
        <w:rPr>
          <w:rFonts w:eastAsia="Cambria Math"/>
          <w:bCs/>
          <w:snapToGrid w:val="0"/>
          <w:sz w:val="24"/>
          <w:szCs w:val="24"/>
          <w:lang w:val="uk-UA"/>
        </w:rPr>
      </w:pPr>
      <w:r>
        <w:rPr>
          <w:rFonts w:eastAsia="Cambria Math"/>
          <w:snapToGrid w:val="0"/>
          <w:sz w:val="24"/>
          <w:szCs w:val="24"/>
          <w:vertAlign w:val="superscript"/>
          <w:lang w:val="uk-UA"/>
        </w:rPr>
        <w:t>4</w:t>
      </w:r>
      <w:r>
        <w:rPr>
          <w:rFonts w:eastAsia="Cambria Math"/>
          <w:snapToGrid w:val="0"/>
          <w:sz w:val="24"/>
          <w:szCs w:val="24"/>
          <w:lang w:val="uk-UA"/>
        </w:rPr>
        <w:t>Наприклад, гіперактивність, тривожність та вокалізація.</w:t>
      </w:r>
    </w:p>
    <w:p w:rsidR="00AE154A" w:rsidRDefault="009D54F5">
      <w:pPr>
        <w:tabs>
          <w:tab w:val="clear" w:pos="567"/>
        </w:tabs>
        <w:spacing w:line="240" w:lineRule="auto"/>
        <w:ind w:firstLine="567"/>
        <w:jc w:val="both"/>
        <w:rPr>
          <w:rFonts w:eastAsia="Cambria Math"/>
          <w:sz w:val="24"/>
          <w:szCs w:val="24"/>
          <w:highlight w:val="lightGray"/>
          <w:lang w:val="uk-UA"/>
        </w:rPr>
      </w:pPr>
      <w:r>
        <w:rPr>
          <w:rFonts w:eastAsia="Cambria Math"/>
          <w:snapToGrid w:val="0"/>
          <w:sz w:val="24"/>
          <w:szCs w:val="24"/>
          <w:lang w:val="uk-UA"/>
        </w:rPr>
        <w:t>Важливо повідомляти про побічні реакції. Це дозволяє постійно контролювати безпеку ветеринарного лікарського засобу. Звіти необхідно надсилати, бажано через ветеринара, власнику реєстраційного посвідчення або його локальному представнику або національному уповноваженому органу через національну систему звітності. Відповідні контактні дані наведені в листівці-вкладиші.</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5.5 Особливі застереження при використанні</w:t>
      </w:r>
    </w:p>
    <w:p w:rsidR="00AE154A" w:rsidRDefault="009D54F5">
      <w:pPr>
        <w:tabs>
          <w:tab w:val="clear" w:pos="567"/>
          <w:tab w:val="left" w:pos="10312"/>
        </w:tabs>
        <w:spacing w:line="240" w:lineRule="auto"/>
        <w:ind w:right="-36" w:firstLine="560"/>
        <w:jc w:val="both"/>
        <w:rPr>
          <w:rFonts w:eastAsia="Cambria Math"/>
          <w:snapToGrid w:val="0"/>
          <w:sz w:val="24"/>
          <w:szCs w:val="24"/>
          <w:u w:val="single"/>
          <w:lang w:val="uk-UA" w:eastAsia="uk-UA"/>
        </w:rPr>
      </w:pPr>
      <w:r>
        <w:rPr>
          <w:rFonts w:eastAsia="Cambria Math"/>
          <w:snapToGrid w:val="0"/>
          <w:sz w:val="24"/>
          <w:szCs w:val="24"/>
          <w:u w:val="single"/>
          <w:lang w:val="uk-UA" w:eastAsia="uk-UA"/>
        </w:rPr>
        <w:t>Особливості безпечного застосування у цільових видів:</w:t>
      </w:r>
    </w:p>
    <w:p w:rsidR="00AE154A" w:rsidRDefault="009D54F5">
      <w:pPr>
        <w:tabs>
          <w:tab w:val="clear" w:pos="567"/>
          <w:tab w:val="left" w:pos="10312"/>
        </w:tabs>
        <w:spacing w:line="240" w:lineRule="auto"/>
        <w:ind w:right="-36" w:firstLine="560"/>
        <w:jc w:val="both"/>
        <w:rPr>
          <w:rFonts w:eastAsia="Cambria Math"/>
          <w:snapToGrid w:val="0"/>
          <w:sz w:val="24"/>
          <w:szCs w:val="24"/>
          <w:lang w:val="uk-UA" w:eastAsia="uk-UA"/>
        </w:rPr>
      </w:pPr>
      <w:r>
        <w:rPr>
          <w:rFonts w:eastAsia="Cambria Math"/>
          <w:snapToGrid w:val="0"/>
          <w:sz w:val="24"/>
          <w:szCs w:val="24"/>
          <w:lang w:val="uk-UA" w:eastAsia="uk-UA"/>
        </w:rPr>
        <w:t xml:space="preserve">Наносити виключно на поверхню шкіри та на неуражену ділянку. Не вводити перорально або парентерально. </w:t>
      </w:r>
    </w:p>
    <w:p w:rsidR="00AE154A" w:rsidRDefault="009D54F5">
      <w:pPr>
        <w:tabs>
          <w:tab w:val="clear" w:pos="567"/>
          <w:tab w:val="left" w:pos="10312"/>
        </w:tabs>
        <w:spacing w:line="240" w:lineRule="auto"/>
        <w:ind w:right="-36" w:firstLine="560"/>
        <w:jc w:val="both"/>
        <w:rPr>
          <w:rFonts w:eastAsia="Cambria Math"/>
          <w:snapToGrid w:val="0"/>
          <w:sz w:val="24"/>
          <w:szCs w:val="24"/>
          <w:lang w:val="uk-UA" w:eastAsia="uk-UA"/>
        </w:rPr>
      </w:pPr>
      <w:r>
        <w:rPr>
          <w:rFonts w:eastAsia="Cambria Math"/>
          <w:snapToGrid w:val="0"/>
          <w:sz w:val="24"/>
          <w:szCs w:val="24"/>
          <w:lang w:val="uk-UA" w:eastAsia="uk-UA"/>
        </w:rPr>
        <w:t xml:space="preserve">Не дозволяйте обробленому коту або іншим котам в одному домі вилизувати вологе місце нанесення. </w:t>
      </w:r>
    </w:p>
    <w:p w:rsidR="00AE154A" w:rsidRDefault="009D54F5">
      <w:pPr>
        <w:tabs>
          <w:tab w:val="clear" w:pos="567"/>
          <w:tab w:val="left" w:pos="10312"/>
        </w:tabs>
        <w:spacing w:line="240" w:lineRule="auto"/>
        <w:ind w:right="-36" w:firstLine="560"/>
        <w:jc w:val="both"/>
        <w:rPr>
          <w:rFonts w:eastAsia="Cambria Math"/>
          <w:snapToGrid w:val="0"/>
          <w:sz w:val="24"/>
          <w:szCs w:val="24"/>
          <w:lang w:val="uk-UA" w:eastAsia="uk-UA"/>
        </w:rPr>
      </w:pPr>
      <w:r>
        <w:rPr>
          <w:rFonts w:eastAsia="Cambria Math"/>
          <w:snapToGrid w:val="0"/>
          <w:sz w:val="24"/>
          <w:szCs w:val="24"/>
          <w:lang w:val="uk-UA" w:eastAsia="uk-UA"/>
        </w:rPr>
        <w:t>Існує обмежений досвід застосування ветеринарного лікарського засобу у хворих та виснажених тварин, тому для цих тварин його необхідно застосовувати лише з урахуванням співвідношення користь/ризик.</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5.6 Використання під час вагітності, лактації, несучості</w:t>
      </w:r>
    </w:p>
    <w:p w:rsidR="00AE154A" w:rsidRDefault="009D54F5">
      <w:pPr>
        <w:widowControl w:val="0"/>
        <w:tabs>
          <w:tab w:val="clear" w:pos="567"/>
        </w:tabs>
        <w:spacing w:line="240" w:lineRule="auto"/>
        <w:ind w:right="-36" w:firstLine="567"/>
        <w:jc w:val="both"/>
        <w:rPr>
          <w:rFonts w:eastAsia="Cambria Math"/>
          <w:snapToGrid w:val="0"/>
          <w:sz w:val="24"/>
          <w:szCs w:val="24"/>
          <w:lang w:val="uk-UA"/>
        </w:rPr>
      </w:pPr>
      <w:r>
        <w:rPr>
          <w:rFonts w:eastAsia="Cambria Math"/>
          <w:snapToGrid w:val="0"/>
          <w:sz w:val="24"/>
          <w:szCs w:val="24"/>
          <w:lang w:val="uk-UA"/>
        </w:rPr>
        <w:t>Ветеринарний лікарський засіб можна застосовувати в період вагітності та годування груддю.</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5.7 Взаємодія з іншими засобами та інші форми взаємодії</w:t>
      </w:r>
    </w:p>
    <w:p w:rsidR="00AE154A" w:rsidRDefault="009D54F5">
      <w:pPr>
        <w:widowControl w:val="0"/>
        <w:tabs>
          <w:tab w:val="clear" w:pos="567"/>
        </w:tabs>
        <w:spacing w:line="240" w:lineRule="auto"/>
        <w:ind w:right="-36" w:firstLine="567"/>
        <w:jc w:val="both"/>
        <w:rPr>
          <w:rFonts w:eastAsia="Cambria Math"/>
          <w:snapToGrid w:val="0"/>
          <w:sz w:val="24"/>
          <w:szCs w:val="24"/>
          <w:lang w:val="uk-UA"/>
        </w:rPr>
      </w:pPr>
      <w:r>
        <w:rPr>
          <w:rFonts w:eastAsia="Cambria Math"/>
          <w:snapToGrid w:val="0"/>
          <w:sz w:val="24"/>
          <w:szCs w:val="24"/>
          <w:lang w:val="uk-UA"/>
        </w:rPr>
        <w:t xml:space="preserve">Емодепсид є субстратом Р-глікопротеїну. Одночасне застосування з іншими препаратами, що є субстратами/інгібіторами P-глікопротеїну (наприклад, івермектином та іншими протипаразитарними макроциклічними лактонами, еритроміцином, преднізолоном та циклоспорином), може призвести до фармакокінетичної взаємодії з іншими лікарськими засобами. Можливі клінічні наслідки такої взаємодії не вивчались. Якщо ваш кіт отримує будь-які лікарські засоби, обговоріть це з ветеринаром перед застосуванням цього ветеринарного лікарського засобу. Також повідомте ветеринара </w:t>
      </w:r>
      <w:r>
        <w:rPr>
          <w:rFonts w:eastAsia="Cambria Math"/>
          <w:snapToGrid w:val="0"/>
          <w:sz w:val="24"/>
          <w:szCs w:val="24"/>
          <w:lang w:val="uk-UA"/>
        </w:rPr>
        <w:lastRenderedPageBreak/>
        <w:t>про застосування цього ветеринарного лікарського засобу, якщо він/вона призначає інші лікарські засоби.</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5.8 Дози і способи введення тваринам різного віку</w:t>
      </w:r>
    </w:p>
    <w:p w:rsidR="00AE154A" w:rsidRDefault="009D54F5">
      <w:pPr>
        <w:tabs>
          <w:tab w:val="clear" w:pos="567"/>
        </w:tabs>
        <w:spacing w:line="240" w:lineRule="auto"/>
        <w:ind w:firstLine="560"/>
        <w:jc w:val="both"/>
        <w:rPr>
          <w:rFonts w:eastAsia="Cambria Math"/>
          <w:sz w:val="24"/>
          <w:szCs w:val="24"/>
          <w:lang w:val="uk-UA" w:eastAsia="uk-UA"/>
        </w:rPr>
      </w:pPr>
      <w:bookmarkStart w:id="3" w:name="_Hlk202380518"/>
      <w:r>
        <w:rPr>
          <w:rFonts w:eastAsia="Cambria Math"/>
          <w:sz w:val="24"/>
          <w:szCs w:val="24"/>
          <w:lang w:val="uk-UA" w:eastAsia="uk-UA"/>
        </w:rPr>
        <w:t xml:space="preserve">Точкове нанесення. </w:t>
      </w:r>
    </w:p>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t>Для забезпечення правильного дозування, маса тіла має бути визначена якомога точніше. Недостатнє дозування може бути менш ефективним та призводити до стійкості.</w:t>
      </w:r>
    </w:p>
    <w:p w:rsidR="00AE154A" w:rsidRDefault="009D54F5">
      <w:pPr>
        <w:tabs>
          <w:tab w:val="clear" w:pos="567"/>
        </w:tabs>
        <w:spacing w:line="240" w:lineRule="auto"/>
        <w:ind w:firstLine="560"/>
        <w:jc w:val="both"/>
        <w:rPr>
          <w:rFonts w:eastAsia="Cambria Math"/>
          <w:sz w:val="24"/>
          <w:szCs w:val="24"/>
          <w:u w:val="single"/>
          <w:lang w:val="uk-UA" w:eastAsia="uk-UA"/>
        </w:rPr>
      </w:pPr>
      <w:r>
        <w:rPr>
          <w:rFonts w:eastAsia="Cambria Math"/>
          <w:sz w:val="24"/>
          <w:szCs w:val="24"/>
          <w:u w:val="single"/>
          <w:lang w:val="uk-UA" w:eastAsia="uk-UA"/>
        </w:rPr>
        <w:t xml:space="preserve">Дозування та схема лікування </w:t>
      </w:r>
    </w:p>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t>Рекомендовані мінімальні дози становлять 12 мг празиквантелу/кг маси тіла та 3 мг емодепсиду/кг маси тіла в перерахунку на 0,14 мл ветеринарного лікарського засобу/кг маси тіла.</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409"/>
        <w:gridCol w:w="2410"/>
        <w:gridCol w:w="2410"/>
      </w:tblGrid>
      <w:tr w:rsidR="00AE154A" w:rsidRPr="00863982">
        <w:tc>
          <w:tcPr>
            <w:tcW w:w="1555" w:type="dxa"/>
            <w:shd w:val="clear" w:color="auto" w:fill="auto"/>
          </w:tcPr>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t>Маса тіла кота (кг)</w:t>
            </w:r>
          </w:p>
        </w:tc>
        <w:tc>
          <w:tcPr>
            <w:tcW w:w="2409" w:type="dxa"/>
            <w:shd w:val="clear" w:color="auto" w:fill="auto"/>
          </w:tcPr>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t>Розмір/об’єм піпетки (мл)</w:t>
            </w:r>
          </w:p>
        </w:tc>
        <w:tc>
          <w:tcPr>
            <w:tcW w:w="2410" w:type="dxa"/>
          </w:tcPr>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t>Празиквантел (мг/кг маси тіла)</w:t>
            </w:r>
          </w:p>
        </w:tc>
        <w:tc>
          <w:tcPr>
            <w:tcW w:w="2410" w:type="dxa"/>
            <w:shd w:val="clear" w:color="auto" w:fill="auto"/>
          </w:tcPr>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t>Емодепсид (мг/кг маси тіла)</w:t>
            </w:r>
          </w:p>
        </w:tc>
      </w:tr>
      <w:tr w:rsidR="00AE154A">
        <w:tc>
          <w:tcPr>
            <w:tcW w:w="1555" w:type="dxa"/>
            <w:shd w:val="clear" w:color="auto" w:fill="auto"/>
          </w:tcPr>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t xml:space="preserve">≥ </w:t>
            </w:r>
            <w:r>
              <w:rPr>
                <w:rFonts w:eastAsia="Cambria Math"/>
                <w:sz w:val="24"/>
                <w:szCs w:val="24"/>
                <w:lang w:val="en-US" w:eastAsia="uk-UA"/>
              </w:rPr>
              <w:t>2</w:t>
            </w:r>
            <w:r>
              <w:rPr>
                <w:rFonts w:eastAsia="Cambria Math"/>
                <w:sz w:val="24"/>
                <w:szCs w:val="24"/>
                <w:lang w:val="uk-UA" w:eastAsia="uk-UA"/>
              </w:rPr>
              <w:t>,5-5</w:t>
            </w:r>
          </w:p>
        </w:tc>
        <w:tc>
          <w:tcPr>
            <w:tcW w:w="2409" w:type="dxa"/>
            <w:shd w:val="clear" w:color="auto" w:fill="auto"/>
          </w:tcPr>
          <w:p w:rsidR="00AE154A" w:rsidRDefault="009D54F5">
            <w:pPr>
              <w:tabs>
                <w:tab w:val="clear" w:pos="567"/>
              </w:tabs>
              <w:spacing w:line="240" w:lineRule="auto"/>
              <w:ind w:firstLine="560"/>
              <w:jc w:val="both"/>
              <w:rPr>
                <w:rFonts w:eastAsia="Cambria Math"/>
                <w:sz w:val="24"/>
                <w:szCs w:val="24"/>
                <w:lang w:val="en-US" w:eastAsia="uk-UA"/>
              </w:rPr>
            </w:pPr>
            <w:r>
              <w:rPr>
                <w:rFonts w:eastAsia="Cambria Math"/>
                <w:sz w:val="24"/>
                <w:szCs w:val="24"/>
                <w:lang w:val="uk-UA" w:eastAsia="uk-UA"/>
              </w:rPr>
              <w:t>0,</w:t>
            </w:r>
            <w:r>
              <w:rPr>
                <w:rFonts w:eastAsia="Cambria Math"/>
                <w:sz w:val="24"/>
                <w:szCs w:val="24"/>
                <w:lang w:val="en-US" w:eastAsia="uk-UA"/>
              </w:rPr>
              <w:t>70</w:t>
            </w:r>
          </w:p>
        </w:tc>
        <w:tc>
          <w:tcPr>
            <w:tcW w:w="2410" w:type="dxa"/>
          </w:tcPr>
          <w:p w:rsidR="00AE154A" w:rsidRDefault="009D54F5">
            <w:pPr>
              <w:tabs>
                <w:tab w:val="clear" w:pos="567"/>
              </w:tabs>
              <w:spacing w:line="240" w:lineRule="auto"/>
              <w:ind w:firstLine="560"/>
              <w:jc w:val="both"/>
              <w:rPr>
                <w:rFonts w:eastAsia="Cambria Math"/>
                <w:sz w:val="24"/>
                <w:szCs w:val="24"/>
                <w:lang w:val="en-US" w:eastAsia="uk-UA"/>
              </w:rPr>
            </w:pPr>
            <w:r>
              <w:rPr>
                <w:rFonts w:eastAsia="Cambria Math"/>
                <w:sz w:val="24"/>
                <w:szCs w:val="24"/>
                <w:lang w:val="uk-UA" w:eastAsia="uk-UA"/>
              </w:rPr>
              <w:t>12-</w:t>
            </w:r>
            <w:r>
              <w:rPr>
                <w:rFonts w:eastAsia="Cambria Math"/>
                <w:sz w:val="24"/>
                <w:szCs w:val="24"/>
                <w:lang w:val="en-US" w:eastAsia="uk-UA"/>
              </w:rPr>
              <w:t>24</w:t>
            </w:r>
          </w:p>
        </w:tc>
        <w:tc>
          <w:tcPr>
            <w:tcW w:w="2410" w:type="dxa"/>
            <w:shd w:val="clear" w:color="auto" w:fill="auto"/>
          </w:tcPr>
          <w:p w:rsidR="00AE154A" w:rsidRDefault="009D54F5">
            <w:pPr>
              <w:tabs>
                <w:tab w:val="clear" w:pos="567"/>
              </w:tabs>
              <w:spacing w:line="240" w:lineRule="auto"/>
              <w:ind w:firstLine="560"/>
              <w:jc w:val="both"/>
              <w:rPr>
                <w:rFonts w:eastAsia="Cambria Math"/>
                <w:sz w:val="24"/>
                <w:szCs w:val="24"/>
                <w:lang w:val="en-US" w:eastAsia="uk-UA"/>
              </w:rPr>
            </w:pPr>
            <w:r>
              <w:rPr>
                <w:rFonts w:eastAsia="Cambria Math"/>
                <w:sz w:val="24"/>
                <w:szCs w:val="24"/>
                <w:lang w:val="uk-UA" w:eastAsia="uk-UA"/>
              </w:rPr>
              <w:t>3-</w:t>
            </w:r>
            <w:r>
              <w:rPr>
                <w:rFonts w:eastAsia="Cambria Math"/>
                <w:sz w:val="24"/>
                <w:szCs w:val="24"/>
                <w:lang w:val="en-US" w:eastAsia="uk-UA"/>
              </w:rPr>
              <w:t>6</w:t>
            </w:r>
          </w:p>
        </w:tc>
      </w:tr>
      <w:bookmarkEnd w:id="3"/>
    </w:tbl>
    <w:p w:rsidR="00AE154A" w:rsidRDefault="00AE154A">
      <w:pPr>
        <w:tabs>
          <w:tab w:val="clear" w:pos="567"/>
        </w:tabs>
        <w:spacing w:line="240" w:lineRule="auto"/>
        <w:ind w:firstLine="560"/>
        <w:jc w:val="both"/>
        <w:rPr>
          <w:rFonts w:eastAsia="Cambria Math"/>
          <w:sz w:val="24"/>
          <w:szCs w:val="24"/>
          <w:lang w:val="uk-UA" w:eastAsia="uk-UA"/>
        </w:rPr>
      </w:pPr>
    </w:p>
    <w:p w:rsidR="00AE154A" w:rsidRDefault="009D54F5">
      <w:pPr>
        <w:tabs>
          <w:tab w:val="clear" w:pos="567"/>
        </w:tabs>
        <w:spacing w:line="240" w:lineRule="auto"/>
        <w:ind w:firstLine="560"/>
        <w:jc w:val="both"/>
        <w:rPr>
          <w:rFonts w:eastAsia="Cambria Math"/>
          <w:sz w:val="24"/>
          <w:szCs w:val="24"/>
          <w:lang w:val="ru-RU" w:eastAsia="uk-UA"/>
        </w:rPr>
      </w:pPr>
      <w:r>
        <w:rPr>
          <w:rFonts w:eastAsia="Cambria Math"/>
          <w:sz w:val="24"/>
          <w:szCs w:val="24"/>
          <w:lang w:val="uk-UA" w:eastAsia="uk-UA"/>
        </w:rPr>
        <w:t xml:space="preserve">Для лікування круглих та стьожкових червів ефективним є разове нанесення за курс лікування. </w:t>
      </w:r>
    </w:p>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t xml:space="preserve">Для лікування маток з метою профілактики лактогенної передачі </w:t>
      </w:r>
      <w:r>
        <w:rPr>
          <w:rFonts w:eastAsia="Cambria Math"/>
          <w:i/>
          <w:iCs/>
          <w:sz w:val="24"/>
          <w:szCs w:val="24"/>
          <w:lang w:val="uk-UA" w:eastAsia="uk-UA"/>
        </w:rPr>
        <w:t>Toxocara cati</w:t>
      </w:r>
      <w:r>
        <w:rPr>
          <w:rFonts w:eastAsia="Cambria Math"/>
          <w:sz w:val="24"/>
          <w:szCs w:val="24"/>
          <w:lang w:val="uk-UA" w:eastAsia="uk-UA"/>
        </w:rPr>
        <w:t xml:space="preserve"> (личинки L3) потомству ефективним є разове нанесення за одну обробку приблизно за 7 днів до очікуваної дати пологів. </w:t>
      </w:r>
    </w:p>
    <w:p w:rsidR="00AE154A" w:rsidRDefault="009D54F5">
      <w:pPr>
        <w:tabs>
          <w:tab w:val="clear" w:pos="567"/>
        </w:tabs>
        <w:spacing w:line="240" w:lineRule="auto"/>
        <w:ind w:firstLine="560"/>
        <w:jc w:val="both"/>
        <w:rPr>
          <w:rFonts w:eastAsia="Cambria Math"/>
          <w:sz w:val="24"/>
          <w:szCs w:val="24"/>
          <w:u w:val="single"/>
          <w:lang w:val="uk-UA" w:eastAsia="uk-UA"/>
        </w:rPr>
      </w:pPr>
      <w:r>
        <w:rPr>
          <w:rFonts w:eastAsia="Cambria Math"/>
          <w:sz w:val="24"/>
          <w:szCs w:val="24"/>
          <w:u w:val="single"/>
          <w:lang w:val="uk-UA" w:eastAsia="uk-UA"/>
        </w:rPr>
        <w:t xml:space="preserve">Спосіб застосування </w:t>
      </w:r>
    </w:p>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t>Тільки для зовнішнього застосування.</w:t>
      </w:r>
    </w:p>
    <w:p w:rsidR="00AE154A" w:rsidRDefault="009D54F5">
      <w:pPr>
        <w:numPr>
          <w:ilvl w:val="0"/>
          <w:numId w:val="26"/>
        </w:numPr>
        <w:tabs>
          <w:tab w:val="clear" w:pos="567"/>
        </w:tabs>
        <w:spacing w:line="240" w:lineRule="auto"/>
        <w:jc w:val="both"/>
        <w:rPr>
          <w:rFonts w:eastAsia="Cambria Math"/>
          <w:sz w:val="24"/>
          <w:szCs w:val="24"/>
          <w:lang w:val="uk-UA" w:eastAsia="uk-UA"/>
        </w:rPr>
      </w:pPr>
      <w:r>
        <w:rPr>
          <w:rFonts w:eastAsia="Cambria Math"/>
          <w:sz w:val="24"/>
          <w:szCs w:val="24"/>
          <w:lang w:val="uk-UA" w:eastAsia="uk-UA"/>
        </w:rPr>
        <w:t xml:space="preserve">Витягніть одну піпетку з упаковки. Тримайте піпетку у вертикальному положенні, викрутіть і зніміть кришку. </w:t>
      </w:r>
    </w:p>
    <w:p w:rsidR="00AE154A" w:rsidRDefault="009D54F5">
      <w:pPr>
        <w:numPr>
          <w:ilvl w:val="0"/>
          <w:numId w:val="26"/>
        </w:numPr>
        <w:tabs>
          <w:tab w:val="clear" w:pos="567"/>
        </w:tabs>
        <w:spacing w:line="240" w:lineRule="auto"/>
        <w:jc w:val="both"/>
        <w:rPr>
          <w:rFonts w:eastAsia="Cambria Math"/>
          <w:sz w:val="24"/>
          <w:szCs w:val="24"/>
          <w:lang w:val="uk-UA" w:eastAsia="uk-UA"/>
        </w:rPr>
      </w:pPr>
      <w:r>
        <w:rPr>
          <w:rFonts w:eastAsia="Cambria Math"/>
          <w:sz w:val="24"/>
          <w:szCs w:val="24"/>
          <w:lang w:val="uk-UA" w:eastAsia="uk-UA"/>
        </w:rPr>
        <w:t xml:space="preserve">Поверніть кришку і покладіть інший кінець кришки на піпетку. Натисніть і скрутіть кришку, щоб розірвати ізоляційну прокладку, а потім зніміть кришку з піпетки. </w:t>
      </w:r>
    </w:p>
    <w:p w:rsidR="00AE154A" w:rsidRDefault="009D54F5">
      <w:pPr>
        <w:numPr>
          <w:ilvl w:val="0"/>
          <w:numId w:val="26"/>
        </w:numPr>
        <w:tabs>
          <w:tab w:val="clear" w:pos="567"/>
        </w:tabs>
        <w:spacing w:line="240" w:lineRule="auto"/>
        <w:jc w:val="both"/>
        <w:rPr>
          <w:rFonts w:eastAsia="Cambria Math"/>
          <w:sz w:val="24"/>
          <w:szCs w:val="24"/>
          <w:lang w:val="uk-UA" w:eastAsia="uk-UA"/>
        </w:rPr>
      </w:pPr>
      <w:r>
        <w:rPr>
          <w:rFonts w:eastAsia="Cambria Math"/>
          <w:sz w:val="24"/>
          <w:szCs w:val="24"/>
          <w:lang w:val="uk-UA" w:eastAsia="uk-UA"/>
        </w:rPr>
        <w:t>Розділіть хутро на шиї тварини біля основи черепа, поки не буде видно шкіру. Покладіть кінчик піпетки на шкіру і кілька разів стисніть піпетку, щоб видалити її вміст повністю і прямо на шкіру в одному місці. Уникайте контакту між ветеринарним лікарським засобом та вашими пальцями.</w:t>
      </w:r>
    </w:p>
    <w:p w:rsidR="00AE154A" w:rsidRDefault="009D54F5">
      <w:pPr>
        <w:tabs>
          <w:tab w:val="clear" w:pos="567"/>
        </w:tabs>
        <w:spacing w:line="240" w:lineRule="auto"/>
        <w:ind w:firstLine="560"/>
        <w:jc w:val="both"/>
        <w:rPr>
          <w:rFonts w:eastAsia="Cambria Math"/>
          <w:sz w:val="24"/>
          <w:szCs w:val="24"/>
          <w:lang w:val="uk-UA" w:eastAsia="uk-UA"/>
        </w:rPr>
      </w:pP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Pr>
          <w:rFonts w:eastAsia="Cambria Math"/>
          <w:sz w:val="24"/>
          <w:szCs w:val="24"/>
          <w:lang w:val="uk-UA" w:eastAsia="uk-UA"/>
        </w:rPr>
        <w:fldChar w:fldCharType="begin"/>
      </w:r>
      <w:r>
        <w:rPr>
          <w:rFonts w:eastAsia="Cambria Math"/>
          <w:sz w:val="24"/>
          <w:szCs w:val="24"/>
          <w:lang w:val="uk-UA" w:eastAsia="uk-UA"/>
        </w:rPr>
        <w:instrText xml:space="preserve"> INCLUDEPICTURE  "cid:image002.png@01DB97DB.69748EC0" \* MERGEFORMATINET </w:instrText>
      </w:r>
      <w:r>
        <w:rPr>
          <w:rFonts w:eastAsia="Cambria Math"/>
          <w:sz w:val="24"/>
          <w:szCs w:val="24"/>
          <w:lang w:val="uk-UA" w:eastAsia="uk-UA"/>
        </w:rPr>
        <w:fldChar w:fldCharType="separate"/>
      </w:r>
      <w:r w:rsidR="00863982">
        <w:rPr>
          <w:rFonts w:eastAsia="Cambria Math"/>
          <w:sz w:val="24"/>
          <w:szCs w:val="24"/>
          <w:lang w:val="uk-UA" w:eastAsia="uk-UA"/>
        </w:rPr>
        <w:fldChar w:fldCharType="begin"/>
      </w:r>
      <w:r w:rsidR="00863982">
        <w:rPr>
          <w:rFonts w:eastAsia="Cambria Math"/>
          <w:sz w:val="24"/>
          <w:szCs w:val="24"/>
          <w:lang w:val="uk-UA" w:eastAsia="uk-UA"/>
        </w:rPr>
        <w:instrText xml:space="preserve"> </w:instrText>
      </w:r>
      <w:r w:rsidR="00863982">
        <w:rPr>
          <w:rFonts w:eastAsia="Cambria Math"/>
          <w:sz w:val="24"/>
          <w:szCs w:val="24"/>
          <w:lang w:val="uk-UA" w:eastAsia="uk-UA"/>
        </w:rPr>
        <w:instrText>INCLUDEPICTURE  "cid:image002.png@01DB97DB.69748EC0" \* MERGEFORMATINET</w:instrText>
      </w:r>
      <w:r w:rsidR="00863982">
        <w:rPr>
          <w:rFonts w:eastAsia="Cambria Math"/>
          <w:sz w:val="24"/>
          <w:szCs w:val="24"/>
          <w:lang w:val="uk-UA" w:eastAsia="uk-UA"/>
        </w:rPr>
        <w:instrText xml:space="preserve"> </w:instrText>
      </w:r>
      <w:r w:rsidR="00863982">
        <w:rPr>
          <w:rFonts w:eastAsia="Cambria Math"/>
          <w:sz w:val="24"/>
          <w:szCs w:val="24"/>
          <w:lang w:val="uk-UA" w:eastAsia="uk-UA"/>
        </w:rPr>
        <w:fldChar w:fldCharType="separate"/>
      </w:r>
      <w:r w:rsidR="00863982">
        <w:rPr>
          <w:rFonts w:eastAsia="Cambria Math"/>
          <w:sz w:val="24"/>
          <w:szCs w:val="24"/>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04.25pt;visibility:visible">
            <v:imagedata r:id="rId7" r:href="rId8"/>
          </v:shape>
        </w:pict>
      </w:r>
      <w:r w:rsidR="00863982">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r>
        <w:rPr>
          <w:rFonts w:eastAsia="Cambria Math"/>
          <w:sz w:val="24"/>
          <w:szCs w:val="24"/>
          <w:lang w:val="uk-UA" w:eastAsia="uk-UA"/>
        </w:rPr>
        <w:fldChar w:fldCharType="end"/>
      </w:r>
    </w:p>
    <w:p w:rsidR="00AE154A" w:rsidRDefault="009D54F5">
      <w:pPr>
        <w:tabs>
          <w:tab w:val="clear" w:pos="567"/>
        </w:tabs>
        <w:spacing w:line="240" w:lineRule="auto"/>
        <w:ind w:firstLine="560"/>
        <w:jc w:val="both"/>
        <w:rPr>
          <w:rFonts w:eastAsia="Cambria Math"/>
          <w:snapToGrid w:val="0"/>
          <w:sz w:val="24"/>
          <w:szCs w:val="24"/>
          <w:lang w:val="uk-UA" w:eastAsia="uk-UA"/>
        </w:rPr>
      </w:pPr>
      <w:r>
        <w:rPr>
          <w:rFonts w:eastAsia="Cambria Math"/>
          <w:sz w:val="24"/>
          <w:szCs w:val="24"/>
          <w:lang w:val="uk-UA"/>
        </w:rPr>
        <w:t>Нанесення біля основи черепа мінімізує можливість злизування ветеринарного лікарського засобу твариною.</w:t>
      </w:r>
      <w:r>
        <w:rPr>
          <w:rFonts w:eastAsia="Cambria Math"/>
          <w:snapToGrid w:val="0"/>
          <w:sz w:val="24"/>
          <w:szCs w:val="24"/>
          <w:lang w:val="uk-UA" w:eastAsia="uk-UA"/>
        </w:rPr>
        <w:t> </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5.9 Передозування (симптоми, невідкладні заходи, антидоти)</w:t>
      </w:r>
    </w:p>
    <w:p w:rsidR="00AE154A" w:rsidRDefault="009D54F5">
      <w:pPr>
        <w:widowControl w:val="0"/>
        <w:tabs>
          <w:tab w:val="clear" w:pos="567"/>
        </w:tabs>
        <w:spacing w:line="240" w:lineRule="auto"/>
        <w:ind w:right="-36" w:firstLine="567"/>
        <w:jc w:val="both"/>
        <w:rPr>
          <w:rFonts w:eastAsia="Cambria Math"/>
          <w:snapToGrid w:val="0"/>
          <w:sz w:val="24"/>
          <w:szCs w:val="24"/>
          <w:lang w:val="uk-UA"/>
        </w:rPr>
      </w:pPr>
      <w:r>
        <w:rPr>
          <w:rFonts w:eastAsia="Cambria Math"/>
          <w:snapToGrid w:val="0"/>
          <w:sz w:val="24"/>
          <w:szCs w:val="24"/>
          <w:lang w:val="uk-UA"/>
        </w:rPr>
        <w:t>Слинотеча, блювота та неврологічні симптоми (тремор) спостерігались тоді, коли ветеринарний лікарський засіб вводили у дозах, що в 10 разів перевищували рекомендовану дозу для дорослих котів та до 5 разів перевищували рекомендовану дозу для кошенят. Ці симптоми можуть виникати в результаті вилизування місця нанесення. Симптоми були повністю оборотними.</w:t>
      </w:r>
    </w:p>
    <w:p w:rsidR="00AE154A" w:rsidRDefault="009D54F5">
      <w:pPr>
        <w:widowControl w:val="0"/>
        <w:tabs>
          <w:tab w:val="clear" w:pos="567"/>
        </w:tabs>
        <w:spacing w:line="240" w:lineRule="auto"/>
        <w:ind w:right="-36" w:firstLine="567"/>
        <w:jc w:val="both"/>
        <w:rPr>
          <w:rFonts w:eastAsia="Cambria Math"/>
          <w:snapToGrid w:val="0"/>
          <w:sz w:val="24"/>
          <w:szCs w:val="24"/>
          <w:lang w:val="uk-UA"/>
        </w:rPr>
      </w:pPr>
      <w:r>
        <w:rPr>
          <w:rFonts w:eastAsia="Cambria Math"/>
          <w:snapToGrid w:val="0"/>
          <w:sz w:val="24"/>
          <w:szCs w:val="24"/>
          <w:lang w:val="uk-UA"/>
        </w:rPr>
        <w:t>Відомого специфічного антидоту не існує.</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ru-RU"/>
        </w:rPr>
        <w:t>5.</w:t>
      </w:r>
      <w:r>
        <w:rPr>
          <w:rFonts w:eastAsia="Cambria Math"/>
          <w:b/>
          <w:snapToGrid w:val="0"/>
          <w:sz w:val="24"/>
          <w:szCs w:val="24"/>
          <w:lang w:val="uk-UA"/>
        </w:rPr>
        <w:t>10</w:t>
      </w:r>
      <w:r>
        <w:rPr>
          <w:rFonts w:eastAsia="Cambria Math"/>
          <w:b/>
          <w:snapToGrid w:val="0"/>
          <w:sz w:val="24"/>
          <w:szCs w:val="24"/>
          <w:lang w:val="ru-RU"/>
        </w:rPr>
        <w:t xml:space="preserve"> Спеціальні застереження</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bookmarkStart w:id="4" w:name="_Hlk196727331"/>
      <w:r>
        <w:rPr>
          <w:rFonts w:eastAsia="Cambria Math"/>
          <w:snapToGrid w:val="0"/>
          <w:sz w:val="24"/>
          <w:szCs w:val="24"/>
          <w:lang w:val="uk-UA"/>
        </w:rPr>
        <w:t xml:space="preserve">Необґрунтоване застосування протипаразитарних засобів або застосування не за показаннями у КХЛЗ може підвищити стійкість та знизити ефективність. Рішення про застосування лікарського засобу має бути засновано на підтвердженні виду паразиту та тягаря або ризику на основі його епідеміологічних особливостей </w:t>
      </w:r>
      <w:r>
        <w:rPr>
          <w:rFonts w:eastAsia="Cambria Math"/>
          <w:snapToGrid w:val="0"/>
          <w:sz w:val="24"/>
          <w:szCs w:val="24"/>
          <w:lang w:val="uk-UA"/>
        </w:rPr>
        <w:lastRenderedPageBreak/>
        <w:t>для кожної окремої тварини.</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За відсутності ризику супутньої інфекції необхідно застосовувати лікарський засіб вузького спектру дії.</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Необхідно враховувати ймовірність того, що інші тварини в одному будинку можуть бути джерелом повторного зараження нематодами та/або цестодами, та їх необхідно лікувати відповідним лікарським засобом.</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 xml:space="preserve">Якщо підтверджено зараження цестодою </w:t>
      </w:r>
      <w:r>
        <w:rPr>
          <w:rFonts w:eastAsia="Cambria Math"/>
          <w:i/>
          <w:iCs/>
          <w:snapToGrid w:val="0"/>
          <w:sz w:val="24"/>
          <w:szCs w:val="24"/>
          <w:lang w:val="uk-UA"/>
        </w:rPr>
        <w:t>Dipylidium caninum,</w:t>
      </w:r>
      <w:r>
        <w:rPr>
          <w:rFonts w:eastAsia="Cambria Math"/>
          <w:snapToGrid w:val="0"/>
          <w:sz w:val="24"/>
          <w:szCs w:val="24"/>
          <w:lang w:val="uk-UA"/>
        </w:rPr>
        <w:t xml:space="preserve"> з ветеринаром необхідно обговорити супутнє лікування для профілактики проміжних хазяїв, таких як блохи та воші, з метою запобігання повторному зараженню.</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 xml:space="preserve">Паразитостійкість до будь-якого конкретного класу антигельмінтних засобів може розвинутись після частого багаторазового застосування антигельмінтних засобів цього класу. </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 xml:space="preserve">Повідомлялось про стійкість </w:t>
      </w:r>
      <w:r>
        <w:rPr>
          <w:rFonts w:eastAsia="Cambria Math"/>
          <w:i/>
          <w:iCs/>
          <w:snapToGrid w:val="0"/>
          <w:sz w:val="24"/>
          <w:szCs w:val="24"/>
          <w:lang w:val="uk-UA"/>
        </w:rPr>
        <w:t>Dipylidium caninum</w:t>
      </w:r>
      <w:r>
        <w:rPr>
          <w:rFonts w:eastAsia="Cambria Math"/>
          <w:snapToGrid w:val="0"/>
          <w:sz w:val="24"/>
          <w:szCs w:val="24"/>
          <w:lang w:val="uk-UA"/>
        </w:rPr>
        <w:t xml:space="preserve"> до празиквантелу у собак.</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При застосуванні цього препарату необхідно враховувати місцеву інформацію про чутливість цільових паразитів, за наявності.</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 xml:space="preserve">Рекомендується досліджувати випадки підозрюваної стійкості за допомогою відповідного методу діагностики. </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Про підтверджену стійкість необхідно повідомити власника реєстраційного посвідчення або уповноважені органи.</w:t>
      </w:r>
    </w:p>
    <w:bookmarkEnd w:id="4"/>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Миття або занурення тварини у воду після лікування може знизити ефективність ветеринарного лікарського засобу. Тому тварин не можна мити до висихання розчину.</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5.11 Період виведення (каренція)</w:t>
      </w:r>
    </w:p>
    <w:p w:rsidR="00AE154A" w:rsidRDefault="009D54F5">
      <w:pPr>
        <w:widowControl w:val="0"/>
        <w:tabs>
          <w:tab w:val="clear" w:pos="567"/>
        </w:tabs>
        <w:spacing w:line="240" w:lineRule="auto"/>
        <w:ind w:right="454" w:firstLine="567"/>
        <w:jc w:val="both"/>
        <w:rPr>
          <w:rFonts w:eastAsia="Cambria Math"/>
          <w:snapToGrid w:val="0"/>
          <w:sz w:val="24"/>
          <w:szCs w:val="24"/>
          <w:lang w:val="uk-UA"/>
        </w:rPr>
      </w:pPr>
      <w:r>
        <w:rPr>
          <w:rFonts w:eastAsia="Cambria Math"/>
          <w:snapToGrid w:val="0"/>
          <w:sz w:val="24"/>
          <w:szCs w:val="24"/>
          <w:lang w:val="uk-UA"/>
        </w:rPr>
        <w:t>Для непродуктивних тварин не визначають.</w:t>
      </w:r>
    </w:p>
    <w:p w:rsidR="00AE154A" w:rsidRDefault="009D54F5">
      <w:pPr>
        <w:tabs>
          <w:tab w:val="clear" w:pos="567"/>
        </w:tabs>
        <w:spacing w:line="240" w:lineRule="auto"/>
        <w:ind w:right="454" w:firstLine="567"/>
        <w:jc w:val="both"/>
        <w:rPr>
          <w:rFonts w:eastAsia="Cambria Math"/>
          <w:b/>
          <w:sz w:val="24"/>
          <w:szCs w:val="24"/>
          <w:lang w:val="uk-UA"/>
        </w:rPr>
      </w:pPr>
      <w:r>
        <w:rPr>
          <w:rFonts w:eastAsia="Cambria Math"/>
          <w:b/>
          <w:sz w:val="24"/>
          <w:szCs w:val="24"/>
          <w:lang w:val="uk-UA"/>
        </w:rPr>
        <w:t>5.12 Спеціальні застереження для осіб і обслуговуючого персоналу</w:t>
      </w:r>
    </w:p>
    <w:p w:rsidR="00AE154A" w:rsidRDefault="009D54F5">
      <w:pPr>
        <w:tabs>
          <w:tab w:val="clear" w:pos="567"/>
        </w:tabs>
        <w:spacing w:line="240" w:lineRule="auto"/>
        <w:ind w:right="-36" w:firstLine="567"/>
        <w:jc w:val="both"/>
        <w:rPr>
          <w:rFonts w:eastAsia="Cambria Math"/>
          <w:sz w:val="24"/>
          <w:szCs w:val="24"/>
          <w:lang w:val="uk-UA"/>
        </w:rPr>
      </w:pPr>
      <w:r>
        <w:rPr>
          <w:rFonts w:eastAsia="Cambria Math"/>
          <w:sz w:val="24"/>
          <w:szCs w:val="24"/>
          <w:lang w:val="uk-UA"/>
        </w:rPr>
        <w:t>Цей ветеринарний лікарський засіб може подразнювати шкіру та очі.</w:t>
      </w:r>
    </w:p>
    <w:p w:rsidR="00AE154A" w:rsidRDefault="009D54F5">
      <w:pPr>
        <w:tabs>
          <w:tab w:val="clear" w:pos="567"/>
        </w:tabs>
        <w:spacing w:line="240" w:lineRule="auto"/>
        <w:ind w:right="-36" w:firstLine="567"/>
        <w:jc w:val="both"/>
        <w:rPr>
          <w:rFonts w:eastAsia="Cambria Math"/>
          <w:sz w:val="24"/>
          <w:szCs w:val="24"/>
          <w:lang w:val="uk-UA"/>
        </w:rPr>
      </w:pPr>
      <w:r>
        <w:rPr>
          <w:rFonts w:eastAsia="Cambria Math"/>
          <w:sz w:val="24"/>
          <w:szCs w:val="24"/>
          <w:lang w:val="uk-UA"/>
        </w:rPr>
        <w:t xml:space="preserve">У разі випадкового потрапляння на шкіру, негайно вимийте шкіру водою з милом. </w:t>
      </w:r>
    </w:p>
    <w:p w:rsidR="00AE154A" w:rsidRDefault="009D54F5">
      <w:pPr>
        <w:tabs>
          <w:tab w:val="clear" w:pos="567"/>
        </w:tabs>
        <w:spacing w:line="240" w:lineRule="auto"/>
        <w:ind w:right="-36" w:firstLine="567"/>
        <w:jc w:val="both"/>
        <w:rPr>
          <w:rFonts w:eastAsia="Cambria Math"/>
          <w:sz w:val="24"/>
          <w:szCs w:val="24"/>
          <w:lang w:val="uk-UA"/>
        </w:rPr>
      </w:pPr>
      <w:r>
        <w:rPr>
          <w:rFonts w:eastAsia="Cambria Math"/>
          <w:sz w:val="24"/>
          <w:szCs w:val="24"/>
          <w:lang w:val="uk-UA"/>
        </w:rPr>
        <w:t xml:space="preserve">Якщо ветеринарний лікарський засіб випадково потрапив в очі, їх слід ретельно промити водою. </w:t>
      </w:r>
    </w:p>
    <w:p w:rsidR="00AE154A" w:rsidRDefault="009D54F5">
      <w:pPr>
        <w:tabs>
          <w:tab w:val="clear" w:pos="567"/>
        </w:tabs>
        <w:spacing w:line="240" w:lineRule="auto"/>
        <w:ind w:right="-36" w:firstLine="567"/>
        <w:jc w:val="both"/>
        <w:rPr>
          <w:rFonts w:eastAsia="Cambria Math"/>
          <w:sz w:val="24"/>
          <w:szCs w:val="24"/>
          <w:lang w:val="uk-UA"/>
        </w:rPr>
      </w:pPr>
      <w:r>
        <w:rPr>
          <w:rFonts w:eastAsia="Cambria Math"/>
          <w:sz w:val="24"/>
          <w:szCs w:val="24"/>
          <w:lang w:val="uk-UA"/>
        </w:rPr>
        <w:t xml:space="preserve">Якщо симптоми з боку шкіри або очей зберігаються, негайно зверніться до лікаря та покажіть йому листок-вкладиш або етикетку. </w:t>
      </w:r>
    </w:p>
    <w:p w:rsidR="00AE154A" w:rsidRDefault="009D54F5">
      <w:pPr>
        <w:tabs>
          <w:tab w:val="clear" w:pos="567"/>
        </w:tabs>
        <w:spacing w:line="240" w:lineRule="auto"/>
        <w:ind w:right="-36" w:firstLine="567"/>
        <w:jc w:val="both"/>
        <w:rPr>
          <w:rFonts w:eastAsia="Cambria Math"/>
          <w:sz w:val="24"/>
          <w:szCs w:val="24"/>
          <w:lang w:val="uk-UA"/>
        </w:rPr>
      </w:pPr>
      <w:r>
        <w:rPr>
          <w:rFonts w:eastAsia="Cambria Math"/>
          <w:sz w:val="24"/>
          <w:szCs w:val="24"/>
          <w:lang w:val="uk-UA"/>
        </w:rPr>
        <w:t>Уникайте прямого контакту з вологим місцем нанесення. Не дозволяйте дітям активно контактувати (наприклад, уві сні) з обробленими котами протягом перших 24 годин після нанесення.</w:t>
      </w:r>
    </w:p>
    <w:p w:rsidR="00AE154A" w:rsidRDefault="009D54F5">
      <w:pPr>
        <w:tabs>
          <w:tab w:val="clear" w:pos="567"/>
        </w:tabs>
        <w:spacing w:line="240" w:lineRule="auto"/>
        <w:ind w:right="-36" w:firstLine="567"/>
        <w:jc w:val="both"/>
        <w:rPr>
          <w:rFonts w:eastAsia="Cambria Math"/>
          <w:sz w:val="24"/>
          <w:szCs w:val="24"/>
          <w:lang w:val="uk-UA"/>
        </w:rPr>
      </w:pPr>
      <w:r>
        <w:rPr>
          <w:rFonts w:eastAsia="Cambria Math"/>
          <w:sz w:val="24"/>
          <w:szCs w:val="24"/>
          <w:lang w:val="uk-UA"/>
        </w:rPr>
        <w:t xml:space="preserve">Не палити, не їсти та не пити під час нанесення. </w:t>
      </w:r>
    </w:p>
    <w:p w:rsidR="00AE154A" w:rsidRDefault="009D54F5">
      <w:pPr>
        <w:tabs>
          <w:tab w:val="clear" w:pos="567"/>
        </w:tabs>
        <w:spacing w:line="240" w:lineRule="auto"/>
        <w:ind w:right="-36" w:firstLine="567"/>
        <w:jc w:val="both"/>
        <w:rPr>
          <w:rFonts w:eastAsia="Cambria Math"/>
          <w:sz w:val="24"/>
          <w:szCs w:val="24"/>
          <w:lang w:val="uk-UA"/>
        </w:rPr>
      </w:pPr>
      <w:r>
        <w:rPr>
          <w:rFonts w:eastAsia="Cambria Math"/>
          <w:sz w:val="24"/>
          <w:szCs w:val="24"/>
          <w:lang w:val="uk-UA"/>
        </w:rPr>
        <w:t>Вимийте руки після використання.</w:t>
      </w:r>
    </w:p>
    <w:p w:rsidR="00AE154A" w:rsidRDefault="009D54F5">
      <w:pPr>
        <w:tabs>
          <w:tab w:val="clear" w:pos="567"/>
        </w:tabs>
        <w:spacing w:line="240" w:lineRule="auto"/>
        <w:ind w:right="-36" w:firstLine="567"/>
        <w:jc w:val="both"/>
        <w:rPr>
          <w:rFonts w:eastAsia="Cambria Math"/>
          <w:sz w:val="24"/>
          <w:szCs w:val="24"/>
          <w:lang w:val="uk-UA"/>
        </w:rPr>
      </w:pPr>
      <w:bookmarkStart w:id="5" w:name="_Hlk158986893"/>
      <w:r>
        <w:rPr>
          <w:rFonts w:eastAsia="Cambria Math"/>
          <w:sz w:val="24"/>
          <w:szCs w:val="24"/>
          <w:lang w:val="uk-UA"/>
        </w:rPr>
        <w:t>Розчинник, що міститься у цьому ветеринарному лікарському засобі, може забарвити певні матеріали, включаючи шкіру, тканини, пластмасу та готові поверхні. Дайте місцю нанесення висохнути, перш ніж дозволити контакт з такими матеріалами.</w:t>
      </w:r>
    </w:p>
    <w:p w:rsidR="00AE154A" w:rsidRDefault="009D54F5">
      <w:pPr>
        <w:tabs>
          <w:tab w:val="clear" w:pos="567"/>
        </w:tabs>
        <w:spacing w:line="240" w:lineRule="auto"/>
        <w:ind w:right="-36" w:firstLine="567"/>
        <w:jc w:val="both"/>
        <w:rPr>
          <w:rFonts w:eastAsia="Cambria Math"/>
          <w:sz w:val="24"/>
          <w:szCs w:val="24"/>
          <w:lang w:val="uk-UA"/>
        </w:rPr>
      </w:pPr>
      <w:r>
        <w:rPr>
          <w:rFonts w:eastAsia="Cambria Math"/>
          <w:sz w:val="24"/>
          <w:szCs w:val="24"/>
          <w:lang w:val="uk-UA"/>
        </w:rPr>
        <w:t>Ехінококоз є небезпечним для людини. Оскільки ехінококоз є захворюванням, про яке необхідно повідомити Всесвітню організацію охорони здоров’я тварин, від відповідних уповноважених органів необхідно отримати спеціальні рекомендації щодо лікування та подальшого спостереження, а також захисту людей.</w:t>
      </w:r>
      <w:bookmarkEnd w:id="5"/>
    </w:p>
    <w:p w:rsidR="00AE154A" w:rsidRDefault="009D54F5">
      <w:pPr>
        <w:tabs>
          <w:tab w:val="clear" w:pos="567"/>
        </w:tabs>
        <w:spacing w:line="240" w:lineRule="auto"/>
        <w:ind w:right="-36" w:firstLine="567"/>
        <w:jc w:val="both"/>
        <w:rPr>
          <w:rFonts w:eastAsia="Cambria Math"/>
          <w:b/>
          <w:snapToGrid w:val="0"/>
          <w:sz w:val="24"/>
          <w:szCs w:val="24"/>
          <w:lang w:val="uk-UA"/>
        </w:rPr>
      </w:pPr>
      <w:r>
        <w:rPr>
          <w:rFonts w:eastAsia="Cambria Math"/>
          <w:b/>
          <w:snapToGrid w:val="0"/>
          <w:sz w:val="24"/>
          <w:szCs w:val="24"/>
          <w:lang w:val="uk-UA"/>
        </w:rPr>
        <w:t>6. Фармацевтичні особливості</w:t>
      </w:r>
    </w:p>
    <w:p w:rsidR="00AE154A" w:rsidRDefault="009D54F5">
      <w:pPr>
        <w:widowControl w:val="0"/>
        <w:tabs>
          <w:tab w:val="clear" w:pos="567"/>
        </w:tabs>
        <w:snapToGrid w:val="0"/>
        <w:spacing w:line="240" w:lineRule="auto"/>
        <w:ind w:right="454" w:firstLine="567"/>
        <w:jc w:val="both"/>
        <w:rPr>
          <w:rFonts w:eastAsia="Cambria Math"/>
          <w:b/>
          <w:sz w:val="24"/>
          <w:szCs w:val="24"/>
          <w:lang w:val="uk-UA" w:eastAsia="ru-RU"/>
        </w:rPr>
      </w:pPr>
      <w:r>
        <w:rPr>
          <w:rFonts w:eastAsia="Cambria Math"/>
          <w:b/>
          <w:sz w:val="24"/>
          <w:szCs w:val="24"/>
          <w:lang w:val="uk-UA" w:eastAsia="ru-RU"/>
        </w:rPr>
        <w:t>6.1 Форми несумісності (основні)</w:t>
      </w:r>
    </w:p>
    <w:p w:rsidR="00AE154A" w:rsidRDefault="009D54F5">
      <w:pPr>
        <w:widowControl w:val="0"/>
        <w:tabs>
          <w:tab w:val="clear" w:pos="567"/>
        </w:tabs>
        <w:snapToGrid w:val="0"/>
        <w:spacing w:line="240" w:lineRule="auto"/>
        <w:ind w:right="454" w:firstLine="567"/>
        <w:jc w:val="both"/>
        <w:rPr>
          <w:rFonts w:eastAsia="Cambria Math"/>
          <w:sz w:val="24"/>
          <w:szCs w:val="24"/>
          <w:lang w:val="uk-UA" w:eastAsia="ru-RU"/>
        </w:rPr>
      </w:pPr>
      <w:r>
        <w:rPr>
          <w:rFonts w:eastAsia="Cambria Math"/>
          <w:sz w:val="24"/>
          <w:szCs w:val="24"/>
          <w:lang w:val="uk-UA" w:eastAsia="ru-RU"/>
        </w:rPr>
        <w:t>Не встановлені.</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6.2 Термін придатності</w:t>
      </w:r>
    </w:p>
    <w:p w:rsidR="00AE154A" w:rsidRDefault="009D54F5">
      <w:pPr>
        <w:widowControl w:val="0"/>
        <w:tabs>
          <w:tab w:val="clear" w:pos="567"/>
        </w:tabs>
        <w:spacing w:line="240" w:lineRule="auto"/>
        <w:ind w:right="-36" w:firstLine="567"/>
        <w:jc w:val="both"/>
        <w:rPr>
          <w:rFonts w:eastAsia="Cambria Math"/>
          <w:snapToGrid w:val="0"/>
          <w:sz w:val="24"/>
          <w:szCs w:val="24"/>
          <w:lang w:val="uk-UA"/>
        </w:rPr>
      </w:pPr>
      <w:r>
        <w:rPr>
          <w:rFonts w:eastAsia="Cambria Math"/>
          <w:snapToGrid w:val="0"/>
          <w:sz w:val="24"/>
          <w:szCs w:val="24"/>
          <w:lang w:val="uk-UA"/>
        </w:rPr>
        <w:t>2</w:t>
      </w:r>
      <w:r>
        <w:rPr>
          <w:rFonts w:eastAsia="Cambria Math"/>
          <w:snapToGrid w:val="0"/>
          <w:sz w:val="24"/>
          <w:szCs w:val="24"/>
          <w:lang w:val="sl-SI"/>
        </w:rPr>
        <w:t xml:space="preserve"> </w:t>
      </w:r>
      <w:r>
        <w:rPr>
          <w:rFonts w:eastAsia="Cambria Math"/>
          <w:snapToGrid w:val="0"/>
          <w:sz w:val="24"/>
          <w:szCs w:val="24"/>
          <w:lang w:val="uk-UA"/>
        </w:rPr>
        <w:t xml:space="preserve">роки. </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6.3 Особливі заходи зберігання</w:t>
      </w:r>
    </w:p>
    <w:p w:rsidR="00AE154A" w:rsidRDefault="009D54F5">
      <w:pPr>
        <w:widowControl w:val="0"/>
        <w:tabs>
          <w:tab w:val="clear" w:pos="567"/>
        </w:tabs>
        <w:spacing w:line="240" w:lineRule="auto"/>
        <w:ind w:right="-36" w:firstLine="560"/>
        <w:jc w:val="both"/>
        <w:rPr>
          <w:rFonts w:eastAsia="Cambria Math"/>
          <w:sz w:val="20"/>
          <w:lang w:val="uk-UA"/>
        </w:rPr>
      </w:pPr>
      <w:r>
        <w:rPr>
          <w:rFonts w:eastAsia="Cambria Math"/>
          <w:sz w:val="24"/>
          <w:szCs w:val="24"/>
          <w:lang w:val="uk-UA"/>
        </w:rPr>
        <w:t xml:space="preserve">Зберігати в оригінальній упаковці для захисту від дії світла та вологи, у недоступному для дітей місці за температури не вище 30 °С. </w:t>
      </w:r>
    </w:p>
    <w:p w:rsidR="00AE154A" w:rsidRDefault="009D54F5">
      <w:pPr>
        <w:widowControl w:val="0"/>
        <w:tabs>
          <w:tab w:val="clear" w:pos="567"/>
        </w:tabs>
        <w:spacing w:line="240" w:lineRule="auto"/>
        <w:ind w:right="454" w:firstLine="567"/>
        <w:jc w:val="both"/>
        <w:rPr>
          <w:rFonts w:eastAsia="Cambria Math"/>
          <w:b/>
          <w:snapToGrid w:val="0"/>
          <w:sz w:val="24"/>
          <w:szCs w:val="24"/>
          <w:lang w:val="uk-UA"/>
        </w:rPr>
      </w:pPr>
      <w:r>
        <w:rPr>
          <w:rFonts w:eastAsia="Cambria Math"/>
          <w:b/>
          <w:snapToGrid w:val="0"/>
          <w:sz w:val="24"/>
          <w:szCs w:val="24"/>
          <w:lang w:val="uk-UA"/>
        </w:rPr>
        <w:t>6.4 Природа і склад контейнера первинного пакування</w:t>
      </w:r>
    </w:p>
    <w:p w:rsidR="00AE154A" w:rsidRDefault="009D54F5">
      <w:pPr>
        <w:widowControl w:val="0"/>
        <w:tabs>
          <w:tab w:val="clear" w:pos="567"/>
        </w:tabs>
        <w:snapToGrid w:val="0"/>
        <w:spacing w:line="240" w:lineRule="auto"/>
        <w:ind w:right="-36" w:firstLine="567"/>
        <w:jc w:val="both"/>
        <w:rPr>
          <w:rFonts w:eastAsia="Cambria Math"/>
          <w:sz w:val="24"/>
          <w:szCs w:val="24"/>
          <w:lang w:val="uk-UA" w:eastAsia="ru-RU"/>
        </w:rPr>
      </w:pPr>
      <w:r>
        <w:rPr>
          <w:rFonts w:eastAsia="Cambria Math"/>
          <w:sz w:val="24"/>
          <w:szCs w:val="24"/>
          <w:lang w:val="uk-UA" w:eastAsia="ru-RU"/>
        </w:rPr>
        <w:lastRenderedPageBreak/>
        <w:t xml:space="preserve">Однодозова піпетка з поліпропілену білого кольору з кришкою з поліетилену високої щільності, упакована у багатошаровий алюмінієвий пакет. </w:t>
      </w:r>
      <w:r>
        <w:rPr>
          <w:rFonts w:eastAsia="Cambria Math"/>
          <w:sz w:val="24"/>
          <w:szCs w:val="24"/>
          <w:lang w:val="uk-UA"/>
        </w:rPr>
        <w:t>Картонна коробка, що містить 1</w:t>
      </w:r>
      <w:r>
        <w:rPr>
          <w:rFonts w:eastAsia="Cambria Math"/>
          <w:sz w:val="24"/>
          <w:szCs w:val="24"/>
          <w:lang w:val="sl-SI"/>
        </w:rPr>
        <w:t xml:space="preserve"> </w:t>
      </w:r>
      <w:bookmarkStart w:id="6" w:name="_GoBack"/>
      <w:bookmarkEnd w:id="6"/>
      <w:r>
        <w:rPr>
          <w:rFonts w:eastAsia="Cambria Math"/>
          <w:sz w:val="24"/>
          <w:szCs w:val="24"/>
          <w:lang w:val="uk-UA"/>
        </w:rPr>
        <w:t xml:space="preserve">піпетку об’ємом </w:t>
      </w:r>
      <w:bookmarkStart w:id="7" w:name="_Hlk202380594"/>
      <w:r>
        <w:rPr>
          <w:rFonts w:eastAsia="Cambria Math"/>
          <w:sz w:val="24"/>
          <w:szCs w:val="24"/>
          <w:lang w:val="uk-UA"/>
        </w:rPr>
        <w:t>0,</w:t>
      </w:r>
      <w:r>
        <w:rPr>
          <w:rFonts w:eastAsia="Cambria Math"/>
          <w:sz w:val="24"/>
          <w:szCs w:val="24"/>
          <w:lang w:val="ru-RU"/>
        </w:rPr>
        <w:t>70</w:t>
      </w:r>
      <w:bookmarkEnd w:id="7"/>
      <w:r>
        <w:rPr>
          <w:rFonts w:eastAsia="Cambria Math"/>
          <w:sz w:val="24"/>
          <w:szCs w:val="24"/>
          <w:lang w:val="uk-UA"/>
        </w:rPr>
        <w:t xml:space="preserve"> мл.</w:t>
      </w:r>
    </w:p>
    <w:p w:rsidR="00AE154A" w:rsidRDefault="009D54F5">
      <w:pPr>
        <w:widowControl w:val="0"/>
        <w:tabs>
          <w:tab w:val="clear" w:pos="567"/>
        </w:tabs>
        <w:snapToGrid w:val="0"/>
        <w:spacing w:line="240" w:lineRule="auto"/>
        <w:ind w:right="-36" w:firstLine="567"/>
        <w:jc w:val="both"/>
        <w:rPr>
          <w:rFonts w:eastAsia="Cambria Math"/>
          <w:b/>
          <w:sz w:val="28"/>
          <w:lang w:val="uk-UA" w:eastAsia="ru-RU"/>
        </w:rPr>
      </w:pPr>
      <w:r>
        <w:rPr>
          <w:rFonts w:eastAsia="Cambria Math"/>
          <w:b/>
          <w:sz w:val="24"/>
          <w:szCs w:val="24"/>
          <w:lang w:val="uk-UA" w:eastAsia="ru-RU"/>
        </w:rPr>
        <w:t>6.5 Особливі заходи безпеки при поводженні з невикористаним препаратом або із його залишками</w:t>
      </w:r>
    </w:p>
    <w:p w:rsidR="00AE154A" w:rsidRDefault="009D54F5">
      <w:pPr>
        <w:widowControl w:val="0"/>
        <w:tabs>
          <w:tab w:val="clear" w:pos="567"/>
        </w:tabs>
        <w:snapToGrid w:val="0"/>
        <w:spacing w:line="240" w:lineRule="auto"/>
        <w:ind w:right="-36" w:firstLine="567"/>
        <w:jc w:val="both"/>
        <w:rPr>
          <w:rFonts w:eastAsia="Cambria Math"/>
          <w:sz w:val="24"/>
          <w:szCs w:val="24"/>
          <w:lang w:val="ru-RU" w:eastAsia="ru-RU"/>
        </w:rPr>
      </w:pPr>
      <w:r>
        <w:rPr>
          <w:rFonts w:eastAsia="Cambria Math"/>
          <w:sz w:val="24"/>
          <w:szCs w:val="24"/>
          <w:lang w:val="uk-UA" w:eastAsia="ru-RU"/>
        </w:rPr>
        <w:t>Невикористаний або протермінований препарат утилізують відповідно до вимог чинного законодавства.</w:t>
      </w:r>
    </w:p>
    <w:p w:rsidR="00AE154A" w:rsidRDefault="009D54F5">
      <w:pPr>
        <w:widowControl w:val="0"/>
        <w:tabs>
          <w:tab w:val="clear" w:pos="567"/>
        </w:tabs>
        <w:snapToGrid w:val="0"/>
        <w:spacing w:line="240" w:lineRule="auto"/>
        <w:ind w:right="454" w:firstLine="567"/>
        <w:jc w:val="both"/>
        <w:rPr>
          <w:rFonts w:eastAsia="Cambria Math"/>
          <w:sz w:val="24"/>
          <w:szCs w:val="24"/>
          <w:lang w:val="ru-RU" w:eastAsia="ru-RU"/>
        </w:rPr>
      </w:pPr>
      <w:r>
        <w:rPr>
          <w:rFonts w:eastAsia="Cambria Math"/>
          <w:b/>
          <w:sz w:val="24"/>
          <w:szCs w:val="24"/>
          <w:lang w:val="uk-UA" w:eastAsia="ru-RU"/>
        </w:rPr>
        <w:t>7. Назва і місце знаходження власника реєстраційного посвідчення</w:t>
      </w:r>
    </w:p>
    <w:tbl>
      <w:tblPr>
        <w:tblW w:w="0" w:type="dxa"/>
        <w:tblLayout w:type="fixed"/>
        <w:tblLook w:val="00A0" w:firstRow="1" w:lastRow="0" w:firstColumn="1" w:lastColumn="0" w:noHBand="0" w:noVBand="0"/>
      </w:tblPr>
      <w:tblGrid>
        <w:gridCol w:w="5067"/>
        <w:gridCol w:w="5148"/>
      </w:tblGrid>
      <w:tr w:rsidR="00AE154A">
        <w:tc>
          <w:tcPr>
            <w:tcW w:w="5067" w:type="dxa"/>
          </w:tcPr>
          <w:p w:rsidR="00AE154A" w:rsidRDefault="009D54F5">
            <w:pPr>
              <w:tabs>
                <w:tab w:val="clear" w:pos="567"/>
              </w:tabs>
              <w:spacing w:line="240" w:lineRule="auto"/>
              <w:rPr>
                <w:rFonts w:eastAsia="Cambria Math"/>
                <w:sz w:val="24"/>
                <w:szCs w:val="24"/>
                <w:lang w:val="ru-RU"/>
              </w:rPr>
            </w:pPr>
            <w:r>
              <w:rPr>
                <w:rFonts w:eastAsia="Cambria Math"/>
                <w:sz w:val="24"/>
                <w:szCs w:val="24"/>
                <w:lang w:val="uk-UA"/>
              </w:rPr>
              <w:t>КРКА, д.д., Ново место</w:t>
            </w:r>
          </w:p>
          <w:p w:rsidR="00AE154A" w:rsidRDefault="009D54F5">
            <w:pPr>
              <w:tabs>
                <w:tab w:val="clear" w:pos="567"/>
              </w:tabs>
              <w:spacing w:line="240" w:lineRule="auto"/>
              <w:rPr>
                <w:rFonts w:eastAsia="Cambria Math"/>
                <w:sz w:val="24"/>
                <w:szCs w:val="24"/>
                <w:lang w:val="uk-UA"/>
              </w:rPr>
            </w:pPr>
            <w:r>
              <w:rPr>
                <w:rFonts w:eastAsia="Cambria Math"/>
                <w:sz w:val="24"/>
                <w:szCs w:val="24"/>
                <w:lang w:val="ru-RU"/>
              </w:rPr>
              <w:t>Шмар'єшка цеста 6, 8501 Ново место</w:t>
            </w:r>
            <w:r>
              <w:rPr>
                <w:rFonts w:eastAsia="Cambria Math"/>
                <w:sz w:val="24"/>
                <w:szCs w:val="24"/>
                <w:lang w:val="uk-UA"/>
              </w:rPr>
              <w:t>, Словенія</w:t>
            </w:r>
          </w:p>
        </w:tc>
        <w:tc>
          <w:tcPr>
            <w:tcW w:w="5148" w:type="dxa"/>
          </w:tcPr>
          <w:p w:rsidR="00AE154A" w:rsidRDefault="009D54F5">
            <w:pPr>
              <w:tabs>
                <w:tab w:val="clear" w:pos="567"/>
              </w:tabs>
              <w:spacing w:line="240" w:lineRule="auto"/>
              <w:rPr>
                <w:rFonts w:eastAsia="Cambria Math"/>
                <w:sz w:val="24"/>
                <w:szCs w:val="24"/>
                <w:lang w:val="es-ES"/>
              </w:rPr>
            </w:pPr>
            <w:r>
              <w:rPr>
                <w:rFonts w:eastAsia="Cambria Math"/>
                <w:sz w:val="24"/>
                <w:szCs w:val="24"/>
                <w:lang w:val="uk-UA"/>
              </w:rPr>
              <w:t>КRKA, d.d., Novo mesto</w:t>
            </w:r>
            <w:r>
              <w:rPr>
                <w:rFonts w:eastAsia="Cambria Math"/>
                <w:sz w:val="24"/>
                <w:szCs w:val="24"/>
                <w:lang w:val="es-ES"/>
              </w:rPr>
              <w:t xml:space="preserve"> </w:t>
            </w:r>
          </w:p>
          <w:p w:rsidR="00AE154A" w:rsidRDefault="009D54F5">
            <w:pPr>
              <w:tabs>
                <w:tab w:val="clear" w:pos="567"/>
              </w:tabs>
              <w:spacing w:line="240" w:lineRule="auto"/>
              <w:rPr>
                <w:rFonts w:eastAsia="Cambria Math"/>
                <w:sz w:val="24"/>
                <w:szCs w:val="24"/>
                <w:lang w:val="en-US"/>
              </w:rPr>
            </w:pPr>
            <w:r>
              <w:rPr>
                <w:rFonts w:eastAsia="Cambria Math"/>
                <w:sz w:val="24"/>
                <w:szCs w:val="24"/>
                <w:lang w:val="es-ES"/>
              </w:rPr>
              <w:t>Šmarješka cesta 6, 8501 Novo mesto</w:t>
            </w:r>
            <w:r>
              <w:rPr>
                <w:rFonts w:eastAsia="Cambria Math"/>
                <w:sz w:val="24"/>
                <w:szCs w:val="24"/>
                <w:lang w:val="uk-UA"/>
              </w:rPr>
              <w:t xml:space="preserve">, </w:t>
            </w:r>
            <w:r>
              <w:rPr>
                <w:rFonts w:eastAsia="Cambria Math"/>
                <w:sz w:val="24"/>
                <w:szCs w:val="24"/>
                <w:lang w:val="es-ES"/>
              </w:rPr>
              <w:t>Slovenia</w:t>
            </w:r>
          </w:p>
        </w:tc>
      </w:tr>
    </w:tbl>
    <w:p w:rsidR="00AE154A" w:rsidRDefault="009D54F5">
      <w:pPr>
        <w:tabs>
          <w:tab w:val="clear" w:pos="567"/>
        </w:tabs>
        <w:spacing w:line="240" w:lineRule="auto"/>
        <w:ind w:right="454" w:firstLine="567"/>
        <w:jc w:val="both"/>
        <w:rPr>
          <w:rFonts w:eastAsia="Cambria Math"/>
          <w:b/>
          <w:sz w:val="24"/>
          <w:szCs w:val="24"/>
          <w:lang w:val="en-US"/>
        </w:rPr>
      </w:pPr>
      <w:r>
        <w:rPr>
          <w:rFonts w:eastAsia="Cambria Math"/>
          <w:b/>
          <w:sz w:val="24"/>
          <w:szCs w:val="24"/>
          <w:lang w:val="uk-UA"/>
        </w:rPr>
        <w:t>8. Назва і місце знаходження виробника</w:t>
      </w:r>
    </w:p>
    <w:tbl>
      <w:tblPr>
        <w:tblW w:w="10200" w:type="dxa"/>
        <w:tblInd w:w="8" w:type="dxa"/>
        <w:tblLayout w:type="fixed"/>
        <w:tblLook w:val="00A0" w:firstRow="1" w:lastRow="0" w:firstColumn="1" w:lastColumn="0" w:noHBand="0" w:noVBand="0"/>
      </w:tblPr>
      <w:tblGrid>
        <w:gridCol w:w="5100"/>
        <w:gridCol w:w="5100"/>
      </w:tblGrid>
      <w:tr w:rsidR="00AE154A">
        <w:trPr>
          <w:trHeight w:val="261"/>
        </w:trPr>
        <w:tc>
          <w:tcPr>
            <w:tcW w:w="5100" w:type="dxa"/>
          </w:tcPr>
          <w:p w:rsidR="00AE154A" w:rsidRDefault="009D54F5">
            <w:pPr>
              <w:tabs>
                <w:tab w:val="clear" w:pos="567"/>
              </w:tabs>
              <w:spacing w:line="240" w:lineRule="auto"/>
              <w:rPr>
                <w:rFonts w:eastAsia="Cambria Math"/>
                <w:sz w:val="24"/>
                <w:szCs w:val="24"/>
                <w:lang w:val="ru-RU"/>
              </w:rPr>
            </w:pPr>
            <w:r>
              <w:rPr>
                <w:rFonts w:eastAsia="Cambria Math"/>
                <w:sz w:val="24"/>
                <w:szCs w:val="24"/>
                <w:lang w:val="uk-UA"/>
              </w:rPr>
              <w:t>КРКА, д.д., Ново место</w:t>
            </w:r>
          </w:p>
          <w:p w:rsidR="00AE154A" w:rsidRDefault="009D54F5">
            <w:pPr>
              <w:tabs>
                <w:tab w:val="clear" w:pos="567"/>
              </w:tabs>
              <w:spacing w:line="240" w:lineRule="auto"/>
              <w:jc w:val="both"/>
              <w:rPr>
                <w:rFonts w:eastAsia="Cambria Math"/>
                <w:b/>
                <w:sz w:val="24"/>
                <w:szCs w:val="24"/>
                <w:lang w:val="ru-RU"/>
              </w:rPr>
            </w:pPr>
            <w:r>
              <w:rPr>
                <w:rFonts w:eastAsia="Cambria Math"/>
                <w:sz w:val="24"/>
                <w:szCs w:val="24"/>
                <w:lang w:val="ru-RU"/>
              </w:rPr>
              <w:t>Шмар'єшка цеста 6, 8501 Ново место</w:t>
            </w:r>
            <w:r>
              <w:rPr>
                <w:rFonts w:eastAsia="Cambria Math"/>
                <w:sz w:val="24"/>
                <w:szCs w:val="24"/>
                <w:lang w:val="uk-UA"/>
              </w:rPr>
              <w:t>, Словенія</w:t>
            </w:r>
          </w:p>
        </w:tc>
        <w:tc>
          <w:tcPr>
            <w:tcW w:w="5100" w:type="dxa"/>
          </w:tcPr>
          <w:p w:rsidR="00AE154A" w:rsidRDefault="009D54F5">
            <w:pPr>
              <w:tabs>
                <w:tab w:val="clear" w:pos="567"/>
              </w:tabs>
              <w:spacing w:line="240" w:lineRule="auto"/>
              <w:rPr>
                <w:rFonts w:eastAsia="Cambria Math"/>
                <w:sz w:val="24"/>
                <w:szCs w:val="24"/>
                <w:lang w:val="es-ES"/>
              </w:rPr>
            </w:pPr>
            <w:r>
              <w:rPr>
                <w:rFonts w:eastAsia="Cambria Math"/>
                <w:sz w:val="24"/>
                <w:szCs w:val="24"/>
                <w:lang w:val="uk-UA"/>
              </w:rPr>
              <w:t>КRKA, d.d., Novo mesto</w:t>
            </w:r>
            <w:r>
              <w:rPr>
                <w:rFonts w:eastAsia="Cambria Math"/>
                <w:sz w:val="24"/>
                <w:szCs w:val="24"/>
                <w:lang w:val="es-ES"/>
              </w:rPr>
              <w:t xml:space="preserve"> </w:t>
            </w:r>
          </w:p>
          <w:p w:rsidR="00AE154A" w:rsidRDefault="009D54F5">
            <w:pPr>
              <w:tabs>
                <w:tab w:val="clear" w:pos="567"/>
              </w:tabs>
              <w:spacing w:line="240" w:lineRule="auto"/>
              <w:rPr>
                <w:rFonts w:eastAsia="Cambria Math"/>
                <w:sz w:val="24"/>
                <w:szCs w:val="24"/>
                <w:lang w:val="uk-UA"/>
              </w:rPr>
            </w:pPr>
            <w:r>
              <w:rPr>
                <w:rFonts w:eastAsia="Cambria Math"/>
                <w:sz w:val="24"/>
                <w:szCs w:val="24"/>
                <w:lang w:val="es-ES"/>
              </w:rPr>
              <w:t>Šmarješka cesta 6, 8501 Novo mesto</w:t>
            </w:r>
            <w:r>
              <w:rPr>
                <w:rFonts w:eastAsia="Cambria Math"/>
                <w:sz w:val="24"/>
                <w:szCs w:val="24"/>
                <w:lang w:val="uk-UA"/>
              </w:rPr>
              <w:t xml:space="preserve">, </w:t>
            </w:r>
            <w:r>
              <w:rPr>
                <w:rFonts w:eastAsia="Cambria Math"/>
                <w:sz w:val="24"/>
                <w:szCs w:val="24"/>
                <w:lang w:val="es-ES"/>
              </w:rPr>
              <w:t>Slovenia</w:t>
            </w:r>
          </w:p>
          <w:p w:rsidR="00AE154A" w:rsidRDefault="00AE154A">
            <w:pPr>
              <w:tabs>
                <w:tab w:val="clear" w:pos="567"/>
              </w:tabs>
              <w:spacing w:line="240" w:lineRule="auto"/>
              <w:rPr>
                <w:rFonts w:eastAsia="Cambria Math"/>
                <w:sz w:val="24"/>
                <w:szCs w:val="24"/>
                <w:lang w:val="sl-SI"/>
              </w:rPr>
            </w:pPr>
          </w:p>
        </w:tc>
      </w:tr>
    </w:tbl>
    <w:p w:rsidR="00AE154A" w:rsidRDefault="00AE154A">
      <w:pPr>
        <w:tabs>
          <w:tab w:val="clear" w:pos="567"/>
        </w:tabs>
        <w:spacing w:line="240" w:lineRule="auto"/>
        <w:jc w:val="center"/>
        <w:rPr>
          <w:rFonts w:eastAsia="Cambria Math"/>
          <w:sz w:val="20"/>
          <w:lang w:val="uk-UA"/>
        </w:rPr>
      </w:pPr>
    </w:p>
    <w:p w:rsidR="00AE154A" w:rsidRDefault="00AE154A"/>
    <w:sectPr w:rsidR="00AE154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54A" w:rsidRDefault="009D54F5">
      <w:pPr>
        <w:spacing w:line="240" w:lineRule="auto"/>
      </w:pPr>
      <w:r>
        <w:separator/>
      </w:r>
    </w:p>
  </w:endnote>
  <w:endnote w:type="continuationSeparator" w:id="0">
    <w:p w:rsidR="00AE154A" w:rsidRDefault="009D5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SAPGUI-Belize-Icons">
    <w:altName w:val="Cambria Math"/>
    <w:charset w:val="00"/>
    <w:family w:val="auto"/>
    <w:pitch w:val="variable"/>
    <w:sig w:usb0="00000003" w:usb1="1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4A" w:rsidRDefault="00AE15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4A" w:rsidRDefault="009D54F5">
    <w:pPr>
      <w:pStyle w:val="a3"/>
      <w:tabs>
        <w:tab w:val="right" w:pos="8931"/>
      </w:tabs>
      <w:ind w:right="96"/>
      <w:jc w:val="center"/>
    </w:pPr>
    <w:r>
      <w:fldChar w:fldCharType="begin"/>
    </w:r>
    <w:r>
      <w:instrText xml:space="preserve"> EQ </w:instrText>
    </w:r>
    <w:r>
      <w:fldChar w:fldCharType="end"/>
    </w:r>
    <w:r>
      <w:rPr>
        <w:rStyle w:val="a5"/>
        <w:rFonts w:cs="Arial"/>
      </w:rPr>
      <w:fldChar w:fldCharType="begin"/>
    </w:r>
    <w:r>
      <w:rPr>
        <w:rStyle w:val="a5"/>
        <w:rFonts w:cs="Arial"/>
      </w:rPr>
      <w:instrText xml:space="preserve">PAGE  </w:instrText>
    </w:r>
    <w:r>
      <w:rPr>
        <w:rStyle w:val="a5"/>
        <w:rFonts w:cs="Arial"/>
      </w:rPr>
      <w:fldChar w:fldCharType="separate"/>
    </w:r>
    <w:r w:rsidR="00863982">
      <w:rPr>
        <w:rStyle w:val="a5"/>
        <w:rFonts w:cs="Arial"/>
      </w:rPr>
      <w:t>3</w:t>
    </w:r>
    <w:r>
      <w:rPr>
        <w:rStyle w:val="a5"/>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4A" w:rsidRDefault="009D54F5">
    <w:pPr>
      <w:pStyle w:val="a3"/>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54A" w:rsidRDefault="009D54F5">
      <w:pPr>
        <w:spacing w:line="240" w:lineRule="auto"/>
      </w:pPr>
      <w:r>
        <w:separator/>
      </w:r>
    </w:p>
  </w:footnote>
  <w:footnote w:type="continuationSeparator" w:id="0">
    <w:p w:rsidR="00AE154A" w:rsidRDefault="009D54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4A" w:rsidRDefault="00AE154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4A" w:rsidRDefault="00AE154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54A" w:rsidRDefault="00AE154A">
    <w:pPr>
      <w:pStyle w:val="a4"/>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4263F"/>
    <w:multiLevelType w:val="hybridMultilevel"/>
    <w:tmpl w:val="9148084A"/>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5"/>
  </w:num>
  <w:num w:numId="6">
    <w:abstractNumId w:val="12"/>
  </w:num>
  <w:num w:numId="7">
    <w:abstractNumId w:val="7"/>
  </w:num>
  <w:num w:numId="8">
    <w:abstractNumId w:val="9"/>
  </w:num>
  <w:num w:numId="9">
    <w:abstractNumId w:val="20"/>
  </w:num>
  <w:num w:numId="10">
    <w:abstractNumId w:val="1"/>
  </w:num>
  <w:num w:numId="11">
    <w:abstractNumId w:val="17"/>
  </w:num>
  <w:num w:numId="12">
    <w:abstractNumId w:val="8"/>
  </w:num>
  <w:num w:numId="13">
    <w:abstractNumId w:val="5"/>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18"/>
  </w:num>
  <w:num w:numId="17">
    <w:abstractNumId w:val="10"/>
  </w:num>
  <w:num w:numId="18">
    <w:abstractNumId w:val="11"/>
  </w:num>
  <w:num w:numId="19">
    <w:abstractNumId w:val="21"/>
  </w:num>
  <w:num w:numId="20">
    <w:abstractNumId w:val="13"/>
  </w:num>
  <w:num w:numId="21">
    <w:abstractNumId w:val="19"/>
  </w:num>
  <w:num w:numId="22">
    <w:abstractNumId w:val="16"/>
  </w:num>
  <w:num w:numId="23">
    <w:abstractNumId w:val="6"/>
  </w:num>
  <w:num w:numId="24">
    <w:abstractNumId w:val="19"/>
  </w:num>
  <w:num w:numId="25">
    <w:abstractNumId w:val="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AE154A"/>
    <w:rsid w:val="00863982"/>
    <w:rsid w:val="009D54F5"/>
    <w:rsid w:val="00AE1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BCDF2E5-0F99-4F38-9F6B-1ED28855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567"/>
      </w:tabs>
      <w:spacing w:line="260" w:lineRule="exact"/>
    </w:pPr>
    <w:rPr>
      <w:rFonts w:eastAsia="Times New Roman"/>
      <w:sz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8306"/>
      </w:tabs>
    </w:pPr>
    <w:rPr>
      <w:rFonts w:ascii="Arial" w:hAnsi="Arial"/>
      <w:noProof/>
      <w:sz w:val="16"/>
    </w:rPr>
  </w:style>
  <w:style w:type="paragraph" w:styleId="a4">
    <w:name w:val="header"/>
    <w:basedOn w:val="a"/>
    <w:pPr>
      <w:tabs>
        <w:tab w:val="center" w:pos="4153"/>
        <w:tab w:val="right" w:pos="8306"/>
      </w:tabs>
    </w:pPr>
    <w:rPr>
      <w:rFonts w:ascii="Arial" w:hAnsi="Arial"/>
      <w:sz w:val="20"/>
    </w:rPr>
  </w:style>
  <w:style w:type="paragraph" w:customStyle="1" w:styleId="MemoHeaderStyle">
    <w:name w:val="MemoHeaderStyle"/>
    <w:basedOn w:val="a"/>
    <w:next w:val="a"/>
    <w:pPr>
      <w:spacing w:line="120" w:lineRule="atLeast"/>
      <w:ind w:left="1418"/>
      <w:jc w:val="both"/>
    </w:pPr>
    <w:rPr>
      <w:rFonts w:ascii="Arial" w:hAnsi="Arial"/>
      <w:b/>
      <w:smallCaps/>
    </w:rPr>
  </w:style>
  <w:style w:type="character" w:styleId="a5">
    <w:name w:val="page number"/>
    <w:basedOn w:val="a0"/>
  </w:style>
  <w:style w:type="paragraph" w:styleId="a6">
    <w:name w:val="Body Text"/>
    <w:basedOn w:val="a"/>
    <w:pPr>
      <w:tabs>
        <w:tab w:val="clear" w:pos="567"/>
      </w:tabs>
      <w:spacing w:line="240" w:lineRule="auto"/>
    </w:pPr>
    <w:rPr>
      <w:i/>
      <w:color w:val="008000"/>
    </w:rPr>
  </w:style>
  <w:style w:type="paragraph" w:styleId="a7">
    <w:name w:val="annotation text"/>
    <w:basedOn w:val="a"/>
    <w:link w:val="a8"/>
    <w:semiHidden/>
    <w:rPr>
      <w:sz w:val="20"/>
    </w:rPr>
  </w:style>
  <w:style w:type="character" w:styleId="a9">
    <w:name w:val="Hyperlink"/>
    <w:rPr>
      <w:color w:val="0000FF"/>
      <w:u w:val="single"/>
    </w:rPr>
  </w:style>
  <w:style w:type="paragraph" w:customStyle="1" w:styleId="EMEAEnBodyText">
    <w:name w:val="EMEA En Body Text"/>
    <w:basedOn w:val="a"/>
    <w:pPr>
      <w:tabs>
        <w:tab w:val="clear" w:pos="567"/>
      </w:tabs>
      <w:spacing w:before="120" w:after="120" w:line="240" w:lineRule="auto"/>
      <w:jc w:val="both"/>
    </w:pPr>
    <w:rPr>
      <w:lang w:val="en-US"/>
    </w:rPr>
  </w:style>
  <w:style w:type="paragraph" w:styleId="aa">
    <w:name w:val="Balloon Text"/>
    <w:basedOn w:val="a"/>
    <w:semiHidden/>
    <w:rPr>
      <w:rFonts w:ascii="Tahoma" w:hAnsi="Tahoma" w:cs="Tahoma"/>
      <w:sz w:val="16"/>
      <w:szCs w:val="16"/>
    </w:rPr>
  </w:style>
  <w:style w:type="paragraph" w:customStyle="1" w:styleId="BodytextAgency">
    <w:name w:val="Body text (Agency)"/>
    <w:basedOn w:val="a"/>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a"/>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a1"/>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a"/>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ab">
    <w:name w:val="annotation reference"/>
    <w:rPr>
      <w:sz w:val="16"/>
      <w:szCs w:val="16"/>
    </w:rPr>
  </w:style>
  <w:style w:type="paragraph" w:styleId="ac">
    <w:name w:val="annotation subject"/>
    <w:basedOn w:val="a7"/>
    <w:next w:val="a7"/>
    <w:link w:val="ad"/>
    <w:rPr>
      <w:b/>
      <w:bCs/>
    </w:rPr>
  </w:style>
  <w:style w:type="character" w:customStyle="1" w:styleId="a8">
    <w:name w:val="Текст примечания Знак"/>
    <w:link w:val="a7"/>
    <w:semiHidden/>
    <w:rPr>
      <w:rFonts w:eastAsia="Times New Roman"/>
      <w:lang w:eastAsia="en-US"/>
    </w:rPr>
  </w:style>
  <w:style w:type="character" w:customStyle="1" w:styleId="ad">
    <w:name w:val="Тема примечания Знак"/>
    <w:link w:val="ac"/>
    <w:rPr>
      <w:rFonts w:eastAsia="Times New Roman"/>
      <w:b/>
      <w:bCs/>
      <w:lang w:eastAsia="en-US"/>
    </w:rPr>
  </w:style>
  <w:style w:type="paragraph" w:styleId="ae">
    <w:name w:val="Revision"/>
    <w:hidden/>
    <w:uiPriority w:val="99"/>
    <w:semiHidden/>
    <w:rPr>
      <w:rFonts w:eastAsia="Times New Roman"/>
      <w:sz w:val="22"/>
      <w:lang w:val="en-GB" w:eastAsia="en-US"/>
    </w:rPr>
  </w:style>
  <w:style w:type="paragraph" w:styleId="3">
    <w:name w:val="Body Text Indent 3"/>
    <w:basedOn w:val="a"/>
    <w:link w:val="30"/>
    <w:pPr>
      <w:spacing w:after="120"/>
      <w:ind w:left="283"/>
    </w:pPr>
    <w:rPr>
      <w:sz w:val="16"/>
      <w:szCs w:val="16"/>
    </w:rPr>
  </w:style>
  <w:style w:type="character" w:customStyle="1" w:styleId="30">
    <w:name w:val="Основной текст с отступом 3 Знак"/>
    <w:link w:val="3"/>
    <w:rPr>
      <w:rFonts w:eastAsia="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cid:image002.png@01DB97DB.69748EC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1891</Words>
  <Characters>10781</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Hqrdtemplateclean_en</vt:lpstr>
      <vt:lpstr>Hqrdtemplatecleanen v10.1</vt:lpstr>
    </vt:vector>
  </TitlesOfParts>
  <Company/>
  <LinksUpToDate>false</LinksUpToDate>
  <CharactersWithSpaces>12647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Vasyl</cp:lastModifiedBy>
  <cp:revision>31</cp:revision>
  <dcterms:created xsi:type="dcterms:W3CDTF">2019-04-02T15:23:00Z</dcterms:created>
  <dcterms:modified xsi:type="dcterms:W3CDTF">2025-11-21T14:41:00Z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