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AB91C" w14:textId="77777777" w:rsidR="00011E9C" w:rsidRPr="00C82E71" w:rsidRDefault="00011E9C" w:rsidP="00011E9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Додаток 1</w:t>
      </w:r>
    </w:p>
    <w:p w14:paraId="5AAC4C79" w14:textId="77777777" w:rsidR="00011E9C" w:rsidRPr="00C82E71" w:rsidRDefault="00011E9C" w:rsidP="00011E9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 реєстраційного посвідчення АВ-01653-01-10</w:t>
      </w:r>
    </w:p>
    <w:p w14:paraId="67396B61" w14:textId="77777777" w:rsidR="00011E9C" w:rsidRPr="00C82E71" w:rsidRDefault="00011E9C" w:rsidP="00011E9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FEADFA" w14:textId="77777777" w:rsidR="00011E9C" w:rsidRPr="00C82E71" w:rsidRDefault="00011E9C" w:rsidP="00011E9C">
      <w:pPr>
        <w:spacing w:before="240"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Коротка характеристика препарату</w:t>
      </w:r>
    </w:p>
    <w:p w14:paraId="2B651881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1. Назва</w:t>
      </w:r>
    </w:p>
    <w:p w14:paraId="6069C7AE" w14:textId="05490E8D" w:rsidR="00011E9C" w:rsidRPr="00C82E71" w:rsidRDefault="00011E9C" w:rsidP="00011E9C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Розчин уротропіну 40%</w:t>
      </w:r>
    </w:p>
    <w:p w14:paraId="551E4E9A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2. Склад</w:t>
      </w:r>
    </w:p>
    <w:p w14:paraId="06BA5579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мл препарату містить діючу речовину (мг):</w:t>
      </w:r>
    </w:p>
    <w:p w14:paraId="356DA92C" w14:textId="77777777" w:rsidR="00011E9C" w:rsidRPr="00C82E71" w:rsidRDefault="00011E9C" w:rsidP="00011E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</w:pP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гексаметилентетрамін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 (уротропін) – 400,0.</w:t>
      </w:r>
    </w:p>
    <w:p w14:paraId="4AFFC8E3" w14:textId="77777777" w:rsidR="00011E9C" w:rsidRPr="00C82E71" w:rsidRDefault="00011E9C" w:rsidP="00011E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Допоміжна речовина: вода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високоочищена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.</w:t>
      </w:r>
    </w:p>
    <w:p w14:paraId="51CA8661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3. Фармацевтична форма</w:t>
      </w:r>
    </w:p>
    <w:p w14:paraId="61920FE0" w14:textId="401A6B42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Розчин для ін’єкцій</w:t>
      </w: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B780002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Фармакологічні властивості</w:t>
      </w:r>
    </w:p>
    <w:p w14:paraId="123088A5" w14:textId="1BA02053" w:rsidR="00561A07" w:rsidRPr="00C82E71" w:rsidRDefault="00561A07" w:rsidP="00561A0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АТС </w:t>
      </w:r>
      <w:proofErr w:type="spellStart"/>
      <w:r w:rsidRPr="00C82E7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vet</w:t>
      </w:r>
      <w:proofErr w:type="spellEnd"/>
      <w:r w:rsidRPr="00C82E7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класифікаційний  код: </w:t>
      </w:r>
      <w:r w:rsidRPr="00C82E71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n-US"/>
          <w14:ligatures w14:val="none"/>
        </w:rPr>
        <w:t>QJ</w:t>
      </w:r>
      <w:r w:rsidRPr="00C82E7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01Х</w:t>
      </w:r>
      <w:r w:rsidRPr="00C82E71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n-US"/>
          <w14:ligatures w14:val="none"/>
        </w:rPr>
        <w:t>X</w:t>
      </w:r>
      <w:r w:rsidRPr="00C82E7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- Інші протимікробні ветеринарні препарати.</w:t>
      </w:r>
      <w:r w:rsidRPr="00C82E71">
        <w:rPr>
          <w:rFonts w:ascii="Calibri" w:eastAsia="Calibri" w:hAnsi="Calibri" w:cs="Times New Roman"/>
          <w:i/>
          <w:kern w:val="0"/>
          <w14:ligatures w14:val="none"/>
        </w:rPr>
        <w:t xml:space="preserve"> </w:t>
      </w:r>
    </w:p>
    <w:p w14:paraId="57CE1422" w14:textId="77777777" w:rsidR="00BA082F" w:rsidRPr="00C82E71" w:rsidRDefault="00BA082F" w:rsidP="00BA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Гексаметилентетрамін</w:t>
      </w:r>
      <w:proofErr w:type="spellEnd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(уротропін) проявляє антимікробну, антитоксичну та сечогінну дії, яка проявляється через його розклад в нейтральному або слабо кислому середовищі з вивільненням формальдегіду та аміаку. Формальдегід призводить до денатурації бактеріальних білків, що забезпечує антимікробний ефект. Аміак діє помірно </w:t>
      </w:r>
      <w:proofErr w:type="spellStart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сечогінно</w:t>
      </w:r>
      <w:proofErr w:type="spellEnd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та знижує бар’єрну активність клітинних мембран, завдяки чому, при загальних токсичних процесах, отруйні речовини порівняно легко поступають у кров і виводяться із організму. Максимальна дія спостерігається в нирках і сечовидільних шляхах.</w:t>
      </w:r>
    </w:p>
    <w:p w14:paraId="17E74EB2" w14:textId="1124AE68" w:rsidR="00BA082F" w:rsidRPr="00C82E71" w:rsidRDefault="003332D3" w:rsidP="00BA082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Times New Roman" w:hAnsi="Times New Roman"/>
          <w:kern w:val="0"/>
          <w:sz w:val="24"/>
          <w:szCs w:val="24"/>
        </w:rPr>
        <w:t xml:space="preserve">Після внутрішньовенного введення концентрація </w:t>
      </w:r>
      <w:proofErr w:type="spellStart"/>
      <w:r w:rsidRPr="00C82E71">
        <w:rPr>
          <w:rFonts w:ascii="Times New Roman" w:eastAsia="Times New Roman" w:hAnsi="Times New Roman"/>
          <w:kern w:val="0"/>
          <w:sz w:val="24"/>
          <w:szCs w:val="24"/>
        </w:rPr>
        <w:t>г</w:t>
      </w:r>
      <w:r w:rsidRPr="00C82E71">
        <w:rPr>
          <w:rFonts w:ascii="Times New Roman" w:hAnsi="Times New Roman"/>
          <w:kern w:val="0"/>
          <w:sz w:val="24"/>
          <w:szCs w:val="24"/>
        </w:rPr>
        <w:t>ексаметилентетраміну</w:t>
      </w:r>
      <w:proofErr w:type="spellEnd"/>
      <w:r w:rsidRPr="00C82E71">
        <w:rPr>
          <w:rFonts w:ascii="Times New Roman" w:eastAsia="Times New Roman" w:hAnsi="Times New Roman"/>
          <w:kern w:val="0"/>
          <w:sz w:val="24"/>
          <w:szCs w:val="24"/>
        </w:rPr>
        <w:t xml:space="preserve"> в плазмі крові демонструє </w:t>
      </w:r>
      <w:proofErr w:type="spellStart"/>
      <w:r w:rsidRPr="00C82E71">
        <w:rPr>
          <w:rFonts w:ascii="Times New Roman" w:eastAsia="Times New Roman" w:hAnsi="Times New Roman"/>
          <w:kern w:val="0"/>
          <w:sz w:val="24"/>
          <w:szCs w:val="24"/>
        </w:rPr>
        <w:t>моноекспоненціальне</w:t>
      </w:r>
      <w:proofErr w:type="spellEnd"/>
      <w:r w:rsidRPr="00C82E71">
        <w:rPr>
          <w:rFonts w:ascii="Times New Roman" w:eastAsia="Times New Roman" w:hAnsi="Times New Roman"/>
          <w:kern w:val="0"/>
          <w:sz w:val="24"/>
          <w:szCs w:val="24"/>
        </w:rPr>
        <w:t xml:space="preserve"> зниження з періодом </w:t>
      </w:r>
      <w:proofErr w:type="spellStart"/>
      <w:r w:rsidRPr="00C82E71">
        <w:rPr>
          <w:rFonts w:ascii="Times New Roman" w:eastAsia="Times New Roman" w:hAnsi="Times New Roman"/>
          <w:kern w:val="0"/>
          <w:sz w:val="24"/>
          <w:szCs w:val="24"/>
        </w:rPr>
        <w:t>напіввиведення</w:t>
      </w:r>
      <w:proofErr w:type="spellEnd"/>
      <w:r w:rsidRPr="00C82E71">
        <w:rPr>
          <w:rFonts w:ascii="Times New Roman" w:eastAsia="Times New Roman" w:hAnsi="Times New Roman"/>
          <w:kern w:val="0"/>
          <w:sz w:val="24"/>
          <w:szCs w:val="24"/>
        </w:rPr>
        <w:t xml:space="preserve"> близько 1,3 години. Після перорального введення </w:t>
      </w:r>
      <w:proofErr w:type="spellStart"/>
      <w:r w:rsidRPr="00C82E71">
        <w:rPr>
          <w:rFonts w:ascii="Times New Roman" w:eastAsia="Times New Roman" w:hAnsi="Times New Roman"/>
          <w:kern w:val="0"/>
          <w:sz w:val="24"/>
          <w:szCs w:val="24"/>
        </w:rPr>
        <w:t>г</w:t>
      </w:r>
      <w:r w:rsidRPr="00C82E71">
        <w:rPr>
          <w:rFonts w:ascii="Times New Roman" w:hAnsi="Times New Roman"/>
          <w:kern w:val="0"/>
          <w:sz w:val="24"/>
          <w:szCs w:val="24"/>
        </w:rPr>
        <w:t>ексаметилентетраміну</w:t>
      </w:r>
      <w:proofErr w:type="spellEnd"/>
      <w:r w:rsidRPr="00C82E71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C82E71">
        <w:rPr>
          <w:rFonts w:ascii="Times New Roman" w:eastAsia="Times New Roman" w:hAnsi="Times New Roman"/>
          <w:kern w:val="0"/>
          <w:sz w:val="24"/>
          <w:szCs w:val="24"/>
        </w:rPr>
        <w:t>T</w:t>
      </w:r>
      <w:r w:rsidRPr="00C82E71">
        <w:rPr>
          <w:rFonts w:ascii="Times New Roman" w:eastAsia="Times New Roman" w:hAnsi="Times New Roman"/>
          <w:kern w:val="0"/>
          <w:sz w:val="24"/>
          <w:szCs w:val="24"/>
          <w:vertAlign w:val="subscript"/>
        </w:rPr>
        <w:t>max</w:t>
      </w:r>
      <w:proofErr w:type="spellEnd"/>
      <w:r w:rsidRPr="00C82E71">
        <w:rPr>
          <w:rFonts w:ascii="Times New Roman" w:eastAsia="Times New Roman" w:hAnsi="Times New Roman"/>
          <w:kern w:val="0"/>
          <w:sz w:val="24"/>
          <w:szCs w:val="24"/>
        </w:rPr>
        <w:t xml:space="preserve"> становить в середньому 0,47 години, а </w:t>
      </w:r>
      <w:proofErr w:type="spellStart"/>
      <w:r w:rsidRPr="00C82E71">
        <w:rPr>
          <w:rFonts w:ascii="Times New Roman" w:eastAsia="Times New Roman" w:hAnsi="Times New Roman"/>
          <w:kern w:val="0"/>
          <w:sz w:val="24"/>
          <w:szCs w:val="24"/>
        </w:rPr>
        <w:t>біодоступність</w:t>
      </w:r>
      <w:proofErr w:type="spellEnd"/>
      <w:r w:rsidRPr="00C82E71">
        <w:rPr>
          <w:rFonts w:ascii="Times New Roman" w:eastAsia="Times New Roman" w:hAnsi="Times New Roman"/>
          <w:kern w:val="0"/>
          <w:sz w:val="24"/>
          <w:szCs w:val="24"/>
        </w:rPr>
        <w:t xml:space="preserve"> – 89,93%. </w:t>
      </w:r>
      <w:r w:rsidRPr="00C82E71">
        <w:rPr>
          <w:rFonts w:ascii="Times New Roman" w:hAnsi="Times New Roman"/>
          <w:kern w:val="0"/>
          <w:sz w:val="24"/>
          <w:szCs w:val="24"/>
        </w:rPr>
        <w:t>Уротропін починає виводитися з організму з сечею через 40-60 хвилин</w:t>
      </w:r>
      <w:r w:rsidRPr="00C82E71">
        <w:rPr>
          <w:rFonts w:ascii="Times New Roman" w:hAnsi="Times New Roman"/>
          <w:kern w:val="0"/>
        </w:rPr>
        <w:t xml:space="preserve"> </w:t>
      </w:r>
      <w:r w:rsidRPr="00C82E71">
        <w:rPr>
          <w:rFonts w:ascii="Times New Roman" w:hAnsi="Times New Roman"/>
          <w:kern w:val="0"/>
          <w:sz w:val="24"/>
          <w:szCs w:val="24"/>
        </w:rPr>
        <w:t>після введення препарату і процес триває впродовж 6-12 годин</w:t>
      </w:r>
      <w:r w:rsidRPr="00C82E71">
        <w:rPr>
          <w:rFonts w:ascii="Times New Roman" w:eastAsia="Times New Roman" w:hAnsi="Times New Roman"/>
          <w:kern w:val="0"/>
          <w:sz w:val="24"/>
          <w:szCs w:val="24"/>
        </w:rPr>
        <w:t>.</w:t>
      </w:r>
    </w:p>
    <w:p w14:paraId="097C0122" w14:textId="1FC2BD2F" w:rsidR="007402F0" w:rsidRPr="00C82E71" w:rsidRDefault="00BA082F" w:rsidP="00BA082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Після перорального застосування уротропін піддається гідролізу та утворює формальдегід. Гідроліз відбувається найшвидше при відносно низькому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(наприклад, у шлунку та сечі).  Уротропін швидко всмоктується з кишкового тракту та виводиться, здебільшого, у незміненому вигляді з сечею. Може проходити через плаценту та виявляється в навколоплідних водах та молоці. Період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напіввиведення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 плазми становить 4 години. Приблизно 10-30% пероральної дози уротропіну перетворюється на формальдегід у шлунку.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5-6 забезпечує пікову концентрацію формальдегіду в сечі.</w:t>
      </w:r>
    </w:p>
    <w:p w14:paraId="2FE5D620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Клінічні особливості</w:t>
      </w:r>
    </w:p>
    <w:p w14:paraId="1F544605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5.1 Вид тварин</w:t>
      </w:r>
    </w:p>
    <w:p w14:paraId="7F0EF0B9" w14:textId="1F4E3B72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="0051243B"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портивні коні</w:t>
      </w:r>
      <w:r w:rsidR="00F27335" w:rsidRPr="00C82E7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 декоративна птиця</w:t>
      </w:r>
      <w:r w:rsidR="00185075"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(голуби)</w:t>
      </w: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B35F146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5.2 Показання до застосування</w:t>
      </w:r>
    </w:p>
    <w:p w14:paraId="5F76053C" w14:textId="1BF08B9A" w:rsidR="00011E9C" w:rsidRPr="00C82E71" w:rsidRDefault="0051243B" w:rsidP="00011E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Спортивним коням та декоративній птиці як антисептичний засіб за інфекційних процесів сечовивідних шляхів (циститі, пієліті), холециститі, а також при отруєнні, токсикоінфекції, запаленні м’язів та суглобів</w:t>
      </w:r>
      <w:r w:rsidR="00011E9C"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DB3C3E9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5.3 Протипоказання</w:t>
      </w:r>
    </w:p>
    <w:p w14:paraId="62D446CA" w14:textId="6B33E65C" w:rsidR="00185075" w:rsidRPr="00C82E71" w:rsidRDefault="00185075" w:rsidP="001850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Підвищена чутливість до діючої речовини, зневоднення організму, недостатність печінки і/або нирок, період вагітності.</w:t>
      </w:r>
    </w:p>
    <w:p w14:paraId="481FDC0E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5.4 Побічна дія</w:t>
      </w:r>
    </w:p>
    <w:p w14:paraId="0949E898" w14:textId="77777777" w:rsidR="00011E9C" w:rsidRPr="00C82E71" w:rsidRDefault="00011E9C" w:rsidP="00011E9C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Відсутня.</w:t>
      </w:r>
    </w:p>
    <w:p w14:paraId="736CCB15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5.5 Особливі застереження при використанні</w:t>
      </w:r>
    </w:p>
    <w:p w14:paraId="2523FAC1" w14:textId="14DA4F5B" w:rsidR="00716489" w:rsidRPr="00C82E71" w:rsidRDefault="00716489" w:rsidP="007164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При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внутрішьовенному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введені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препарат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попередньо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нагрівають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до 36-38</w:t>
      </w:r>
      <w:proofErr w:type="gram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°С</w:t>
      </w:r>
      <w:proofErr w:type="gram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водяній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бані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3D932889" w14:textId="5EBA6F31" w:rsidR="00011E9C" w:rsidRPr="00C82E71" w:rsidRDefault="00716489" w:rsidP="0071648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="00011E9C"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5.6 Використання під час вагітності, лактації, несучості</w:t>
      </w:r>
    </w:p>
    <w:p w14:paraId="5186EF87" w14:textId="78F7A0E7" w:rsidR="00011E9C" w:rsidRPr="00C82E71" w:rsidRDefault="00185075" w:rsidP="00011E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 використовувати під час вагітності.</w:t>
      </w:r>
    </w:p>
    <w:p w14:paraId="409FED21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5.7 Взаємодія з іншими засобами або інші форми взаємодії</w:t>
      </w:r>
    </w:p>
    <w:p w14:paraId="463DD9D5" w14:textId="77777777" w:rsidR="00185075" w:rsidRPr="00C82E71" w:rsidRDefault="00185075" w:rsidP="001850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 поєднанні з такими ліками, як </w:t>
      </w:r>
      <w:proofErr w:type="spellStart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антациди</w:t>
      </w:r>
      <w:proofErr w:type="spellEnd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гідрокарбонат натрію і </w:t>
      </w:r>
      <w:proofErr w:type="spellStart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тіазидні</w:t>
      </w:r>
      <w:proofErr w:type="spellEnd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діуретики</w:t>
      </w:r>
      <w:proofErr w:type="spellEnd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можливе зниження результату.</w:t>
      </w:r>
    </w:p>
    <w:p w14:paraId="2DD52D05" w14:textId="4A7FCEA9" w:rsidR="00A34B64" w:rsidRDefault="003332D3" w:rsidP="00185075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</w:rPr>
      </w:pPr>
      <w:r w:rsidRPr="00C82E71">
        <w:rPr>
          <w:rFonts w:ascii="Times New Roman" w:hAnsi="Times New Roman"/>
          <w:kern w:val="0"/>
          <w:sz w:val="24"/>
          <w:szCs w:val="24"/>
        </w:rPr>
        <w:t xml:space="preserve">Не вводити одночасно з </w:t>
      </w:r>
      <w:proofErr w:type="spellStart"/>
      <w:r w:rsidRPr="00C82E71">
        <w:rPr>
          <w:rFonts w:ascii="Times New Roman" w:hAnsi="Times New Roman"/>
          <w:kern w:val="0"/>
          <w:sz w:val="24"/>
          <w:szCs w:val="24"/>
        </w:rPr>
        <w:t>сульф</w:t>
      </w:r>
      <w:r w:rsidR="007A7359">
        <w:rPr>
          <w:rFonts w:ascii="Times New Roman" w:hAnsi="Times New Roman"/>
          <w:kern w:val="0"/>
          <w:sz w:val="24"/>
          <w:szCs w:val="24"/>
        </w:rPr>
        <w:t>о</w:t>
      </w:r>
      <w:r w:rsidRPr="00C82E71">
        <w:rPr>
          <w:rFonts w:ascii="Times New Roman" w:hAnsi="Times New Roman"/>
          <w:kern w:val="0"/>
          <w:sz w:val="24"/>
          <w:szCs w:val="24"/>
        </w:rPr>
        <w:t>намідами</w:t>
      </w:r>
      <w:proofErr w:type="spellEnd"/>
      <w:r w:rsidRPr="00C82E71">
        <w:rPr>
          <w:rFonts w:ascii="Times New Roman" w:hAnsi="Times New Roman"/>
          <w:kern w:val="0"/>
          <w:sz w:val="24"/>
          <w:szCs w:val="24"/>
        </w:rPr>
        <w:t xml:space="preserve">, оскільки це може утворювати </w:t>
      </w:r>
      <w:proofErr w:type="spellStart"/>
      <w:r w:rsidRPr="00C82E71">
        <w:rPr>
          <w:rFonts w:ascii="Times New Roman" w:hAnsi="Times New Roman"/>
          <w:kern w:val="0"/>
          <w:sz w:val="24"/>
          <w:szCs w:val="24"/>
        </w:rPr>
        <w:t>формальдегід-сульф</w:t>
      </w:r>
      <w:proofErr w:type="spellEnd"/>
      <w:r w:rsidRPr="00C82E71">
        <w:rPr>
          <w:rFonts w:ascii="Times New Roman" w:hAnsi="Times New Roman"/>
          <w:kern w:val="0"/>
          <w:sz w:val="24"/>
          <w:szCs w:val="24"/>
          <w:lang w:val="ru-RU"/>
        </w:rPr>
        <w:t>о</w:t>
      </w:r>
      <w:proofErr w:type="spellStart"/>
      <w:r w:rsidRPr="00C82E71">
        <w:rPr>
          <w:rFonts w:ascii="Times New Roman" w:hAnsi="Times New Roman"/>
          <w:kern w:val="0"/>
          <w:sz w:val="24"/>
          <w:szCs w:val="24"/>
        </w:rPr>
        <w:t>намідні</w:t>
      </w:r>
      <w:proofErr w:type="spellEnd"/>
      <w:r w:rsidRPr="00C82E71">
        <w:rPr>
          <w:rFonts w:ascii="Times New Roman" w:hAnsi="Times New Roman"/>
          <w:kern w:val="0"/>
          <w:sz w:val="24"/>
          <w:szCs w:val="24"/>
        </w:rPr>
        <w:t xml:space="preserve"> комплекси.</w:t>
      </w:r>
    </w:p>
    <w:p w14:paraId="3B11E222" w14:textId="381D1016" w:rsidR="007A7359" w:rsidRDefault="007A7359" w:rsidP="007A7359">
      <w:pPr>
        <w:spacing w:after="0" w:line="240" w:lineRule="auto"/>
        <w:ind w:firstLine="567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</w:t>
      </w:r>
    </w:p>
    <w:p w14:paraId="4C527CF4" w14:textId="41089592" w:rsidR="008C7BCE" w:rsidRPr="008C7BCE" w:rsidRDefault="008C7BCE" w:rsidP="008C7BC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Продовження д</w:t>
      </w:r>
      <w:r w:rsidRPr="008C7B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одатк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r w:rsidRPr="008C7B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</w:p>
    <w:p w14:paraId="13906BB1" w14:textId="77777777" w:rsidR="008C7BCE" w:rsidRPr="008C7BCE" w:rsidRDefault="008C7BCE" w:rsidP="008C7BCE">
      <w:pPr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C7B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 реєстраційного посвідчення АВ-01653-01-10</w:t>
      </w:r>
    </w:p>
    <w:p w14:paraId="2BA02C20" w14:textId="77777777" w:rsidR="008C7BCE" w:rsidRDefault="008C7BCE" w:rsidP="007A7359">
      <w:pPr>
        <w:spacing w:after="0" w:line="240" w:lineRule="auto"/>
        <w:ind w:firstLine="567"/>
        <w:jc w:val="center"/>
        <w:rPr>
          <w:rFonts w:ascii="Times New Roman" w:hAnsi="Times New Roman"/>
          <w:kern w:val="0"/>
          <w:sz w:val="24"/>
          <w:szCs w:val="24"/>
        </w:rPr>
      </w:pPr>
    </w:p>
    <w:p w14:paraId="3AC9A237" w14:textId="77777777" w:rsidR="008C7BCE" w:rsidRPr="00C82E71" w:rsidRDefault="008C7BCE" w:rsidP="007A735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2E8DD5" w14:textId="77777777" w:rsidR="00BA082F" w:rsidRPr="00C82E71" w:rsidRDefault="00BA082F" w:rsidP="00BA08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5.8 Дози і способи введення тваринам різного віку</w:t>
      </w:r>
    </w:p>
    <w:p w14:paraId="0DDE148F" w14:textId="77777777" w:rsidR="00C82E71" w:rsidRPr="00C82E71" w:rsidRDefault="00C82E71" w:rsidP="00C82E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Спортивні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коні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- 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внутрішньовенно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у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дозі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25-50 мл препарату на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тварину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двічі на добу</w:t>
      </w: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1BC779A9" w14:textId="77777777" w:rsidR="00C82E71" w:rsidRPr="00C82E71" w:rsidRDefault="00C82E71" w:rsidP="00C82E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Тривалість застосування залежить від характеру та тяжкості перебігу захворювання, але не має перевищувати 4 діб.</w:t>
      </w:r>
    </w:p>
    <w:p w14:paraId="4E9300DA" w14:textId="4DF296CA" w:rsidR="00C82E71" w:rsidRPr="00C82E71" w:rsidRDefault="00C82E71" w:rsidP="00C82E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Декоративна</w:t>
      </w:r>
      <w:proofErr w:type="gram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птиця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(голуби) -  перорально </w:t>
      </w:r>
      <w:proofErr w:type="spellStart"/>
      <w:r w:rsidR="00B6288D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тільки</w:t>
      </w:r>
      <w:proofErr w:type="spellEnd"/>
      <w:r w:rsidR="00B6288D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разово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у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дозі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0,1 мл препарату на 1 голову </w:t>
      </w:r>
      <w:proofErr w:type="spellStart"/>
      <w:r w:rsidR="00B6288D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дорослої</w:t>
      </w:r>
      <w:proofErr w:type="spellEnd"/>
      <w:r w:rsidR="00B6288D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="00B6288D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птиці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78949315" w14:textId="77777777" w:rsidR="00C82E71" w:rsidRPr="00C82E71" w:rsidRDefault="00C82E71" w:rsidP="00C82E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За парентерального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введення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препарат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попередньо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proofErr w:type="gram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</w:t>
      </w:r>
      <w:proofErr w:type="gram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ідігрівають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водяній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бані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до </w:t>
      </w:r>
      <w:proofErr w:type="spellStart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температури</w:t>
      </w:r>
      <w:proofErr w:type="spellEnd"/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36-38°С</w:t>
      </w:r>
      <w:r w:rsidRPr="00C82E7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1FEED821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5.9 Передозування (симптоми, невідкладні заходи, антидоти)</w:t>
      </w:r>
    </w:p>
    <w:p w14:paraId="28E63990" w14:textId="77777777" w:rsidR="00011E9C" w:rsidRPr="00C82E71" w:rsidRDefault="00011E9C" w:rsidP="00011E9C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Немає.</w:t>
      </w:r>
    </w:p>
    <w:p w14:paraId="233B1F68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5.10 Спеціальні застереження</w:t>
      </w:r>
    </w:p>
    <w:p w14:paraId="2E30A74F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Немає.</w:t>
      </w:r>
    </w:p>
    <w:p w14:paraId="1B8F42F7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5.11 Період виведення (</w:t>
      </w:r>
      <w:proofErr w:type="spellStart"/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каренції</w:t>
      </w:r>
      <w:proofErr w:type="spellEnd"/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6208B939" w14:textId="7AB30FEC" w:rsidR="00011E9C" w:rsidRPr="00C82E71" w:rsidRDefault="00011E9C" w:rsidP="00011E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Пр</w:t>
      </w:r>
      <w:r w:rsidR="00B804D8"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епарат </w:t>
      </w:r>
      <w:r w:rsidR="00496BC1"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в</w:t>
      </w:r>
      <w:r w:rsidR="00B804D8"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икорист</w:t>
      </w:r>
      <w:r w:rsidR="00496BC1"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овують для не</w:t>
      </w:r>
      <w:r w:rsidR="00B804D8"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продуктивни</w:t>
      </w:r>
      <w:r w:rsidR="00496BC1"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х</w:t>
      </w:r>
      <w:r w:rsidR="00B804D8"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 тварин.</w:t>
      </w:r>
    </w:p>
    <w:p w14:paraId="03B6A218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5.12 Спеціальні застереження для осіб і обслуговуючого персоналу</w:t>
      </w:r>
    </w:p>
    <w:p w14:paraId="107512CB" w14:textId="77777777" w:rsidR="00011E9C" w:rsidRPr="00C82E71" w:rsidRDefault="00011E9C" w:rsidP="00011E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Дотримуватися правил роботи з ветеринарними препаратами.</w:t>
      </w:r>
    </w:p>
    <w:p w14:paraId="765E9F54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Фармацевтичні особливості</w:t>
      </w:r>
    </w:p>
    <w:p w14:paraId="27135274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6.1 Форми несумісності (основні)</w:t>
      </w:r>
    </w:p>
    <w:p w14:paraId="2B4EE636" w14:textId="473EE55A" w:rsidR="00011E9C" w:rsidRPr="00C82E71" w:rsidRDefault="00B804D8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 поєднанні з такими ліками, як </w:t>
      </w:r>
      <w:proofErr w:type="spellStart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антациди</w:t>
      </w:r>
      <w:proofErr w:type="spellEnd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гідрокарбонат натрію і </w:t>
      </w:r>
      <w:proofErr w:type="spellStart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тіазидні</w:t>
      </w:r>
      <w:proofErr w:type="spellEnd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діуретики</w:t>
      </w:r>
      <w:proofErr w:type="spellEnd"/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можливе зниження результату.</w:t>
      </w:r>
    </w:p>
    <w:p w14:paraId="0C05D68D" w14:textId="77777777" w:rsidR="003332D3" w:rsidRPr="00C82E71" w:rsidRDefault="003332D3" w:rsidP="003332D3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</w:rPr>
      </w:pPr>
      <w:r w:rsidRPr="00C82E71">
        <w:rPr>
          <w:rFonts w:ascii="Times New Roman" w:hAnsi="Times New Roman"/>
          <w:kern w:val="0"/>
          <w:sz w:val="24"/>
          <w:szCs w:val="24"/>
        </w:rPr>
        <w:t xml:space="preserve">Не вводити одночасно з </w:t>
      </w:r>
      <w:proofErr w:type="spellStart"/>
      <w:r w:rsidRPr="00C82E71">
        <w:rPr>
          <w:rFonts w:ascii="Times New Roman" w:hAnsi="Times New Roman"/>
          <w:kern w:val="0"/>
          <w:sz w:val="24"/>
          <w:szCs w:val="24"/>
        </w:rPr>
        <w:t>сульфанамідами</w:t>
      </w:r>
      <w:proofErr w:type="spellEnd"/>
      <w:r w:rsidRPr="00C82E71">
        <w:rPr>
          <w:rFonts w:ascii="Times New Roman" w:hAnsi="Times New Roman"/>
          <w:kern w:val="0"/>
          <w:sz w:val="24"/>
          <w:szCs w:val="24"/>
        </w:rPr>
        <w:t xml:space="preserve">, оскільки це може утворювати </w:t>
      </w:r>
      <w:proofErr w:type="spellStart"/>
      <w:r w:rsidRPr="00C82E71">
        <w:rPr>
          <w:rFonts w:ascii="Times New Roman" w:hAnsi="Times New Roman"/>
          <w:kern w:val="0"/>
          <w:sz w:val="24"/>
          <w:szCs w:val="24"/>
        </w:rPr>
        <w:t>формальдегід-сульф</w:t>
      </w:r>
      <w:proofErr w:type="spellEnd"/>
      <w:r w:rsidRPr="00C82E71">
        <w:rPr>
          <w:rFonts w:ascii="Times New Roman" w:hAnsi="Times New Roman"/>
          <w:kern w:val="0"/>
          <w:sz w:val="24"/>
          <w:szCs w:val="24"/>
          <w:lang w:val="ru-RU"/>
        </w:rPr>
        <w:t>о</w:t>
      </w:r>
      <w:proofErr w:type="spellStart"/>
      <w:r w:rsidRPr="00C82E71">
        <w:rPr>
          <w:rFonts w:ascii="Times New Roman" w:hAnsi="Times New Roman"/>
          <w:kern w:val="0"/>
          <w:sz w:val="24"/>
          <w:szCs w:val="24"/>
        </w:rPr>
        <w:t>намідні</w:t>
      </w:r>
      <w:proofErr w:type="spellEnd"/>
      <w:r w:rsidRPr="00C82E71">
        <w:rPr>
          <w:rFonts w:ascii="Times New Roman" w:hAnsi="Times New Roman"/>
          <w:kern w:val="0"/>
          <w:sz w:val="24"/>
          <w:szCs w:val="24"/>
        </w:rPr>
        <w:t xml:space="preserve"> комплекси.</w:t>
      </w:r>
    </w:p>
    <w:p w14:paraId="0CE276B1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6.2 Термін придатності</w:t>
      </w:r>
    </w:p>
    <w:p w14:paraId="66F02C4E" w14:textId="23DB7A95" w:rsidR="00011E9C" w:rsidRPr="00C82E71" w:rsidRDefault="001F408A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011E9C"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роки.</w:t>
      </w:r>
    </w:p>
    <w:p w14:paraId="26E09B88" w14:textId="23A633A9" w:rsidR="00011E9C" w:rsidRPr="00C82E71" w:rsidRDefault="006C7A75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</w:t>
      </w:r>
      <w:r w:rsidR="006E7260"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ісля першого відкриття допускається для використання протягом 24 годин за умови зберігання розчину в холодильнику</w:t>
      </w:r>
      <w:r w:rsidR="00011E9C"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1BB792A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6.3 Особливі заходи безпеки при зберіганні</w:t>
      </w:r>
    </w:p>
    <w:p w14:paraId="6024020B" w14:textId="77478C30" w:rsidR="00011E9C" w:rsidRPr="00C82E71" w:rsidRDefault="00AF5487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Сухе темне, недоступне для дітей місце за температури від 2 до 20 ºС (не допускати замерзання розчину).</w:t>
      </w:r>
    </w:p>
    <w:p w14:paraId="606F4C44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6.4 Природа і склад контейнера первинного пакування</w:t>
      </w:r>
    </w:p>
    <w:p w14:paraId="28CDB89A" w14:textId="2D471F97" w:rsidR="00011E9C" w:rsidRPr="00C82E71" w:rsidRDefault="00315240" w:rsidP="000D06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Скляні флакони по 50, 100 мл, полімерні пакети по 1000 мл</w:t>
      </w:r>
      <w:r w:rsidR="00011E9C" w:rsidRPr="00C82E7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.</w:t>
      </w:r>
    </w:p>
    <w:p w14:paraId="772FB4FF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6.5 Особливі заходи безпеки при поводженні з невикористаним препаратом або із його залишками</w:t>
      </w:r>
    </w:p>
    <w:p w14:paraId="7C3F9EA8" w14:textId="11CBEF9D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Невикористаний препарат, в якого закінчився термін придатності, утилізують</w:t>
      </w:r>
      <w:r w:rsidR="00F66941" w:rsidRPr="00C82E7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відповідно до вимог чинного законодавства</w:t>
      </w:r>
      <w:r w:rsidRPr="00C82E7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FB69555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82E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Назва та місцезнаходження власника реєстраційного посвідчення та виробника</w:t>
      </w:r>
    </w:p>
    <w:p w14:paraId="0A8BB2ED" w14:textId="77777777" w:rsidR="00011E9C" w:rsidRPr="00C82E71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ТОВ</w:t>
      </w:r>
      <w:r w:rsidRPr="00C82E7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"БРОВАФАРМА"</w:t>
      </w:r>
    </w:p>
    <w:p w14:paraId="2C5BE7CB" w14:textId="300AE953" w:rsidR="00011E9C" w:rsidRDefault="00011E9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2E7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б-р Незалежності, 18-а, м. Бровари, Київська обл., 07400, </w:t>
      </w:r>
      <w:r w:rsidR="0047223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Україна</w:t>
      </w:r>
    </w:p>
    <w:p w14:paraId="1BC46C6E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A5E241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E5ADEE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4E66E4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CE1418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E59955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38500F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6424CB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E45551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A9C889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7F0DE1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24503F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14:paraId="5D272719" w14:textId="77777777" w:rsidR="0047223C" w:rsidRDefault="0047223C" w:rsidP="00011E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6B8297" w14:textId="358482AA" w:rsidR="000D06AF" w:rsidRPr="00C82E71" w:rsidRDefault="0047223C" w:rsidP="0047223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sectPr w:rsidR="000D06AF" w:rsidRPr="00C82E71" w:rsidSect="007A73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46"/>
    <w:rsid w:val="00011E9C"/>
    <w:rsid w:val="000D06AF"/>
    <w:rsid w:val="00110A2A"/>
    <w:rsid w:val="00185075"/>
    <w:rsid w:val="001B3CFB"/>
    <w:rsid w:val="001F408A"/>
    <w:rsid w:val="002279FB"/>
    <w:rsid w:val="002B1B6C"/>
    <w:rsid w:val="00315240"/>
    <w:rsid w:val="003332D3"/>
    <w:rsid w:val="003961DE"/>
    <w:rsid w:val="003A1921"/>
    <w:rsid w:val="0047223C"/>
    <w:rsid w:val="00496BC1"/>
    <w:rsid w:val="004B0411"/>
    <w:rsid w:val="004D0477"/>
    <w:rsid w:val="0051243B"/>
    <w:rsid w:val="00561A07"/>
    <w:rsid w:val="006C7A75"/>
    <w:rsid w:val="006E7260"/>
    <w:rsid w:val="00716489"/>
    <w:rsid w:val="0072137D"/>
    <w:rsid w:val="0073722D"/>
    <w:rsid w:val="007402F0"/>
    <w:rsid w:val="007A7359"/>
    <w:rsid w:val="007D557A"/>
    <w:rsid w:val="007F33DF"/>
    <w:rsid w:val="00805B6A"/>
    <w:rsid w:val="008378F4"/>
    <w:rsid w:val="00880526"/>
    <w:rsid w:val="008C7BCE"/>
    <w:rsid w:val="0096077D"/>
    <w:rsid w:val="00A34B64"/>
    <w:rsid w:val="00A84671"/>
    <w:rsid w:val="00AF5487"/>
    <w:rsid w:val="00B14A70"/>
    <w:rsid w:val="00B14B6C"/>
    <w:rsid w:val="00B22AAE"/>
    <w:rsid w:val="00B6288D"/>
    <w:rsid w:val="00B804D8"/>
    <w:rsid w:val="00B94E66"/>
    <w:rsid w:val="00BA082F"/>
    <w:rsid w:val="00BB1A88"/>
    <w:rsid w:val="00BC665D"/>
    <w:rsid w:val="00C32646"/>
    <w:rsid w:val="00C82D97"/>
    <w:rsid w:val="00C82E71"/>
    <w:rsid w:val="00DA5BBE"/>
    <w:rsid w:val="00DC709F"/>
    <w:rsid w:val="00E111B6"/>
    <w:rsid w:val="00E83E3C"/>
    <w:rsid w:val="00EA741D"/>
    <w:rsid w:val="00F27335"/>
    <w:rsid w:val="00F55DA4"/>
    <w:rsid w:val="00F66941"/>
    <w:rsid w:val="00F97F3F"/>
    <w:rsid w:val="00F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9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6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6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6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6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6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2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26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26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26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2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26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2646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BA082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08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082F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A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A0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6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6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6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6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6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2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26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26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26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2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26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2646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BA082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08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082F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A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A0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3098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Кублова</dc:creator>
  <cp:lastModifiedBy>expert_13</cp:lastModifiedBy>
  <cp:revision>7</cp:revision>
  <dcterms:created xsi:type="dcterms:W3CDTF">2025-11-21T06:15:00Z</dcterms:created>
  <dcterms:modified xsi:type="dcterms:W3CDTF">2025-11-21T09:46:00Z</dcterms:modified>
</cp:coreProperties>
</file>