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39D42" w14:textId="77777777" w:rsidR="00C0686F" w:rsidRPr="00431199" w:rsidRDefault="00C0686F" w:rsidP="00431199">
      <w:pPr>
        <w:shd w:val="clear" w:color="auto" w:fill="FFFFFF"/>
        <w:spacing w:after="0"/>
        <w:ind w:firstLine="56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</w:t>
      </w:r>
    </w:p>
    <w:p w14:paraId="0EE4B24A" w14:textId="77777777" w:rsidR="00C0686F" w:rsidRPr="00431199" w:rsidRDefault="00C0686F" w:rsidP="00431199">
      <w:pPr>
        <w:shd w:val="clear" w:color="auto" w:fill="FFFFFF"/>
        <w:spacing w:after="0"/>
        <w:ind w:firstLine="56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реєстраційного посвідчення АВ-09424-01-20</w:t>
      </w:r>
    </w:p>
    <w:p w14:paraId="76987508" w14:textId="77777777" w:rsidR="00C0686F" w:rsidRDefault="00C0686F" w:rsidP="00431199">
      <w:pPr>
        <w:shd w:val="clear" w:color="auto" w:fill="FFFFFF"/>
        <w:spacing w:after="0"/>
        <w:ind w:firstLine="56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22A4701" w14:textId="77777777" w:rsidR="00E70286" w:rsidRPr="00E70286" w:rsidRDefault="00E70286" w:rsidP="00431199">
      <w:pPr>
        <w:shd w:val="clear" w:color="auto" w:fill="FFFFFF"/>
        <w:spacing w:after="0"/>
        <w:ind w:firstLine="56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1CE9DEE" w14:textId="77777777" w:rsidR="00C0686F" w:rsidRPr="00431199" w:rsidRDefault="00C0686F" w:rsidP="00431199">
      <w:pPr>
        <w:spacing w:after="240"/>
        <w:ind w:firstLine="5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Коротка характеристика препарату</w:t>
      </w:r>
    </w:p>
    <w:p w14:paraId="7E8D8E32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1.Назва</w:t>
      </w:r>
    </w:p>
    <w:p w14:paraId="17951318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proofErr w:type="spellStart"/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Аусил</w:t>
      </w:r>
      <w:proofErr w:type="spellEnd"/>
    </w:p>
    <w:p w14:paraId="4D0A4E2B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2.Склад</w:t>
      </w:r>
    </w:p>
    <w:p w14:paraId="1F65A848" w14:textId="77777777" w:rsidR="00C0686F" w:rsidRPr="00431199" w:rsidRDefault="00C0686F" w:rsidP="004311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 г препарату містить діючі речовини: </w:t>
      </w:r>
    </w:p>
    <w:p w14:paraId="19F591C6" w14:textId="77777777" w:rsidR="00C0686F" w:rsidRPr="00431199" w:rsidRDefault="00C0686F" w:rsidP="004311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proofErr w:type="spellStart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неоміцину</w:t>
      </w:r>
      <w:proofErr w:type="spellEnd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сульфат 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— </w:t>
      </w: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3500 МО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;</w:t>
      </w: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14:paraId="7CE61492" w14:textId="77777777" w:rsidR="00C0686F" w:rsidRPr="00431199" w:rsidRDefault="00C0686F" w:rsidP="004311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ністатин 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— </w:t>
      </w: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100 000 МО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;</w:t>
      </w:r>
    </w:p>
    <w:p w14:paraId="3EB5B9E2" w14:textId="77777777" w:rsidR="00E16055" w:rsidRPr="00431199" w:rsidRDefault="00E16055" w:rsidP="004311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proofErr w:type="spellStart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перметрин</w:t>
      </w:r>
      <w:proofErr w:type="spellEnd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— </w:t>
      </w: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10,0 мг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;</w:t>
      </w:r>
    </w:p>
    <w:p w14:paraId="5CA8F256" w14:textId="77777777" w:rsidR="00E16055" w:rsidRPr="00431199" w:rsidRDefault="00E16055" w:rsidP="004311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proofErr w:type="spellStart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триамцинолону</w:t>
      </w:r>
      <w:proofErr w:type="spellEnd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ацетонід</w:t>
      </w:r>
      <w:proofErr w:type="spellEnd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— </w:t>
      </w: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1,0 мг.</w:t>
      </w:r>
    </w:p>
    <w:p w14:paraId="0195BF9C" w14:textId="1292AD24" w:rsidR="00C0686F" w:rsidRPr="00431199" w:rsidRDefault="00E16055" w:rsidP="00431199">
      <w:pPr>
        <w:spacing w:after="0"/>
        <w:ind w:firstLine="560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Допоміжні речовини: 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масло </w:t>
      </w:r>
      <w:r w:rsidR="005A4BF9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вазелінове</w:t>
      </w:r>
      <w:r w:rsidR="00C0686F"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вазелін</w:t>
      </w:r>
      <w:r w:rsidR="00C0686F"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.</w:t>
      </w:r>
    </w:p>
    <w:p w14:paraId="68E464DD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3. Фармацевтична (лікарська) форма</w:t>
      </w:r>
    </w:p>
    <w:p w14:paraId="1CFE5E09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Мазь вушна. </w:t>
      </w:r>
    </w:p>
    <w:p w14:paraId="656A45DA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4. Фармакологічні властивості</w:t>
      </w:r>
    </w:p>
    <w:p w14:paraId="78EB7ADF" w14:textId="77777777" w:rsidR="00AB71EE" w:rsidRPr="00431199" w:rsidRDefault="00AB71EE" w:rsidP="00431199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АТС </w:t>
      </w:r>
      <w:r w:rsidRPr="0043119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uk-UA"/>
        </w:rPr>
        <w:t>v</w:t>
      </w:r>
      <w:proofErr w:type="spellStart"/>
      <w:r w:rsidRPr="0043119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et</w:t>
      </w:r>
      <w:proofErr w:type="spellEnd"/>
      <w:r w:rsidRPr="0043119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 класифікаційний код QS02 - ветеринарні препарати, які застосовують в отології. QS02CA04 - </w:t>
      </w:r>
      <w:proofErr w:type="spellStart"/>
      <w:r w:rsidRPr="0043119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Триамцинолон</w:t>
      </w:r>
      <w:proofErr w:type="spellEnd"/>
      <w:r w:rsidRPr="0043119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 і протимікробні. + Q</w:t>
      </w:r>
      <w:r w:rsidRPr="0043119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uk-UA"/>
        </w:rPr>
        <w:t>P</w:t>
      </w:r>
      <w:r w:rsidRPr="0043119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53</w:t>
      </w:r>
      <w:r w:rsidRPr="0043119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uk-UA"/>
        </w:rPr>
        <w:t>A</w:t>
      </w:r>
      <w:r w:rsidRPr="0043119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C04 – </w:t>
      </w:r>
      <w:proofErr w:type="spellStart"/>
      <w:r w:rsidRPr="0043119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Перметрин</w:t>
      </w:r>
      <w:proofErr w:type="spellEnd"/>
      <w:r w:rsidRPr="0043119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. </w:t>
      </w:r>
    </w:p>
    <w:p w14:paraId="7CD5BFE8" w14:textId="77777777" w:rsidR="00AB71EE" w:rsidRPr="00431199" w:rsidRDefault="00AB71EE" w:rsidP="00431199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Комбінований лікарський засіб для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аурікулярного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(вушного) застосування з антимікробною,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акарицидною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фунгіцидною та протизапальною дією.</w:t>
      </w:r>
    </w:p>
    <w:p w14:paraId="2F303413" w14:textId="77777777" w:rsidR="00AB71EE" w:rsidRPr="00431199" w:rsidRDefault="00AB71EE" w:rsidP="00431199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Неоміцин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— антибіотик із групи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аміноглікозидів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який діє бактерицидно на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грампозитивні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мікроорганізми (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Staphylococcus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spp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Corynebacterium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spp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Bacillus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spp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.)</w:t>
      </w:r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та більшість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грамнегативних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мікроорганізмів (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Escherichia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coli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Klebsiella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spp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Salmonella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spp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Shigella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spp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Proteus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spp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. 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тощо). Проникає через клітинну стінку бактерій, зв'язується зі специфічними білками-рецепторами на рівні 30S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субодиниці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рибосом, порушує утворення комплексу транспортної і матричної РНК, що зупиняє білковий синтез в мікробній клітині.</w:t>
      </w:r>
    </w:p>
    <w:p w14:paraId="674A7C11" w14:textId="77777777" w:rsidR="00AB71EE" w:rsidRPr="00431199" w:rsidRDefault="00AB71EE" w:rsidP="00431199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Ністатин — антибіотик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полієнової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групи з фунгіцидною дією. Ефективний проти патогенних грибів родів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Malassezia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,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Candida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 </w:t>
      </w:r>
      <w:proofErr w:type="spellStart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Aspergillus</w:t>
      </w:r>
      <w:proofErr w:type="spellEnd"/>
      <w:r w:rsidRPr="0043119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.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Зв’язується зі стеринами клітинної мембрани грибів, внаслідок чого мембрана втрачає здатність функціонувати як селективний бар’єр, що призводить до втрати клітиною основних компонентів.</w:t>
      </w:r>
    </w:p>
    <w:p w14:paraId="2F8676BD" w14:textId="77777777" w:rsidR="00AB71EE" w:rsidRPr="00431199" w:rsidRDefault="00AB71EE" w:rsidP="00431199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Перметрин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— синтетичний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піретроїд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акарицидними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 інсектицидними властивостями. Порушує іонну проникність натрієвих каналів та гальмує процеси поляризації (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реполяризації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) мембран нервових клітин </w:t>
      </w:r>
      <w:r w:rsidRPr="00431199">
        <w:rPr>
          <w:rFonts w:ascii="Times New Roman" w:hAnsi="Times New Roman" w:cs="Times New Roman"/>
          <w:sz w:val="24"/>
          <w:szCs w:val="24"/>
          <w:lang w:val="uk-UA" w:eastAsia="ru-RU"/>
        </w:rPr>
        <w:t>кліщів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що призводить до їх паралічу. </w:t>
      </w:r>
      <w:r w:rsidRPr="0043119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Особливо до </w:t>
      </w:r>
      <w:proofErr w:type="spellStart"/>
      <w:r w:rsidRPr="00431199">
        <w:rPr>
          <w:rFonts w:ascii="Times New Roman" w:hAnsi="Times New Roman" w:cs="Times New Roman"/>
          <w:sz w:val="24"/>
          <w:szCs w:val="24"/>
          <w:lang w:val="uk-UA" w:eastAsia="ru-RU"/>
        </w:rPr>
        <w:t>перметрину</w:t>
      </w:r>
      <w:proofErr w:type="spellEnd"/>
      <w:r w:rsidRPr="0043119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чутливі кліщі </w:t>
      </w:r>
      <w:proofErr w:type="spellStart"/>
      <w:r w:rsidRPr="00431199">
        <w:rPr>
          <w:rFonts w:ascii="Times New Roman" w:hAnsi="Times New Roman" w:cs="Times New Roman"/>
          <w:i/>
          <w:sz w:val="24"/>
          <w:szCs w:val="24"/>
          <w:lang w:val="uk-UA" w:eastAsia="ru-RU"/>
        </w:rPr>
        <w:t>Otodectes</w:t>
      </w:r>
      <w:proofErr w:type="spellEnd"/>
      <w:r w:rsidRPr="00431199">
        <w:rPr>
          <w:rFonts w:ascii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431199">
        <w:rPr>
          <w:rFonts w:ascii="Times New Roman" w:hAnsi="Times New Roman" w:cs="Times New Roman"/>
          <w:i/>
          <w:sz w:val="24"/>
          <w:szCs w:val="24"/>
          <w:lang w:val="uk-UA" w:eastAsia="ru-RU"/>
        </w:rPr>
        <w:t>cynotis</w:t>
      </w:r>
      <w:proofErr w:type="spellEnd"/>
      <w:r w:rsidRPr="00431199">
        <w:rPr>
          <w:rFonts w:ascii="Times New Roman" w:hAnsi="Times New Roman" w:cs="Times New Roman"/>
          <w:i/>
          <w:sz w:val="24"/>
          <w:szCs w:val="24"/>
          <w:lang w:val="uk-UA" w:eastAsia="ru-RU"/>
        </w:rPr>
        <w:t>.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7B75833" w14:textId="77777777" w:rsidR="00431199" w:rsidRDefault="00AB71EE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Триамцинолону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ацетонід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— синтетичний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фторвмісний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глюкокортикоїд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 потужною протизапальною, протиалергійною, десенсибілізуючою та заспокійливою дією. Пригнічує активність лейкоцитів і тканинних макрофагів, обмежує міграцію лейкоцитів до вогнищ запалення, знижує здатність макрофагів до фагоцитозу та утворення інтерлейкіну-1. Сприяє стабілізації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лізосомальних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мембран, що зменшує вивільнення протеолітичних ферментів у зоні запалення. Знижує проникність капілярів, спричинену вивільненням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гістаміну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Pr="0043119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 зовнішнього та місцевого застосування терапевтична активність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триамцинолону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обумовлена протизапальною,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протиалергічною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антиексудативною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(завдяки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вазоконстрикторному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ефекту) дією.</w:t>
      </w:r>
    </w:p>
    <w:p w14:paraId="2C368A28" w14:textId="328F1F7A" w:rsidR="00431199" w:rsidRDefault="00431199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 протизапальною активністю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триамцинолону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ацетонід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у 6 разів активніший за гідрокортизон.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Мінералокортикоїдна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активність у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тріамцинолону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ацетоніду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практично відсутня.</w:t>
      </w:r>
    </w:p>
    <w:p w14:paraId="1AF2B5C7" w14:textId="77777777" w:rsidR="00E70286" w:rsidRDefault="00E70286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14:paraId="2B9D2FF9" w14:textId="77777777" w:rsidR="00E70286" w:rsidRPr="00E70286" w:rsidRDefault="00E70286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14:paraId="4BFFE0CD" w14:textId="77777777" w:rsidR="00431199" w:rsidRPr="00431199" w:rsidRDefault="00431199" w:rsidP="00431199">
      <w:pPr>
        <w:spacing w:after="0"/>
        <w:ind w:firstLine="56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Продовження додатку 1</w:t>
      </w:r>
    </w:p>
    <w:p w14:paraId="325FE5BA" w14:textId="77777777" w:rsidR="00431199" w:rsidRPr="00431199" w:rsidRDefault="00431199" w:rsidP="00431199">
      <w:pPr>
        <w:spacing w:after="0"/>
        <w:ind w:firstLine="56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 реєстраційного посвідчення АВ-09424-01-20</w:t>
      </w:r>
    </w:p>
    <w:p w14:paraId="7CB780AD" w14:textId="77777777" w:rsidR="00431199" w:rsidRDefault="00431199" w:rsidP="00431199">
      <w:pPr>
        <w:widowControl w:val="0"/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14:paraId="2114BD41" w14:textId="77777777" w:rsidR="00E70286" w:rsidRPr="00E70286" w:rsidRDefault="00E70286" w:rsidP="00431199">
      <w:pPr>
        <w:widowControl w:val="0"/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14:paraId="17001684" w14:textId="2840771A" w:rsidR="00836E83" w:rsidRPr="00431199" w:rsidRDefault="006B057E" w:rsidP="00431199">
      <w:pPr>
        <w:widowControl w:val="0"/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Неоміцину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сульфат і ністатин </w:t>
      </w:r>
      <w:bookmarkStart w:id="0" w:name="_GoBack"/>
      <w:bookmarkEnd w:id="0"/>
      <w:r w:rsidR="00262E5C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практично не абсорбуються через шкіру та внутрішні оболонки вух. При неушкодженій шкірі слухового проходу системна абсорбція </w:t>
      </w:r>
      <w:proofErr w:type="spellStart"/>
      <w:r w:rsidR="00262E5C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триамцинолону</w:t>
      </w:r>
      <w:proofErr w:type="spellEnd"/>
      <w:r w:rsidR="00262E5C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262E5C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ацетоніду</w:t>
      </w:r>
      <w:proofErr w:type="spellEnd"/>
      <w:r w:rsidR="00262E5C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мінімальна. При запаленні, ерозіях чи виразках – проникність зростає, і частина дози може всмоктуватися в системний </w:t>
      </w:r>
      <w:proofErr w:type="spellStart"/>
      <w:r w:rsidR="00262E5C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кровотік</w:t>
      </w:r>
      <w:proofErr w:type="spellEnd"/>
      <w:r w:rsidR="00262E5C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 Абсорбція залежить від виду тварини: у котів і дрібних собак вища через тоншу шкіру.</w:t>
      </w:r>
      <w:r w:rsidR="00836E83" w:rsidRPr="00431199">
        <w:rPr>
          <w:rFonts w:ascii="Times New Roman" w:hAnsi="Times New Roman" w:cs="Times New Roman"/>
          <w:sz w:val="24"/>
          <w:szCs w:val="24"/>
        </w:rPr>
        <w:t xml:space="preserve"> </w:t>
      </w:r>
      <w:r w:rsidR="00836E83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Бібліографічні дані свідчать про низьку абсорбцію ністатину, </w:t>
      </w:r>
      <w:proofErr w:type="spellStart"/>
      <w:r w:rsidR="00836E83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неоміцину</w:t>
      </w:r>
      <w:proofErr w:type="spellEnd"/>
      <w:r w:rsidR="00836E83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 </w:t>
      </w:r>
      <w:proofErr w:type="spellStart"/>
      <w:r w:rsidR="00836E83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перметрину</w:t>
      </w:r>
      <w:proofErr w:type="spellEnd"/>
      <w:r w:rsidR="00836E83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через здорову шкіру. Не виключено системне поглинання </w:t>
      </w:r>
      <w:proofErr w:type="spellStart"/>
      <w:r w:rsidR="00836E83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триамцинолону</w:t>
      </w:r>
      <w:proofErr w:type="spellEnd"/>
      <w:r w:rsidR="00836E83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14:paraId="5A95BCFE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5. Клінічні особливості</w:t>
      </w:r>
    </w:p>
    <w:p w14:paraId="3D80312B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5.1. Вид тварин</w:t>
      </w:r>
    </w:p>
    <w:p w14:paraId="79EB10BD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Собаки, коти. </w:t>
      </w:r>
    </w:p>
    <w:p w14:paraId="49EE25DC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5.2. Показання до застосування</w:t>
      </w:r>
    </w:p>
    <w:p w14:paraId="502F44DC" w14:textId="6773D409" w:rsidR="00C0686F" w:rsidRPr="00431199" w:rsidRDefault="00AF0018" w:rsidP="00431199">
      <w:pPr>
        <w:widowControl w:val="0"/>
        <w:autoSpaceDE w:val="0"/>
        <w:autoSpaceDN w:val="0"/>
        <w:adjustRightInd w:val="0"/>
        <w:spacing w:after="0"/>
        <w:ind w:firstLine="5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bookmarkStart w:id="1" w:name="_Hlk210135130"/>
      <w:bookmarkStart w:id="2" w:name="_Hlk27995514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Лікування собак та котів, хворих на зовнішні отити, що спричинені бактеріями, чутливими до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неоміцину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грибами, чутливими до ністатину, та кліщами, чутливими до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перметрину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відповідно</w:t>
      </w:r>
      <w:bookmarkEnd w:id="1"/>
      <w:r w:rsidR="00C0686F" w:rsidRPr="0043119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bookmarkEnd w:id="2"/>
    <w:p w14:paraId="407180E4" w14:textId="77777777" w:rsidR="00C0686F" w:rsidRPr="00431199" w:rsidRDefault="00C0686F" w:rsidP="00431199">
      <w:pPr>
        <w:tabs>
          <w:tab w:val="left" w:pos="6564"/>
        </w:tabs>
        <w:spacing w:after="0"/>
        <w:ind w:firstLine="56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5.3.Протипоказання</w:t>
      </w:r>
    </w:p>
    <w:p w14:paraId="5C0251E3" w14:textId="77777777" w:rsidR="00AB71EE" w:rsidRPr="00431199" w:rsidRDefault="00AB71EE" w:rsidP="004311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Не застосовувати тваринам із підвищеною чутливістю до діючих речовин препарату та з перфорацією барабанної перетинки. </w:t>
      </w:r>
    </w:p>
    <w:p w14:paraId="600C6634" w14:textId="77777777" w:rsidR="00AB71EE" w:rsidRPr="00431199" w:rsidRDefault="00AB71EE" w:rsidP="004311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Не використовувати котам з масою тіла менше, ніж 1,5 кг, кошенятам віком до 8 тижнів та продуктивним тваринам. </w:t>
      </w:r>
    </w:p>
    <w:p w14:paraId="563DD33A" w14:textId="56B9B294" w:rsidR="00C0686F" w:rsidRPr="00431199" w:rsidRDefault="00AB71EE" w:rsidP="00431199">
      <w:pPr>
        <w:tabs>
          <w:tab w:val="left" w:pos="6564"/>
        </w:tabs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 використовувати тваринам  у період вагітності та лактації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CDD48EA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5.4. Побічна дія</w:t>
      </w:r>
    </w:p>
    <w:p w14:paraId="7043019C" w14:textId="264FD51B" w:rsidR="00C0686F" w:rsidRPr="00431199" w:rsidRDefault="00E62479" w:rsidP="00431199">
      <w:pPr>
        <w:widowControl w:val="0"/>
        <w:autoSpaceDE w:val="0"/>
        <w:autoSpaceDN w:val="0"/>
        <w:adjustRightInd w:val="0"/>
        <w:spacing w:after="0"/>
        <w:ind w:firstLine="5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</w:t>
      </w:r>
      <w:r w:rsidR="00C0686F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застосуванн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</w:t>
      </w:r>
      <w:r w:rsidR="00C0686F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препарату в рекомендованих дозах побічних явищ та ускладнень, як правило, не виникає. </w:t>
      </w:r>
      <w:r w:rsidR="00A73059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</w:t>
      </w:r>
      <w:r w:rsidR="00C0686F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передозуванн</w:t>
      </w:r>
      <w:r w:rsidR="00A73059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</w:t>
      </w:r>
      <w:r w:rsidR="00C0686F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препарату у тварин може спостерігатися подразнення шкіри біля вушної раковини та у слуховому проході. У тварин старшого віку інколи виникають порушення слуху, які не потребують лікування. У котів дуже </w:t>
      </w:r>
      <w:proofErr w:type="spellStart"/>
      <w:r w:rsidR="00C0686F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рідко</w:t>
      </w:r>
      <w:proofErr w:type="spellEnd"/>
      <w:r w:rsidR="00C0686F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спостерігаються неврологічні симптоми, такі як локомоторна атаксія і тремор. У цьому разі лікування маззю припиняють</w:t>
      </w:r>
      <w:r w:rsidR="00C0686F" w:rsidRPr="0043119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</w:p>
    <w:p w14:paraId="55A1BE3F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5.5. Особливості застереження при використанні</w:t>
      </w:r>
    </w:p>
    <w:p w14:paraId="2AE0D3AE" w14:textId="77777777" w:rsidR="00FC4A7F" w:rsidRPr="00431199" w:rsidRDefault="00FC4A7F" w:rsidP="00431199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Перед застосуванням препарату переконатись у відсутності перфорації барабанної перетинки.</w:t>
      </w:r>
    </w:p>
    <w:p w14:paraId="0E257B54" w14:textId="77777777" w:rsidR="00FC4A7F" w:rsidRPr="00431199" w:rsidRDefault="00FC4A7F" w:rsidP="00431199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Не залишати препарат на волосяному </w:t>
      </w: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покриві, щоб уникнути випадкового проковтування під час облизування або </w:t>
      </w:r>
      <w:proofErr w:type="spellStart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грумінгу</w:t>
      </w:r>
      <w:proofErr w:type="spellEnd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14:paraId="390C6B67" w14:textId="4EF8F312" w:rsidR="00C0686F" w:rsidRPr="00431199" w:rsidRDefault="00FC4A7F" w:rsidP="00431199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Рекомендовано перед застосуванням препарату провести тест на чутливість збудників захворювання до діючих речовин препарату</w:t>
      </w:r>
      <w:r w:rsidR="00C0686F"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14:paraId="2C811334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5.6. Застосування під час вагітності, лактації</w:t>
      </w:r>
    </w:p>
    <w:p w14:paraId="6ECA81FD" w14:textId="77777777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Не застосовувати вагітним і </w:t>
      </w:r>
      <w:proofErr w:type="spellStart"/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лактуючим</w:t>
      </w:r>
      <w:proofErr w:type="spellEnd"/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тваринам. </w:t>
      </w:r>
    </w:p>
    <w:p w14:paraId="7F9A1B6A" w14:textId="2390B124" w:rsidR="00836E83" w:rsidRPr="00431199" w:rsidRDefault="006366C9" w:rsidP="00431199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Безпека препарату під час вагітності та лактації у цільових видів тварин не встановлена.</w:t>
      </w:r>
    </w:p>
    <w:p w14:paraId="4A558616" w14:textId="4EC633E5" w:rsidR="006366C9" w:rsidRDefault="006366C9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Лабораторні дослідження на щурах, </w:t>
      </w:r>
      <w:proofErr w:type="spellStart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кролях</w:t>
      </w:r>
      <w:proofErr w:type="spellEnd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мавпах показали </w:t>
      </w:r>
      <w:proofErr w:type="spellStart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тератогенну</w:t>
      </w:r>
      <w:proofErr w:type="spellEnd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дію та </w:t>
      </w:r>
      <w:proofErr w:type="spellStart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репротоксичну</w:t>
      </w:r>
      <w:proofErr w:type="spellEnd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дію </w:t>
      </w:r>
      <w:proofErr w:type="spellStart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триамцинолону</w:t>
      </w:r>
      <w:proofErr w:type="spellEnd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ацетоніду</w:t>
      </w:r>
      <w:proofErr w:type="spellEnd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14:paraId="69E9A76A" w14:textId="30D92256" w:rsidR="00C0686F" w:rsidRDefault="006366C9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5.</w:t>
      </w:r>
      <w:r w:rsidR="00C0686F"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7. Взаємодія з іншими засобами та інші форми взаємодії</w:t>
      </w:r>
    </w:p>
    <w:p w14:paraId="43C88BE9" w14:textId="77777777" w:rsidR="00C0686F" w:rsidRPr="00431199" w:rsidRDefault="00C0686F" w:rsidP="00431199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Прямої взаємодії з іншими засобами не встановлено.</w:t>
      </w:r>
    </w:p>
    <w:p w14:paraId="7FAC53E4" w14:textId="77777777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</w:t>
      </w: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застосовувати одночасно з іншими </w:t>
      </w:r>
      <w:proofErr w:type="spellStart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аміноглікозидними</w:t>
      </w:r>
      <w:proofErr w:type="spellEnd"/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</w:t>
      </w:r>
      <w:proofErr w:type="spellStart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аурікулярними</w:t>
      </w:r>
      <w:proofErr w:type="spellEnd"/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препаратами</w:t>
      </w:r>
      <w:r w:rsidRPr="0043119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uk-UA" w:eastAsia="ru-RU"/>
        </w:rPr>
        <w:t>.</w:t>
      </w:r>
    </w:p>
    <w:p w14:paraId="3247B7C0" w14:textId="707BE760" w:rsidR="00431199" w:rsidRPr="0079377F" w:rsidRDefault="00C0686F" w:rsidP="0079377F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5.8. Дози і способи введення тваринам різного віку</w:t>
      </w:r>
    </w:p>
    <w:p w14:paraId="5DA8AB5D" w14:textId="2F5A4CAE" w:rsidR="00C0686F" w:rsidRDefault="00C0686F" w:rsidP="004311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Перед застосуванням препарату проводять гігієнічне очищення вушної раковини та слухового каналу. Невелику кількість мазі (приблизно 5 мм) вводять у слуховий прохід, легенько масажують навколо вуха та видаляють надлишок засобу біля вушної раковини. Препарат застосовують один раз на </w:t>
      </w:r>
      <w:r w:rsidR="00E62479"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добу</w:t>
      </w: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повного одужання.</w:t>
      </w:r>
    </w:p>
    <w:p w14:paraId="5C683A25" w14:textId="77777777" w:rsidR="0079377F" w:rsidRDefault="0079377F" w:rsidP="004311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14:paraId="6B03663B" w14:textId="77777777" w:rsidR="0079377F" w:rsidRPr="0079377F" w:rsidRDefault="0079377F" w:rsidP="0079377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proofErr w:type="spellStart"/>
      <w:r w:rsidRPr="0079377F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lastRenderedPageBreak/>
        <w:t>Продовження</w:t>
      </w:r>
      <w:proofErr w:type="spellEnd"/>
      <w:r w:rsidRPr="0079377F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</w:t>
      </w:r>
      <w:proofErr w:type="spellStart"/>
      <w:r w:rsidRPr="0079377F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додатку</w:t>
      </w:r>
      <w:proofErr w:type="spellEnd"/>
      <w:r w:rsidRPr="0079377F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1</w:t>
      </w:r>
    </w:p>
    <w:p w14:paraId="258B896A" w14:textId="7C75E196" w:rsidR="0079377F" w:rsidRDefault="0079377F" w:rsidP="0079377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proofErr w:type="spellStart"/>
      <w:proofErr w:type="gramStart"/>
      <w:r w:rsidRPr="0079377F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до</w:t>
      </w:r>
      <w:proofErr w:type="spellEnd"/>
      <w:proofErr w:type="gramEnd"/>
      <w:r w:rsidRPr="0079377F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</w:t>
      </w:r>
      <w:proofErr w:type="spellStart"/>
      <w:r w:rsidRPr="0079377F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реєстраційного</w:t>
      </w:r>
      <w:proofErr w:type="spellEnd"/>
      <w:r w:rsidRPr="0079377F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</w:t>
      </w:r>
      <w:proofErr w:type="spellStart"/>
      <w:r w:rsidRPr="0079377F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посвідчення</w:t>
      </w:r>
      <w:proofErr w:type="spellEnd"/>
      <w:r w:rsidRPr="0079377F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 АВ-09424-01-20</w:t>
      </w:r>
    </w:p>
    <w:p w14:paraId="75237787" w14:textId="77777777" w:rsidR="0079377F" w:rsidRDefault="0079377F" w:rsidP="004311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14:paraId="6CAD75F1" w14:textId="77777777" w:rsidR="0079377F" w:rsidRPr="0079377F" w:rsidRDefault="0079377F" w:rsidP="004311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14:paraId="021D5F47" w14:textId="7F4DD014" w:rsidR="002C67AC" w:rsidRPr="00431199" w:rsidRDefault="00540B66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За </w:t>
      </w:r>
      <w:proofErr w:type="spellStart"/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отодектозу</w:t>
      </w:r>
      <w:proofErr w:type="spellEnd"/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 курс лікування становить 21 добу (період репродуктивного циклу кліщів </w:t>
      </w:r>
      <w:proofErr w:type="spellStart"/>
      <w:r w:rsidRPr="00431199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uk-UA" w:eastAsia="ru-RU"/>
        </w:rPr>
        <w:t>Otodectes</w:t>
      </w:r>
      <w:proofErr w:type="spellEnd"/>
      <w:r w:rsidRPr="00431199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431199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uk-UA" w:eastAsia="ru-RU"/>
        </w:rPr>
        <w:t>cynotis</w:t>
      </w:r>
      <w:proofErr w:type="spellEnd"/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), мазь вносять в обидва вуха, навіть якщо уражене лише одне.</w:t>
      </w:r>
    </w:p>
    <w:p w14:paraId="127CF2A3" w14:textId="77777777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5.9. Передозування (симптоми, невідкладні заходи, антидоти)</w:t>
      </w:r>
    </w:p>
    <w:p w14:paraId="5E750B83" w14:textId="77777777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При передозуванні у тварин може спостерігатися подразнення шкіри в ділянці вушної раковини і слухового проходу. Інколи, реєструють порушення слуху у тварин старшого віку, які не потребують стороннього втручання та лікування.</w:t>
      </w:r>
    </w:p>
    <w:p w14:paraId="4B47988D" w14:textId="77777777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5.10. Спеціальні застереження</w:t>
      </w:r>
    </w:p>
    <w:p w14:paraId="14B42BA6" w14:textId="77777777" w:rsidR="00C0686F" w:rsidRPr="00431199" w:rsidRDefault="00C0686F" w:rsidP="00431199">
      <w:pPr>
        <w:widowControl w:val="0"/>
        <w:spacing w:after="0"/>
        <w:ind w:firstLine="5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 має. </w:t>
      </w:r>
    </w:p>
    <w:p w14:paraId="5EFB2B49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5.11. Період виведення (</w:t>
      </w:r>
      <w:proofErr w:type="spellStart"/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каренція</w:t>
      </w:r>
      <w:proofErr w:type="spellEnd"/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)</w:t>
      </w:r>
    </w:p>
    <w:p w14:paraId="64B88142" w14:textId="77777777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Препарат не застосовують продуктивним тваринам.</w:t>
      </w:r>
    </w:p>
    <w:p w14:paraId="1543B6D7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5.12. Спеціальні застереження для осіб і обслуговуючого персоналу</w:t>
      </w:r>
    </w:p>
    <w:p w14:paraId="61CA253A" w14:textId="77777777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Персонал, який працює з препаратом, повинен дотримуватися основних правил гігієни та безпеки, що прийняті при роботі з ветеринарними препаратами.</w:t>
      </w:r>
    </w:p>
    <w:p w14:paraId="23031B15" w14:textId="77777777" w:rsidR="00C0686F" w:rsidRPr="00431199" w:rsidRDefault="00C0686F" w:rsidP="00431199">
      <w:pPr>
        <w:widowControl w:val="0"/>
        <w:autoSpaceDE w:val="0"/>
        <w:autoSpaceDN w:val="0"/>
        <w:adjustRightInd w:val="0"/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Слід уникати контакту препарату зі шкірою або слизовими оболонками. Якщо препарат випадково потрапив на шкіру або слизові оболонки, їх слід негайно промити чистою водою.</w:t>
      </w:r>
    </w:p>
    <w:p w14:paraId="4932B584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6. Фармацевтичні особливості</w:t>
      </w:r>
    </w:p>
    <w:p w14:paraId="396A6E55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6.1. Форми несумісності (основні)</w:t>
      </w:r>
    </w:p>
    <w:p w14:paraId="43178380" w14:textId="77777777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Несумісності з іншими засобами не встановлено.</w:t>
      </w:r>
    </w:p>
    <w:p w14:paraId="781CB06B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6.2. Термін придатності</w:t>
      </w:r>
    </w:p>
    <w:p w14:paraId="7FA900CA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роки.</w:t>
      </w:r>
    </w:p>
    <w:p w14:paraId="11903268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6.3. Особливі заходи зберігання</w:t>
      </w:r>
    </w:p>
    <w:p w14:paraId="63EA7E58" w14:textId="42D29EA4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У сухому темному, недоступному для дітей місці за температури від 15 до 25 °С. Після відкриття туби препарат використати протягом 28 діб.</w:t>
      </w:r>
    </w:p>
    <w:p w14:paraId="35FDE982" w14:textId="77777777" w:rsidR="00C0686F" w:rsidRPr="00431199" w:rsidRDefault="00C0686F" w:rsidP="00431199">
      <w:pPr>
        <w:spacing w:after="0"/>
        <w:ind w:firstLine="5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6.4. Природа і склад контейнера первинного пакування</w:t>
      </w:r>
    </w:p>
    <w:p w14:paraId="68F3FD83" w14:textId="77777777" w:rsidR="00C0686F" w:rsidRPr="00431199" w:rsidRDefault="00C0686F" w:rsidP="00431199">
      <w:pPr>
        <w:widowControl w:val="0"/>
        <w:autoSpaceDE w:val="0"/>
        <w:autoSpaceDN w:val="0"/>
        <w:adjustRightInd w:val="0"/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Алюмінієві або полімерні туби по 10, 20 г. </w:t>
      </w:r>
    </w:p>
    <w:p w14:paraId="735169E5" w14:textId="77777777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6.5. Особливі заходи безпеки при поводженні з невикористаним засобом або його залишками</w:t>
      </w:r>
    </w:p>
    <w:p w14:paraId="15587832" w14:textId="428EC407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 xml:space="preserve">Невикористаний препарат повинен бути утилізований </w:t>
      </w:r>
      <w:r w:rsidR="00503BE0" w:rsidRPr="00431199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відповідно до національних вимог</w:t>
      </w:r>
      <w:r w:rsidRPr="004311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  <w:t>.</w:t>
      </w:r>
    </w:p>
    <w:p w14:paraId="7E07CF55" w14:textId="77777777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7. Назва та місцезнаходження власника реєстраційного посвідчення</w:t>
      </w:r>
    </w:p>
    <w:p w14:paraId="09D4DE51" w14:textId="0435E0CF" w:rsidR="00836E83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ТОВ “БРОВАФАРМА”</w:t>
      </w:r>
    </w:p>
    <w:p w14:paraId="6C13627A" w14:textId="5D0B05D6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б-р Незалежності 18-а, м. Бровари, Київської обл., 07400</w:t>
      </w:r>
      <w:r w:rsidR="002C67AC" w:rsidRPr="00431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Україна</w:t>
      </w:r>
    </w:p>
    <w:p w14:paraId="3EB5DAF5" w14:textId="5061EEA9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8. Назва та місцезнаходження виробника (виробників)</w:t>
      </w:r>
    </w:p>
    <w:p w14:paraId="619DAD90" w14:textId="77777777" w:rsidR="00C0686F" w:rsidRPr="00431199" w:rsidRDefault="00C0686F" w:rsidP="00431199">
      <w:pPr>
        <w:suppressAutoHyphens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ТОВ “БРОВАФАРМА”</w:t>
      </w:r>
    </w:p>
    <w:p w14:paraId="79184EDE" w14:textId="55D85052" w:rsidR="00C0686F" w:rsidRPr="00431199" w:rsidRDefault="00C0686F" w:rsidP="00431199">
      <w:pPr>
        <w:suppressAutoHyphens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3119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б-р Незалежності 18-а, м. Бровари, Київської обл., 07400</w:t>
      </w:r>
      <w:r w:rsidR="002C67AC" w:rsidRPr="0043119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 Україна</w:t>
      </w:r>
    </w:p>
    <w:p w14:paraId="34968785" w14:textId="77777777" w:rsidR="00C0686F" w:rsidRPr="00431199" w:rsidRDefault="00C0686F" w:rsidP="00431199">
      <w:pPr>
        <w:spacing w:after="0"/>
        <w:ind w:firstLine="5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11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9. Додаткова інформація</w:t>
      </w:r>
    </w:p>
    <w:sectPr w:rsidR="00C0686F" w:rsidRPr="00431199" w:rsidSect="00E70286">
      <w:footerReference w:type="default" r:id="rId7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48751" w14:textId="77777777" w:rsidR="00540B66" w:rsidRDefault="00540B66" w:rsidP="00540B66">
      <w:pPr>
        <w:spacing w:after="0" w:line="240" w:lineRule="auto"/>
      </w:pPr>
      <w:r>
        <w:separator/>
      </w:r>
    </w:p>
  </w:endnote>
  <w:endnote w:type="continuationSeparator" w:id="0">
    <w:p w14:paraId="62E10A6E" w14:textId="77777777" w:rsidR="00540B66" w:rsidRDefault="00540B66" w:rsidP="0054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4705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679BA42" w14:textId="3AEEA52D" w:rsidR="00540B66" w:rsidRPr="00431199" w:rsidRDefault="00540B66" w:rsidP="00431199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40B6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40B6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40B6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B057E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540B6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28E08" w14:textId="77777777" w:rsidR="00540B66" w:rsidRDefault="00540B66" w:rsidP="00540B66">
      <w:pPr>
        <w:spacing w:after="0" w:line="240" w:lineRule="auto"/>
      </w:pPr>
      <w:r>
        <w:separator/>
      </w:r>
    </w:p>
  </w:footnote>
  <w:footnote w:type="continuationSeparator" w:id="0">
    <w:p w14:paraId="6CEDE13C" w14:textId="77777777" w:rsidR="00540B66" w:rsidRDefault="00540B66" w:rsidP="00540B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6F"/>
    <w:rsid w:val="00166EB0"/>
    <w:rsid w:val="00262E5C"/>
    <w:rsid w:val="002C67AC"/>
    <w:rsid w:val="00346371"/>
    <w:rsid w:val="003957C9"/>
    <w:rsid w:val="003F21CD"/>
    <w:rsid w:val="00415E5D"/>
    <w:rsid w:val="00430A54"/>
    <w:rsid w:val="00431199"/>
    <w:rsid w:val="004B139A"/>
    <w:rsid w:val="00503BE0"/>
    <w:rsid w:val="0050614B"/>
    <w:rsid w:val="00540B66"/>
    <w:rsid w:val="005A4BF9"/>
    <w:rsid w:val="005B1047"/>
    <w:rsid w:val="006366C9"/>
    <w:rsid w:val="006B057E"/>
    <w:rsid w:val="0079377F"/>
    <w:rsid w:val="00836E83"/>
    <w:rsid w:val="00853812"/>
    <w:rsid w:val="00893C3D"/>
    <w:rsid w:val="009C6C7D"/>
    <w:rsid w:val="00A01D7B"/>
    <w:rsid w:val="00A03BF0"/>
    <w:rsid w:val="00A31C26"/>
    <w:rsid w:val="00A73059"/>
    <w:rsid w:val="00AB71EE"/>
    <w:rsid w:val="00AF0018"/>
    <w:rsid w:val="00B54E73"/>
    <w:rsid w:val="00C0686F"/>
    <w:rsid w:val="00CA66D4"/>
    <w:rsid w:val="00D62207"/>
    <w:rsid w:val="00E16055"/>
    <w:rsid w:val="00E16E66"/>
    <w:rsid w:val="00E35C35"/>
    <w:rsid w:val="00E62479"/>
    <w:rsid w:val="00E70286"/>
    <w:rsid w:val="00EA642F"/>
    <w:rsid w:val="00F81FFF"/>
    <w:rsid w:val="00FC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4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6247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6247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6247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6247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6247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62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47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40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0B66"/>
  </w:style>
  <w:style w:type="paragraph" w:styleId="ac">
    <w:name w:val="footer"/>
    <w:basedOn w:val="a"/>
    <w:link w:val="ad"/>
    <w:uiPriority w:val="99"/>
    <w:unhideWhenUsed/>
    <w:rsid w:val="00540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0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6247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6247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6247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6247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6247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62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47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40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0B66"/>
  </w:style>
  <w:style w:type="paragraph" w:styleId="ac">
    <w:name w:val="footer"/>
    <w:basedOn w:val="a"/>
    <w:link w:val="ad"/>
    <w:uiPriority w:val="99"/>
    <w:unhideWhenUsed/>
    <w:rsid w:val="00540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0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Распутний</dc:creator>
  <cp:lastModifiedBy>marta</cp:lastModifiedBy>
  <cp:revision>11</cp:revision>
  <dcterms:created xsi:type="dcterms:W3CDTF">2025-11-17T17:16:00Z</dcterms:created>
  <dcterms:modified xsi:type="dcterms:W3CDTF">2025-11-21T08:31:00Z</dcterms:modified>
</cp:coreProperties>
</file>