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B4" w:rsidRPr="00D1451A" w:rsidRDefault="009116F9" w:rsidP="005F5CF9">
      <w:pPr>
        <w:jc w:val="right"/>
        <w:rPr>
          <w:rFonts w:ascii="Times New Roman" w:hAnsi="Times New Roman" w:cs="Times New Roman"/>
          <w:sz w:val="21"/>
          <w:szCs w:val="21"/>
        </w:rPr>
      </w:pPr>
      <w:r w:rsidRPr="00D1451A">
        <w:rPr>
          <w:rFonts w:ascii="Times New Roman" w:hAnsi="Times New Roman" w:cs="Times New Roman"/>
          <w:sz w:val="21"/>
          <w:szCs w:val="21"/>
        </w:rPr>
        <w:t>Додаток 1                                                                                                                                                                           до реєстраційного посвідчення АВ-</w:t>
      </w:r>
      <w:r w:rsidR="005F5CF9" w:rsidRPr="00D1451A">
        <w:rPr>
          <w:rFonts w:ascii="Times New Roman" w:hAnsi="Times New Roman" w:cs="Times New Roman"/>
          <w:sz w:val="21"/>
          <w:szCs w:val="21"/>
        </w:rPr>
        <w:t>05</w:t>
      </w:r>
      <w:r w:rsidR="001D66FD" w:rsidRPr="00D1451A">
        <w:rPr>
          <w:rFonts w:ascii="Times New Roman" w:hAnsi="Times New Roman" w:cs="Times New Roman"/>
          <w:sz w:val="21"/>
          <w:szCs w:val="21"/>
        </w:rPr>
        <w:t>5</w:t>
      </w:r>
      <w:r w:rsidR="005F5CF9" w:rsidRPr="00D1451A">
        <w:rPr>
          <w:rFonts w:ascii="Times New Roman" w:hAnsi="Times New Roman" w:cs="Times New Roman"/>
          <w:sz w:val="21"/>
          <w:szCs w:val="21"/>
        </w:rPr>
        <w:t>68</w:t>
      </w:r>
      <w:r w:rsidRPr="00D1451A">
        <w:rPr>
          <w:rFonts w:ascii="Times New Roman" w:hAnsi="Times New Roman" w:cs="Times New Roman"/>
          <w:sz w:val="21"/>
          <w:szCs w:val="21"/>
        </w:rPr>
        <w:t>-01-14</w:t>
      </w:r>
    </w:p>
    <w:p w:rsidR="00F7126A" w:rsidRPr="00D1451A" w:rsidRDefault="009116F9" w:rsidP="00F7126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1451A">
        <w:rPr>
          <w:rFonts w:ascii="Times New Roman" w:hAnsi="Times New Roman" w:cs="Times New Roman"/>
          <w:b/>
          <w:sz w:val="21"/>
          <w:szCs w:val="21"/>
        </w:rPr>
        <w:t>Коротка характеристика препарату</w:t>
      </w:r>
    </w:p>
    <w:p w:rsidR="00317049" w:rsidRPr="00366CD4" w:rsidRDefault="00F7126A" w:rsidP="00485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451A">
        <w:rPr>
          <w:rFonts w:ascii="Times New Roman" w:hAnsi="Times New Roman" w:cs="Times New Roman"/>
          <w:b/>
          <w:sz w:val="21"/>
          <w:szCs w:val="21"/>
        </w:rPr>
        <w:t xml:space="preserve">1. Назва                                                                                                                                                                                                   </w:t>
      </w:r>
      <w:r w:rsidRPr="00D1451A">
        <w:rPr>
          <w:rFonts w:ascii="Times New Roman" w:hAnsi="Times New Roman" w:cs="Times New Roman"/>
          <w:sz w:val="21"/>
          <w:szCs w:val="21"/>
        </w:rPr>
        <w:t xml:space="preserve">Розчин </w:t>
      </w:r>
      <w:r w:rsidR="001D66FD" w:rsidRPr="00D1451A">
        <w:rPr>
          <w:rFonts w:ascii="Times New Roman" w:hAnsi="Times New Roman" w:cs="Times New Roman"/>
          <w:sz w:val="21"/>
          <w:szCs w:val="21"/>
        </w:rPr>
        <w:t xml:space="preserve">новокаїну </w:t>
      </w:r>
      <w:r w:rsidR="005744B0" w:rsidRPr="00D1451A">
        <w:rPr>
          <w:rFonts w:ascii="Times New Roman" w:hAnsi="Times New Roman" w:cs="Times New Roman"/>
          <w:sz w:val="21"/>
          <w:szCs w:val="21"/>
        </w:rPr>
        <w:t>0,5</w:t>
      </w:r>
      <w:r w:rsidR="001D66FD" w:rsidRPr="00D1451A">
        <w:rPr>
          <w:rFonts w:ascii="Times New Roman" w:hAnsi="Times New Roman" w:cs="Times New Roman"/>
          <w:sz w:val="21"/>
          <w:szCs w:val="21"/>
        </w:rPr>
        <w:t>%</w:t>
      </w:r>
      <w:r w:rsidRPr="00D1451A">
        <w:rPr>
          <w:rFonts w:ascii="Times New Roman" w:hAnsi="Times New Roman" w:cs="Times New Roman"/>
          <w:sz w:val="21"/>
          <w:szCs w:val="21"/>
        </w:rPr>
        <w:t xml:space="preserve"> для ін’єкцій</w:t>
      </w:r>
      <w:r w:rsidR="0081387B" w:rsidRPr="00D1451A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</w:t>
      </w:r>
      <w:r w:rsidRPr="00D1451A">
        <w:rPr>
          <w:rFonts w:ascii="Times New Roman" w:hAnsi="Times New Roman" w:cs="Times New Roman"/>
          <w:b/>
          <w:sz w:val="21"/>
          <w:szCs w:val="21"/>
        </w:rPr>
        <w:t xml:space="preserve">2. Склад                                                                                                                                                                                 </w:t>
      </w:r>
      <w:r w:rsidRPr="00D1451A">
        <w:rPr>
          <w:rFonts w:ascii="Times New Roman" w:hAnsi="Times New Roman" w:cs="Times New Roman"/>
          <w:sz w:val="21"/>
          <w:szCs w:val="21"/>
        </w:rPr>
        <w:t xml:space="preserve">100 мл препарату містять діючу речовину : </w:t>
      </w:r>
      <w:r w:rsidR="003C2CE0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="001D66FD" w:rsidRPr="00D1451A">
        <w:rPr>
          <w:rFonts w:ascii="Times New Roman" w:hAnsi="Times New Roman" w:cs="Times New Roman"/>
          <w:sz w:val="21"/>
          <w:szCs w:val="21"/>
        </w:rPr>
        <w:t>новокаїн (</w:t>
      </w:r>
      <w:r w:rsidR="0090354E" w:rsidRPr="00D1451A">
        <w:rPr>
          <w:rFonts w:ascii="Times New Roman" w:hAnsi="Times New Roman" w:cs="Times New Roman"/>
          <w:sz w:val="21"/>
          <w:szCs w:val="21"/>
        </w:rPr>
        <w:t>прокаїн</w:t>
      </w:r>
      <w:r w:rsidR="001D66FD" w:rsidRPr="00D1451A">
        <w:rPr>
          <w:rFonts w:ascii="Times New Roman" w:hAnsi="Times New Roman" w:cs="Times New Roman"/>
          <w:sz w:val="21"/>
          <w:szCs w:val="21"/>
        </w:rPr>
        <w:t>)</w:t>
      </w:r>
      <w:r w:rsidR="005744B0" w:rsidRPr="00D1451A">
        <w:rPr>
          <w:rFonts w:ascii="Times New Roman" w:hAnsi="Times New Roman" w:cs="Times New Roman"/>
          <w:sz w:val="21"/>
          <w:szCs w:val="21"/>
        </w:rPr>
        <w:t xml:space="preserve"> – 0,5 г.</w:t>
      </w:r>
      <w:r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3C2CE0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</w:t>
      </w:r>
      <w:r w:rsidRPr="00D1451A">
        <w:rPr>
          <w:rFonts w:ascii="Times New Roman" w:hAnsi="Times New Roman" w:cs="Times New Roman"/>
          <w:sz w:val="21"/>
          <w:szCs w:val="21"/>
        </w:rPr>
        <w:t xml:space="preserve">Допоміжні речовини: </w:t>
      </w:r>
      <w:r w:rsidR="001D66FD" w:rsidRPr="00D1451A">
        <w:rPr>
          <w:rFonts w:ascii="Times New Roman" w:hAnsi="Times New Roman" w:cs="Times New Roman"/>
          <w:sz w:val="21"/>
          <w:szCs w:val="21"/>
        </w:rPr>
        <w:t xml:space="preserve">хлористоводнева кислота (0,1М), </w:t>
      </w:r>
      <w:r w:rsidRPr="00D1451A">
        <w:rPr>
          <w:rFonts w:ascii="Times New Roman" w:hAnsi="Times New Roman" w:cs="Times New Roman"/>
          <w:sz w:val="21"/>
          <w:szCs w:val="21"/>
        </w:rPr>
        <w:t xml:space="preserve">вода для ін’єкцій. </w:t>
      </w:r>
      <w:r w:rsidR="0081387B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</w:t>
      </w:r>
      <w:r w:rsidRPr="00D1451A">
        <w:rPr>
          <w:rFonts w:ascii="Times New Roman" w:hAnsi="Times New Roman" w:cs="Times New Roman"/>
          <w:b/>
          <w:sz w:val="21"/>
          <w:szCs w:val="21"/>
        </w:rPr>
        <w:t>3</w:t>
      </w:r>
      <w:r w:rsidR="003C2CE0" w:rsidRPr="00D1451A">
        <w:rPr>
          <w:rFonts w:ascii="Times New Roman" w:hAnsi="Times New Roman" w:cs="Times New Roman"/>
          <w:b/>
          <w:sz w:val="21"/>
          <w:szCs w:val="21"/>
        </w:rPr>
        <w:t>. Фармацевтична (лікарська) форма</w:t>
      </w:r>
      <w:r w:rsidR="003C2CE0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</w:t>
      </w:r>
      <w:r w:rsidR="0081387B" w:rsidRPr="00D1451A"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="003C2CE0" w:rsidRPr="00D1451A">
        <w:rPr>
          <w:rFonts w:ascii="Times New Roman" w:hAnsi="Times New Roman" w:cs="Times New Roman"/>
          <w:sz w:val="21"/>
          <w:szCs w:val="21"/>
        </w:rPr>
        <w:t xml:space="preserve">Розчин для ін’єкцій. </w:t>
      </w:r>
      <w:r w:rsidR="0081387B" w:rsidRPr="00D1451A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       </w:t>
      </w:r>
      <w:r w:rsidR="003C2CE0" w:rsidRPr="00D1451A">
        <w:rPr>
          <w:rFonts w:ascii="Times New Roman" w:hAnsi="Times New Roman" w:cs="Times New Roman"/>
          <w:b/>
          <w:sz w:val="21"/>
          <w:szCs w:val="21"/>
        </w:rPr>
        <w:t>4. Фармакологічні властивості</w:t>
      </w:r>
      <w:r w:rsidR="003C2CE0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 w:rsidR="003C2CE0" w:rsidRPr="00D1451A">
        <w:rPr>
          <w:rFonts w:ascii="Times New Roman" w:hAnsi="Times New Roman" w:cs="Times New Roman"/>
          <w:b/>
          <w:sz w:val="21"/>
          <w:szCs w:val="21"/>
          <w:lang w:val="en-US"/>
        </w:rPr>
        <w:t>ATC</w:t>
      </w:r>
      <w:r w:rsidR="003C2CE0" w:rsidRPr="00D1451A">
        <w:rPr>
          <w:rFonts w:ascii="Times New Roman" w:hAnsi="Times New Roman" w:cs="Times New Roman"/>
          <w:b/>
          <w:sz w:val="21"/>
          <w:szCs w:val="21"/>
        </w:rPr>
        <w:t>-</w:t>
      </w:r>
      <w:r w:rsidR="003C2CE0" w:rsidRPr="00D1451A">
        <w:rPr>
          <w:rFonts w:ascii="Times New Roman" w:hAnsi="Times New Roman" w:cs="Times New Roman"/>
          <w:b/>
          <w:sz w:val="21"/>
          <w:szCs w:val="21"/>
          <w:lang w:val="en-US"/>
        </w:rPr>
        <w:t>vet</w:t>
      </w:r>
      <w:r w:rsidR="003C2CE0" w:rsidRPr="00D1451A">
        <w:rPr>
          <w:rFonts w:ascii="Times New Roman" w:hAnsi="Times New Roman" w:cs="Times New Roman"/>
          <w:b/>
          <w:sz w:val="21"/>
          <w:szCs w:val="21"/>
        </w:rPr>
        <w:t xml:space="preserve"> класифікаційний код:</w:t>
      </w:r>
      <w:r w:rsidR="003C2CE0" w:rsidRPr="00D1451A">
        <w:rPr>
          <w:rFonts w:ascii="Times New Roman" w:hAnsi="Times New Roman" w:cs="Times New Roman"/>
          <w:sz w:val="21"/>
          <w:szCs w:val="21"/>
        </w:rPr>
        <w:t xml:space="preserve"> </w:t>
      </w:r>
      <w:r w:rsidR="00285084" w:rsidRPr="00285084">
        <w:rPr>
          <w:rFonts w:ascii="Times New Roman" w:hAnsi="Times New Roman" w:cs="Times New Roman"/>
          <w:sz w:val="21"/>
          <w:szCs w:val="21"/>
          <w:lang w:val="en-US"/>
        </w:rPr>
        <w:t>QN</w:t>
      </w:r>
      <w:r w:rsidR="00285084" w:rsidRPr="00285084">
        <w:rPr>
          <w:rFonts w:ascii="Times New Roman" w:hAnsi="Times New Roman" w:cs="Times New Roman"/>
          <w:sz w:val="21"/>
          <w:szCs w:val="21"/>
        </w:rPr>
        <w:t>01</w:t>
      </w:r>
      <w:r w:rsidR="00285084" w:rsidRPr="00285084">
        <w:rPr>
          <w:rFonts w:ascii="Times New Roman" w:hAnsi="Times New Roman" w:cs="Times New Roman"/>
          <w:sz w:val="21"/>
          <w:szCs w:val="21"/>
          <w:lang w:val="en-US"/>
        </w:rPr>
        <w:t>B</w:t>
      </w:r>
      <w:r w:rsidR="00285084" w:rsidRPr="00285084">
        <w:rPr>
          <w:rFonts w:ascii="Times New Roman" w:hAnsi="Times New Roman" w:cs="Times New Roman"/>
          <w:sz w:val="21"/>
          <w:szCs w:val="21"/>
        </w:rPr>
        <w:t xml:space="preserve"> – анестетик для місцевого застосування. </w:t>
      </w:r>
      <w:r w:rsidR="00285084" w:rsidRPr="00285084">
        <w:rPr>
          <w:rFonts w:ascii="Times New Roman" w:hAnsi="Times New Roman" w:cs="Times New Roman"/>
          <w:sz w:val="21"/>
          <w:szCs w:val="21"/>
          <w:lang w:val="en-US"/>
        </w:rPr>
        <w:t>QN</w:t>
      </w:r>
      <w:r w:rsidR="00285084" w:rsidRPr="00285084">
        <w:rPr>
          <w:rFonts w:ascii="Times New Roman" w:hAnsi="Times New Roman" w:cs="Times New Roman"/>
          <w:sz w:val="21"/>
          <w:szCs w:val="21"/>
        </w:rPr>
        <w:t>01</w:t>
      </w:r>
      <w:r w:rsidR="00285084" w:rsidRPr="00285084">
        <w:rPr>
          <w:rFonts w:ascii="Times New Roman" w:hAnsi="Times New Roman" w:cs="Times New Roman"/>
          <w:sz w:val="21"/>
          <w:szCs w:val="21"/>
          <w:lang w:val="en-US"/>
        </w:rPr>
        <w:t>BA</w:t>
      </w:r>
      <w:r w:rsidR="00285084" w:rsidRPr="00285084">
        <w:rPr>
          <w:rFonts w:ascii="Times New Roman" w:hAnsi="Times New Roman" w:cs="Times New Roman"/>
          <w:sz w:val="21"/>
          <w:szCs w:val="21"/>
        </w:rPr>
        <w:t>02 - Прокаїн.</w:t>
      </w:r>
      <w:r w:rsidR="003C2CE0" w:rsidRPr="00285084">
        <w:rPr>
          <w:rFonts w:ascii="Times New Roman" w:hAnsi="Times New Roman" w:cs="Times New Roman"/>
          <w:sz w:val="21"/>
          <w:szCs w:val="21"/>
        </w:rPr>
        <w:t xml:space="preserve"> </w:t>
      </w:r>
      <w:r w:rsidR="0033405D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</w:t>
      </w:r>
      <w:r w:rsidR="005744B0" w:rsidRPr="00D1451A">
        <w:rPr>
          <w:rFonts w:ascii="Times New Roman" w:hAnsi="Times New Roman" w:cs="Times New Roman"/>
          <w:sz w:val="21"/>
          <w:szCs w:val="21"/>
        </w:rPr>
        <w:t>Новокаїн</w:t>
      </w:r>
      <w:r w:rsidR="00357635">
        <w:rPr>
          <w:rFonts w:ascii="Times New Roman" w:hAnsi="Times New Roman" w:cs="Times New Roman"/>
          <w:sz w:val="21"/>
          <w:szCs w:val="21"/>
        </w:rPr>
        <w:t xml:space="preserve"> (прокаїн)</w:t>
      </w:r>
      <w:r w:rsidR="005744B0" w:rsidRPr="00D1451A">
        <w:rPr>
          <w:rFonts w:ascii="Times New Roman" w:hAnsi="Times New Roman" w:cs="Times New Roman"/>
          <w:sz w:val="21"/>
          <w:szCs w:val="21"/>
        </w:rPr>
        <w:t xml:space="preserve"> блокує дію нервових волокон та закінчень</w:t>
      </w:r>
      <w:r w:rsidR="00357635">
        <w:rPr>
          <w:rFonts w:ascii="Times New Roman" w:hAnsi="Times New Roman" w:cs="Times New Roman"/>
          <w:sz w:val="21"/>
          <w:szCs w:val="21"/>
        </w:rPr>
        <w:t xml:space="preserve">, викликає анестезію, не має </w:t>
      </w:r>
      <w:r w:rsidR="00B00BD1" w:rsidRPr="00D1451A">
        <w:rPr>
          <w:rFonts w:ascii="Times New Roman" w:hAnsi="Times New Roman" w:cs="Times New Roman"/>
          <w:sz w:val="21"/>
          <w:szCs w:val="21"/>
        </w:rPr>
        <w:t xml:space="preserve">судинозвужувальної дії, не проникає через непошкоджену шкіру, дуже повільно – крізь непошкоджені слизові оболонки. </w:t>
      </w:r>
      <w:r w:rsidR="00357635">
        <w:rPr>
          <w:rFonts w:ascii="Times New Roman" w:hAnsi="Times New Roman" w:cs="Times New Roman"/>
          <w:sz w:val="21"/>
          <w:szCs w:val="21"/>
        </w:rPr>
        <w:t>Механізм анестезуючої дії пов’язаний</w:t>
      </w:r>
      <w:r w:rsidR="001B3E24">
        <w:rPr>
          <w:rFonts w:ascii="Times New Roman" w:hAnsi="Times New Roman" w:cs="Times New Roman"/>
          <w:sz w:val="21"/>
          <w:szCs w:val="21"/>
        </w:rPr>
        <w:t xml:space="preserve"> з блокадою натрієвих каналів, гальмуванням калієвого току, конкуренцією з кальцієм, зниженням поверхневого натягу фосфоліпідного шару мембран, пригніченням окисно-відновних процесів та генерації імпульсів</w:t>
      </w:r>
      <w:r w:rsidR="00357635">
        <w:rPr>
          <w:rFonts w:ascii="Times New Roman" w:hAnsi="Times New Roman" w:cs="Times New Roman"/>
          <w:sz w:val="21"/>
          <w:szCs w:val="21"/>
        </w:rPr>
        <w:t xml:space="preserve"> Він</w:t>
      </w:r>
      <w:r w:rsidR="00B00BD1" w:rsidRPr="00D1451A">
        <w:rPr>
          <w:rFonts w:ascii="Times New Roman" w:hAnsi="Times New Roman" w:cs="Times New Roman"/>
          <w:sz w:val="21"/>
          <w:szCs w:val="21"/>
        </w:rPr>
        <w:t xml:space="preserve"> діє швидко, але недовго (до30-50 хвилин).                             </w:t>
      </w:r>
      <w:r w:rsidR="001B3E24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</w:t>
      </w:r>
      <w:r w:rsidR="00B00BD1" w:rsidRPr="00D1451A">
        <w:rPr>
          <w:rFonts w:ascii="Times New Roman" w:hAnsi="Times New Roman" w:cs="Times New Roman"/>
          <w:sz w:val="21"/>
          <w:szCs w:val="21"/>
        </w:rPr>
        <w:t>Після потрапляння новокаїну у кров’яне русло відбувається загальний вплив його на організм: зменшується утворення ацетилхоліну</w:t>
      </w:r>
      <w:r w:rsidR="00867F8C" w:rsidRPr="00D1451A">
        <w:rPr>
          <w:rFonts w:ascii="Times New Roman" w:hAnsi="Times New Roman" w:cs="Times New Roman"/>
          <w:sz w:val="21"/>
          <w:szCs w:val="21"/>
        </w:rPr>
        <w:t xml:space="preserve"> та знижується збудливість периферичних </w:t>
      </w:r>
      <w:proofErr w:type="spellStart"/>
      <w:r w:rsidR="00867F8C" w:rsidRPr="00D1451A">
        <w:rPr>
          <w:rFonts w:ascii="Times New Roman" w:hAnsi="Times New Roman" w:cs="Times New Roman"/>
          <w:sz w:val="21"/>
          <w:szCs w:val="21"/>
        </w:rPr>
        <w:t>холінактивних</w:t>
      </w:r>
      <w:proofErr w:type="spellEnd"/>
      <w:r w:rsidR="00867F8C" w:rsidRPr="00D1451A">
        <w:rPr>
          <w:rFonts w:ascii="Times New Roman" w:hAnsi="Times New Roman" w:cs="Times New Roman"/>
          <w:sz w:val="21"/>
          <w:szCs w:val="21"/>
        </w:rPr>
        <w:t xml:space="preserve"> систем, блокується  передача нервових</w:t>
      </w:r>
      <w:r w:rsidR="00BA0865" w:rsidRPr="00D1451A">
        <w:rPr>
          <w:rFonts w:ascii="Times New Roman" w:hAnsi="Times New Roman" w:cs="Times New Roman"/>
          <w:sz w:val="21"/>
          <w:szCs w:val="21"/>
        </w:rPr>
        <w:t xml:space="preserve"> імпульсів у вегетативних ган</w:t>
      </w:r>
      <w:r w:rsidR="001B3E24">
        <w:rPr>
          <w:rFonts w:ascii="Times New Roman" w:hAnsi="Times New Roman" w:cs="Times New Roman"/>
          <w:sz w:val="21"/>
          <w:szCs w:val="21"/>
        </w:rPr>
        <w:t xml:space="preserve">гліях (особливо </w:t>
      </w:r>
      <w:proofErr w:type="spellStart"/>
      <w:r w:rsidR="001B3E24">
        <w:rPr>
          <w:rFonts w:ascii="Times New Roman" w:hAnsi="Times New Roman" w:cs="Times New Roman"/>
          <w:sz w:val="21"/>
          <w:szCs w:val="21"/>
        </w:rPr>
        <w:t>холінергічних</w:t>
      </w:r>
      <w:proofErr w:type="spellEnd"/>
      <w:r w:rsidR="001B3E24">
        <w:rPr>
          <w:rFonts w:ascii="Times New Roman" w:hAnsi="Times New Roman" w:cs="Times New Roman"/>
          <w:sz w:val="21"/>
          <w:szCs w:val="21"/>
        </w:rPr>
        <w:t xml:space="preserve">), </w:t>
      </w:r>
      <w:r w:rsidR="00BA0865" w:rsidRPr="00D1451A">
        <w:rPr>
          <w:rFonts w:ascii="Times New Roman" w:hAnsi="Times New Roman" w:cs="Times New Roman"/>
          <w:sz w:val="21"/>
          <w:szCs w:val="21"/>
        </w:rPr>
        <w:t xml:space="preserve">понижується чутливість моторних зон кори головного мозку, пригнічуються спинномозкові рефлекси (особливо поперекового відділу), знижується чутливість рецепторів внутрішніх органів (серця, легенів, </w:t>
      </w:r>
      <w:proofErr w:type="spellStart"/>
      <w:r w:rsidR="00BA0865" w:rsidRPr="00D1451A">
        <w:rPr>
          <w:rFonts w:ascii="Times New Roman" w:hAnsi="Times New Roman" w:cs="Times New Roman"/>
          <w:sz w:val="21"/>
          <w:szCs w:val="21"/>
        </w:rPr>
        <w:t>кишечника</w:t>
      </w:r>
      <w:proofErr w:type="spellEnd"/>
      <w:r w:rsidR="00BA0865" w:rsidRPr="00D1451A">
        <w:rPr>
          <w:rFonts w:ascii="Times New Roman" w:hAnsi="Times New Roman" w:cs="Times New Roman"/>
          <w:sz w:val="21"/>
          <w:szCs w:val="21"/>
        </w:rPr>
        <w:t>). Препарат при</w:t>
      </w:r>
      <w:r w:rsidR="001B3E24">
        <w:rPr>
          <w:rFonts w:ascii="Times New Roman" w:hAnsi="Times New Roman" w:cs="Times New Roman"/>
          <w:sz w:val="21"/>
          <w:szCs w:val="21"/>
        </w:rPr>
        <w:t xml:space="preserve">гнічує </w:t>
      </w:r>
      <w:proofErr w:type="spellStart"/>
      <w:r w:rsidR="001B3E24">
        <w:rPr>
          <w:rFonts w:ascii="Times New Roman" w:hAnsi="Times New Roman" w:cs="Times New Roman"/>
          <w:sz w:val="21"/>
          <w:szCs w:val="21"/>
        </w:rPr>
        <w:t>рефлекси.</w:t>
      </w:r>
      <w:r w:rsidR="00BA0865" w:rsidRPr="00D1451A">
        <w:rPr>
          <w:rFonts w:ascii="Times New Roman" w:hAnsi="Times New Roman" w:cs="Times New Roman"/>
          <w:sz w:val="21"/>
          <w:szCs w:val="21"/>
        </w:rPr>
        <w:t>Розчин</w:t>
      </w:r>
      <w:proofErr w:type="spellEnd"/>
      <w:r w:rsidR="00BA0865" w:rsidRPr="00D1451A">
        <w:rPr>
          <w:rFonts w:ascii="Times New Roman" w:hAnsi="Times New Roman" w:cs="Times New Roman"/>
          <w:sz w:val="21"/>
          <w:szCs w:val="21"/>
        </w:rPr>
        <w:t xml:space="preserve"> новокаїну 0,5% у дозі 1 мл на 1кг маси тіла</w:t>
      </w:r>
      <w:r w:rsidR="00975AB9" w:rsidRPr="00D1451A">
        <w:rPr>
          <w:rFonts w:ascii="Times New Roman" w:hAnsi="Times New Roman" w:cs="Times New Roman"/>
          <w:sz w:val="21"/>
          <w:szCs w:val="21"/>
        </w:rPr>
        <w:t xml:space="preserve"> при вісцеральній новокаїновій блокаді має стимулюючий вплив на моторну функцію передшлунків та </w:t>
      </w:r>
      <w:proofErr w:type="spellStart"/>
      <w:r w:rsidR="00975AB9" w:rsidRPr="00D1451A">
        <w:rPr>
          <w:rFonts w:ascii="Times New Roman" w:hAnsi="Times New Roman" w:cs="Times New Roman"/>
          <w:sz w:val="21"/>
          <w:szCs w:val="21"/>
        </w:rPr>
        <w:t>кишечника</w:t>
      </w:r>
      <w:proofErr w:type="spellEnd"/>
      <w:r w:rsidR="00975AB9" w:rsidRPr="00D1451A">
        <w:rPr>
          <w:rFonts w:ascii="Times New Roman" w:hAnsi="Times New Roman" w:cs="Times New Roman"/>
          <w:sz w:val="21"/>
          <w:szCs w:val="21"/>
        </w:rPr>
        <w:t xml:space="preserve"> перші 2-3 години. Збільшення дози до 2 мл</w:t>
      </w:r>
      <w:r w:rsidR="00CD0029">
        <w:rPr>
          <w:rFonts w:ascii="Times New Roman" w:hAnsi="Times New Roman" w:cs="Times New Roman"/>
          <w:sz w:val="21"/>
          <w:szCs w:val="21"/>
        </w:rPr>
        <w:t xml:space="preserve"> препарату</w:t>
      </w:r>
      <w:r w:rsidR="00975AB9" w:rsidRPr="00D1451A">
        <w:rPr>
          <w:rFonts w:ascii="Times New Roman" w:hAnsi="Times New Roman" w:cs="Times New Roman"/>
          <w:sz w:val="21"/>
          <w:szCs w:val="21"/>
        </w:rPr>
        <w:t xml:space="preserve"> на 1 кг маси тіла супроводжується послабленням функції травного каналу та токсичними явищами (тимпанія). При первинні атонії передшлунків та </w:t>
      </w:r>
      <w:proofErr w:type="spellStart"/>
      <w:r w:rsidR="00975AB9" w:rsidRPr="00D1451A">
        <w:rPr>
          <w:rFonts w:ascii="Times New Roman" w:hAnsi="Times New Roman" w:cs="Times New Roman"/>
          <w:sz w:val="21"/>
          <w:szCs w:val="21"/>
        </w:rPr>
        <w:t>кишечника</w:t>
      </w:r>
      <w:proofErr w:type="spellEnd"/>
      <w:r w:rsidR="00975AB9" w:rsidRPr="00D1451A">
        <w:rPr>
          <w:rFonts w:ascii="Times New Roman" w:hAnsi="Times New Roman" w:cs="Times New Roman"/>
          <w:sz w:val="21"/>
          <w:szCs w:val="21"/>
        </w:rPr>
        <w:t xml:space="preserve"> у корів під дією розчину новокаїну 0,5% в оптимальних дозах відновлюється моторна функція травного каналу, пришвидшується скорочення передшлунків та </w:t>
      </w:r>
      <w:proofErr w:type="spellStart"/>
      <w:r w:rsidR="00975AB9" w:rsidRPr="00D1451A">
        <w:rPr>
          <w:rFonts w:ascii="Times New Roman" w:hAnsi="Times New Roman" w:cs="Times New Roman"/>
          <w:sz w:val="21"/>
          <w:szCs w:val="21"/>
        </w:rPr>
        <w:t>кишечника</w:t>
      </w:r>
      <w:proofErr w:type="spellEnd"/>
      <w:r w:rsidR="00975AB9" w:rsidRPr="00D1451A">
        <w:rPr>
          <w:rFonts w:ascii="Times New Roman" w:hAnsi="Times New Roman" w:cs="Times New Roman"/>
          <w:sz w:val="21"/>
          <w:szCs w:val="21"/>
        </w:rPr>
        <w:t>, що покращує загальний стан тварини.</w:t>
      </w:r>
      <w:r w:rsidR="00867F8C" w:rsidRPr="00D1451A">
        <w:rPr>
          <w:rFonts w:ascii="Times New Roman" w:hAnsi="Times New Roman" w:cs="Times New Roman"/>
          <w:sz w:val="21"/>
          <w:szCs w:val="21"/>
        </w:rPr>
        <w:t xml:space="preserve"> </w:t>
      </w:r>
      <w:r w:rsidR="005744B0" w:rsidRPr="00D1451A">
        <w:rPr>
          <w:rFonts w:ascii="Times New Roman" w:hAnsi="Times New Roman" w:cs="Times New Roman"/>
          <w:sz w:val="21"/>
          <w:szCs w:val="21"/>
        </w:rPr>
        <w:t xml:space="preserve"> </w:t>
      </w:r>
      <w:r w:rsidR="00BC6100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</w:t>
      </w:r>
      <w:r w:rsidR="00975AB9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</w:t>
      </w:r>
      <w:r w:rsidR="00285084" w:rsidRPr="00285084">
        <w:rPr>
          <w:rFonts w:ascii="Times New Roman" w:hAnsi="Times New Roman" w:cs="Times New Roman"/>
          <w:sz w:val="21"/>
          <w:szCs w:val="21"/>
        </w:rPr>
        <w:t>Після парентерального введення прокаїн дуже швидко всмоктується в кров.</w:t>
      </w:r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Швидкість абсорбції залежить від шляху введення та місця ін’єкції (висока </w:t>
      </w:r>
      <w:proofErr w:type="spellStart"/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>васкуляризація</w:t>
      </w:r>
      <w:proofErr w:type="spellEnd"/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швидше всмоктування).</w:t>
      </w:r>
      <w:r w:rsidR="00285084" w:rsidRPr="00285084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</w:t>
      </w:r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Новокаїн(прокаїн) </w:t>
      </w:r>
      <w:r w:rsidR="00285084" w:rsidRPr="0028508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погано проникає через </w:t>
      </w:r>
      <w:proofErr w:type="spellStart"/>
      <w:r w:rsidR="00285084" w:rsidRPr="0028508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гематоенцефалічний</w:t>
      </w:r>
      <w:proofErr w:type="spellEnd"/>
      <w:r w:rsidR="00285084" w:rsidRPr="0028508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бар’єр</w:t>
      </w:r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що обмежує центральні ефекти. Добре розподіляється у м’яких тканинах, менше — у жировій тканині. Зв’язується з білками плазми на 20–30%.                                                                                                                                                                                        </w:t>
      </w:r>
      <w:r w:rsidR="00285084" w:rsidRPr="00285084">
        <w:rPr>
          <w:rFonts w:ascii="Times New Roman" w:hAnsi="Times New Roman" w:cs="Times New Roman"/>
          <w:sz w:val="21"/>
          <w:szCs w:val="21"/>
        </w:rPr>
        <w:t xml:space="preserve">Час розпаду новокаїну у печінці – до 40 хвилин. Гідроліз новокаїну здійснюється ферментом  холін естеразою до </w:t>
      </w:r>
      <w:proofErr w:type="spellStart"/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>амінобензойної</w:t>
      </w:r>
      <w:proofErr w:type="spellEnd"/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кислоти (ПАБК) та </w:t>
      </w:r>
      <w:proofErr w:type="spellStart"/>
      <w:r w:rsidR="00285084" w:rsidRPr="00285084">
        <w:rPr>
          <w:rFonts w:ascii="Times New Roman" w:eastAsia="Times New Roman" w:hAnsi="Times New Roman" w:cs="Times New Roman"/>
          <w:sz w:val="21"/>
          <w:szCs w:val="21"/>
          <w:lang w:eastAsia="ru-RU"/>
        </w:rPr>
        <w:t>діетиламіноетанолу</w:t>
      </w:r>
      <w:proofErr w:type="spellEnd"/>
      <w:r w:rsidR="00285084" w:rsidRPr="00285084">
        <w:rPr>
          <w:rFonts w:ascii="Times New Roman" w:hAnsi="Times New Roman" w:cs="Times New Roman"/>
          <w:sz w:val="21"/>
          <w:szCs w:val="21"/>
        </w:rPr>
        <w:t>, виводиться нирками із сечею</w:t>
      </w:r>
      <w:r w:rsidR="00285084" w:rsidRPr="00162549">
        <w:rPr>
          <w:sz w:val="20"/>
          <w:szCs w:val="20"/>
        </w:rPr>
        <w:t>.</w:t>
      </w:r>
      <w:r w:rsidR="00285084">
        <w:rPr>
          <w:sz w:val="20"/>
          <w:szCs w:val="20"/>
        </w:rPr>
        <w:t xml:space="preserve">                     </w:t>
      </w:r>
      <w:r w:rsidR="00B07C24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 Клінічні особливості</w:t>
      </w:r>
      <w:r w:rsidR="00B07C2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050A0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B07C24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5.1 Вид тварин</w:t>
      </w:r>
      <w:r w:rsidR="00B07C2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2050A0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B07C2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Велика рогата худоба, коні, вівці, свині, собаки. </w:t>
      </w:r>
      <w:r w:rsidR="002050A0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</w:t>
      </w:r>
      <w:r w:rsidR="00B07C24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5.2 Показання до застосування</w:t>
      </w:r>
      <w:r w:rsidR="002050A0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05A3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</w:t>
      </w:r>
      <w:r w:rsidR="00485260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ля інфільтраційної анестезії як анестетик та </w:t>
      </w:r>
      <w:proofErr w:type="spellStart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протисудомний</w:t>
      </w:r>
      <w:proofErr w:type="spellEnd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засіб у поєднанні зі специфічними та симптоматичними препаратами при виразках шлунка, атонії передшлунків та </w:t>
      </w:r>
      <w:proofErr w:type="spellStart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кишечника</w:t>
      </w:r>
      <w:proofErr w:type="spellEnd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, диспепсії, спастичних кол</w:t>
      </w:r>
      <w:r w:rsidR="00FB3F9E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ках, непрохідності </w:t>
      </w:r>
      <w:proofErr w:type="spellStart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кишечника</w:t>
      </w:r>
      <w:proofErr w:type="spellEnd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перитоніті, </w:t>
      </w:r>
      <w:proofErr w:type="spellStart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ретикулоперитоніті</w:t>
      </w:r>
      <w:proofErr w:type="spellEnd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бронхопневмонії, катаральній пневмонії, гіперемії, набряку легень, випадінні матки, піхви або прямої кишки, метриті, затримці посліду, серозно-катаральному маститі, ревматичному запаленні копит, </w:t>
      </w:r>
      <w:proofErr w:type="spellStart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пододерматиті</w:t>
      </w:r>
      <w:proofErr w:type="spellEnd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запаленні м'язів та суглобів, при ранах, що повільно гранулюються, виразках, норицях, міозитах, </w:t>
      </w:r>
      <w:proofErr w:type="spellStart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папіломатозах</w:t>
      </w:r>
      <w:proofErr w:type="spellEnd"/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FB3F9E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</w:t>
      </w:r>
      <w:r w:rsidR="00CD0029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>Використовують як хіміотерапевтичний препарат для проведення новокаїнових блокад, а також для розчинення антибіотиків з метою знеболити місце ін'єкції та пролонгувати їхню дію</w:t>
      </w:r>
      <w:r w:rsidR="00CD0029" w:rsidRPr="00FF0994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="002F6764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</w:t>
      </w:r>
      <w:r w:rsidR="002F6764" w:rsidRPr="00FF09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5.3 Протипоказання</w:t>
      </w:r>
      <w:r w:rsidR="00DD5F98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2054FC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496FD1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</w:t>
      </w:r>
      <w:r w:rsidR="00496FD1"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 xml:space="preserve">Підвищена індивідуальна чутливість (алергія) до </w:t>
      </w:r>
      <w:r w:rsidR="00496FD1" w:rsidRPr="00366CD4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препарату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оже проявлятись свербежем, висипом, набряками, зади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шкою або анафілактичним шоком.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Особливо обережно у коней та собак, які раніше мали реакції на новокаїн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96FD1"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Захворювання серцево-судинної системи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Серцева недос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татність, аритмії, гіпотонія. 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Новокаїн</w:t>
      </w:r>
      <w:r w:rsidR="00FF0994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(прокаїн)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може знижувати артеріальний тиск і</w:t>
      </w:r>
      <w:r w:rsidR="00496FD1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пригнічувати провідність серця)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="00496FD1"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Печінкова або ниркова недостатність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Метаболізм новокаїну</w:t>
      </w:r>
      <w:r w:rsidR="00FF0994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(прокаїну)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відбувається у печінці, а продукти виводяться нирками, тому при порушенні їх функцій можливе на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копичення токсичних метаболітів); </w:t>
      </w:r>
      <w:r w:rsidR="00496FD1"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 xml:space="preserve">Виражена </w:t>
      </w:r>
      <w:proofErr w:type="spellStart"/>
      <w:r w:rsidR="00496FD1"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гіпотензія</w:t>
      </w:r>
      <w:proofErr w:type="spellEnd"/>
      <w:r w:rsidR="00496FD1"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 xml:space="preserve"> або шокові стани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FF0994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Новокаїн</w:t>
      </w:r>
      <w:r w:rsidR="00FF0994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(прокаїн)</w:t>
      </w:r>
      <w:r w:rsidR="00FF0994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96FD1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може поглиблюва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ти зниження артеріального тиску); </w:t>
      </w:r>
    </w:p>
    <w:p w:rsidR="00317049" w:rsidRDefault="00317049" w:rsidP="00317049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D1451A">
        <w:rPr>
          <w:rFonts w:ascii="Times New Roman" w:hAnsi="Times New Roman" w:cs="Times New Roman"/>
          <w:sz w:val="21"/>
          <w:szCs w:val="21"/>
        </w:rPr>
        <w:lastRenderedPageBreak/>
        <w:t>Продовження додатку 1                                                                                                                                                                           до реєстраційного посвідчення АВ-05568-01-14</w:t>
      </w:r>
      <w:r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</w:t>
      </w:r>
    </w:p>
    <w:p w:rsidR="0090354E" w:rsidRPr="00317049" w:rsidRDefault="00496FD1" w:rsidP="003170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Запальні або гнійні процеси у місці введення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місцевому запаленні ефективність препарату знижується, а ризик усклад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нень (абсцес, некроз) — зростає); </w:t>
      </w:r>
      <w:r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Захворювання центральної нервової системи із судомним синдромом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="00FF0994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Новокаїн</w:t>
      </w:r>
      <w:r w:rsidR="00FF0994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(прокаїн)</w:t>
      </w:r>
      <w:r w:rsidR="00FF0994"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може підвищувати суд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омну готовність у деяких тварин); </w:t>
      </w:r>
      <w:r w:rsidRPr="00496FD1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Виснаження або тяжкий загальний стан тварини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</w:t>
      </w:r>
      <w:r w:rsidRPr="00496FD1">
        <w:rPr>
          <w:rFonts w:ascii="Times New Roman" w:eastAsia="Times New Roman" w:hAnsi="Times New Roman" w:cs="Times New Roman"/>
          <w:sz w:val="21"/>
          <w:szCs w:val="21"/>
          <w:lang w:eastAsia="ru-RU"/>
        </w:rPr>
        <w:t>Знижується толерантність до анестетиків і підви</w:t>
      </w:r>
      <w:r w:rsidR="00485260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щується ризик токсичних реакцій)                                                                                                                      </w:t>
      </w:r>
      <w:r w:rsidR="002054FC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D5F98" w:rsidRPr="00FF0994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5.4 Побічна дія</w:t>
      </w:r>
      <w:r w:rsidR="00DD5F98" w:rsidRPr="00FF099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5273C3" w:rsidRPr="00FF09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85260" w:rsidRPr="00FF09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85260" w:rsidRPr="00366CD4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Алергічні реакції</w:t>
      </w:r>
      <w:r w:rsidR="00485260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Симптоми: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свербіж, висип, набряк у місці ін’єкції, кропив’янка, слинотеча, задишка, у важких випадках —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анафілактичний шок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="00FF0994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Частіше у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коней, собак, котів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, р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ідше — у великої рогатої худоби.);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Токсичні реакції при передозуванні або швидкому введенні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З боку нервової системи: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занепокоєння, тремор, судоми, парези, пригнічення, кома.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З боку серцево-судинної системи: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артеріальна </w:t>
      </w:r>
      <w:proofErr w:type="spellStart"/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гіпотензія</w:t>
      </w:r>
      <w:proofErr w:type="spellEnd"/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слабкий пульс, аритмії, колапс.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З боку дихальної системи: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утруднене дихання, апное при великих дозах.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);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Місцеві реакції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Почервоніння, болючість або набряк у місці введення.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Іноді —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інфільтрат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або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некроз тканин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, якщо препарат введено у місце з інфекцією чи при неправильній техніці.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);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Вегетативні реакції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Зниження артеріального тиску, брадикардія, запаморочення (у тварин проявляється нестійкістю ходи).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Посилення слиновиділення, потовиділення, блюв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ання (особливо у собак і котів));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u w:val="single"/>
          <w:lang w:eastAsia="ru-RU"/>
        </w:rPr>
        <w:t>Інші можливі ефекти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(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Тимчасове порушення координації рухів або пригнічення поведінки.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У жуйних — короткочасне зниження моторики рубця.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повторних ін’єкціях — </w:t>
      </w:r>
      <w:r w:rsidR="00485260" w:rsidRPr="00485260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сенсибілізація організму</w:t>
      </w:r>
      <w:r w:rsidR="00485260" w:rsidRPr="00485260">
        <w:rPr>
          <w:rFonts w:ascii="Times New Roman" w:eastAsia="Times New Roman" w:hAnsi="Times New Roman" w:cs="Times New Roman"/>
          <w:sz w:val="21"/>
          <w:szCs w:val="21"/>
          <w:lang w:eastAsia="ru-RU"/>
        </w:rPr>
        <w:t>, тобто зростає ризик алергії надалі.</w:t>
      </w:r>
      <w:r w:rsidR="005273C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  <w:r w:rsidR="005273C3" w:rsidRPr="00366CD4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                                                                                             </w:t>
      </w:r>
      <w:r w:rsidR="00F33803" w:rsidRPr="00366CD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CC1EAE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5.5 Особливі застереження при використанні</w:t>
      </w:r>
      <w:r w:rsidR="00CC1EAE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</w:t>
      </w:r>
      <w:r w:rsidR="00F2489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Внутрішньоартеріально та внутрішньовенно розчин новокаїну 0,5% для</w:t>
      </w:r>
      <w:r w:rsidR="005F5CF9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2489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F5CF9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ін’єкцій слід вводити повільно.                                                                                                                                      Внутрішньоартеріальні введення препарату у максимальних дозах викликають гальмування кори головного мозку, внутрішньовенні введення – збудження. </w:t>
      </w:r>
      <w:r w:rsidR="00F2489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8787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</w:t>
      </w:r>
      <w:r w:rsidR="0068787A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5.6 Використання під час вагітності, лактації</w:t>
      </w:r>
      <w:r w:rsidR="0068787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</w:t>
      </w:r>
      <w:r w:rsidR="005F5CF9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C232F">
        <w:rPr>
          <w:rFonts w:ascii="Times New Roman" w:eastAsia="Times New Roman" w:hAnsi="Times New Roman" w:cs="Times New Roman"/>
          <w:sz w:val="21"/>
          <w:szCs w:val="21"/>
          <w:lang w:eastAsia="ru-RU"/>
        </w:rPr>
        <w:t>Безпека препарату під час вагітності та лактації не встановлена. Прокаїн проникає через плаценту та виділяється з молоком. Застосовувати лише після оцінки співвідношення користі та ризику відповідальним лікарем ветеринарної медицини.</w:t>
      </w:r>
      <w:r w:rsidR="0068787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68787A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5.7 Взаємодія з іншими засобами та інші форми взаємодії </w:t>
      </w:r>
      <w:r w:rsidR="0068787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</w:t>
      </w:r>
      <w:r w:rsidR="002054F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Препарат несумісний із танінами, лугами, окиснювачами, солями важких металів, гексаметилтетраміном (уротропіном), </w:t>
      </w:r>
      <w:r w:rsidR="00561361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сульфаніламідами. </w:t>
      </w:r>
      <w:r w:rsidR="005F5CF9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</w:t>
      </w:r>
      <w:r w:rsidR="00561361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Сульфаніламіди зменшують анестезуючу дію новокаїну. Новокаїн діє антагоністично по відношенню до сульфаніламідних препаратів</w:t>
      </w:r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 </w:t>
      </w:r>
      <w:r w:rsidR="00470BD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</w:t>
      </w:r>
      <w:r w:rsidR="00892D97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5.8 Дози і способи введення тваринам різного віку</w:t>
      </w:r>
      <w:r w:rsidR="00892D97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</w:t>
      </w:r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Для короткої новокаїнової блокади нервів вимені</w:t>
      </w:r>
      <w:r w:rsidR="003170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 ВРХ</w:t>
      </w:r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(за </w:t>
      </w:r>
      <w:proofErr w:type="spellStart"/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Логвіновим</w:t>
      </w:r>
      <w:proofErr w:type="spellEnd"/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у </w:t>
      </w:r>
      <w:proofErr w:type="spellStart"/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надвименний</w:t>
      </w:r>
      <w:proofErr w:type="spellEnd"/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простір ураженої чверті вводять 150-200 мл розчину новокаїну 0,5% для ін’єкцій.                                                                                Для блокад</w:t>
      </w:r>
      <w:r w:rsidR="003170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зовнішнього соромітного нерва у ВРХ </w:t>
      </w:r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(за </w:t>
      </w:r>
      <w:proofErr w:type="spellStart"/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Башкіровим</w:t>
      </w:r>
      <w:proofErr w:type="spellEnd"/>
      <w:r w:rsidR="00321C1C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у рихлу клітковину між великим і малим поперековими м’язами відповідної сторони вводять 80-100 мл розчину новокаїну 0,5% для ін’єкцій.                                                                                                                                                                              Для </w:t>
      </w:r>
      <w:proofErr w:type="spellStart"/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паранефральної</w:t>
      </w:r>
      <w:proofErr w:type="spellEnd"/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блокади (за Вишневським) препарат вводять у </w:t>
      </w:r>
      <w:proofErr w:type="spellStart"/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навколониркову</w:t>
      </w:r>
      <w:proofErr w:type="spellEnd"/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клітковину. Дози та способи введення препарату залежать від мети застосування (можливе інфільтрування розчину у тканини, у місце проходження нерву, внутрішньовенно або </w:t>
      </w:r>
      <w:proofErr w:type="spellStart"/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внутрішньоаортально</w:t>
      </w:r>
      <w:proofErr w:type="spellEnd"/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). Також можливе використання препарату як розчинника для сухих форм антибіотиків.                        </w:t>
      </w:r>
      <w:r w:rsid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</w:t>
      </w:r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B395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C82BFA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="00C5634A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ози розчину новокаїну 0,5% для </w:t>
      </w:r>
      <w:r w:rsidR="00F33803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ін’єкцій :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890"/>
        <w:gridCol w:w="3037"/>
      </w:tblGrid>
      <w:tr w:rsidR="00132B7F" w:rsidTr="00132B7F">
        <w:tc>
          <w:tcPr>
            <w:tcW w:w="2660" w:type="dxa"/>
            <w:vAlign w:val="center"/>
          </w:tcPr>
          <w:p w:rsidR="00132B7F" w:rsidRPr="00DB3950" w:rsidRDefault="00132B7F" w:rsidP="00B017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Вид тварини</w:t>
            </w:r>
          </w:p>
        </w:tc>
        <w:tc>
          <w:tcPr>
            <w:tcW w:w="1984" w:type="dxa"/>
            <w:vAlign w:val="center"/>
          </w:tcPr>
          <w:p w:rsidR="00132B7F" w:rsidRPr="00DB3950" w:rsidRDefault="00132B7F" w:rsidP="00B017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Терапевтична доза (мл/кг)</w:t>
            </w:r>
          </w:p>
        </w:tc>
        <w:tc>
          <w:tcPr>
            <w:tcW w:w="1890" w:type="dxa"/>
            <w:vAlign w:val="center"/>
          </w:tcPr>
          <w:p w:rsidR="00132B7F" w:rsidRPr="00DB3950" w:rsidRDefault="00132B7F" w:rsidP="00B017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Максимальна доза (мл)</w:t>
            </w:r>
          </w:p>
        </w:tc>
        <w:tc>
          <w:tcPr>
            <w:tcW w:w="3037" w:type="dxa"/>
          </w:tcPr>
          <w:p w:rsidR="00132B7F" w:rsidRPr="00DB3950" w:rsidRDefault="00132B7F" w:rsidP="00132B7F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Основні шляхи введення</w:t>
            </w:r>
          </w:p>
        </w:tc>
      </w:tr>
      <w:tr w:rsidR="00132B7F" w:rsidTr="00132B7F">
        <w:tc>
          <w:tcPr>
            <w:tcW w:w="2660" w:type="dxa"/>
            <w:vAlign w:val="center"/>
          </w:tcPr>
          <w:p w:rsidR="00132B7F" w:rsidRPr="00DB3950" w:rsidRDefault="00132B7F" w:rsidP="00B017E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Велика рогата худоба</w:t>
            </w:r>
          </w:p>
        </w:tc>
        <w:tc>
          <w:tcPr>
            <w:tcW w:w="1984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0,5–1,0</w:t>
            </w:r>
          </w:p>
        </w:tc>
        <w:tc>
          <w:tcPr>
            <w:tcW w:w="1890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300–400 мл</w:t>
            </w:r>
          </w:p>
        </w:tc>
        <w:tc>
          <w:tcPr>
            <w:tcW w:w="3037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Підшкірно, </w:t>
            </w:r>
            <w:proofErr w:type="spellStart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параневрально</w:t>
            </w:r>
            <w:proofErr w:type="spellEnd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епідурально</w:t>
            </w:r>
            <w:proofErr w:type="spellEnd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іноді внутрішньовенно</w:t>
            </w:r>
            <w:r w:rsidR="00C82BFA"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чи </w:t>
            </w: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C82BFA"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внутрішньоаортально</w:t>
            </w:r>
            <w:proofErr w:type="spellEnd"/>
            <w:r w:rsidR="00C82BFA"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(0,25%)</w:t>
            </w:r>
          </w:p>
        </w:tc>
      </w:tr>
      <w:tr w:rsidR="00132B7F" w:rsidTr="00132B7F">
        <w:tc>
          <w:tcPr>
            <w:tcW w:w="2660" w:type="dxa"/>
            <w:vAlign w:val="center"/>
          </w:tcPr>
          <w:p w:rsidR="00132B7F" w:rsidRPr="00DB3950" w:rsidRDefault="00132B7F" w:rsidP="00B017E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Коні</w:t>
            </w:r>
          </w:p>
        </w:tc>
        <w:tc>
          <w:tcPr>
            <w:tcW w:w="1984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0,5–1,0</w:t>
            </w:r>
          </w:p>
        </w:tc>
        <w:tc>
          <w:tcPr>
            <w:tcW w:w="1890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300 мл</w:t>
            </w:r>
          </w:p>
        </w:tc>
        <w:tc>
          <w:tcPr>
            <w:tcW w:w="3037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Підшкірно, блокади, </w:t>
            </w:r>
            <w:proofErr w:type="spellStart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епідурально</w:t>
            </w:r>
            <w:proofErr w:type="spellEnd"/>
          </w:p>
        </w:tc>
      </w:tr>
      <w:tr w:rsidR="00C82BFA" w:rsidTr="00132B7F">
        <w:tc>
          <w:tcPr>
            <w:tcW w:w="2660" w:type="dxa"/>
            <w:vAlign w:val="center"/>
          </w:tcPr>
          <w:p w:rsidR="00C82BFA" w:rsidRPr="00DB3950" w:rsidRDefault="00C82BFA" w:rsidP="00B017E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Вівці </w:t>
            </w:r>
          </w:p>
        </w:tc>
        <w:tc>
          <w:tcPr>
            <w:tcW w:w="1984" w:type="dxa"/>
            <w:vAlign w:val="center"/>
          </w:tcPr>
          <w:p w:rsidR="00C82BFA" w:rsidRPr="00DB3950" w:rsidRDefault="00C82BFA" w:rsidP="00B017E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1890" w:type="dxa"/>
            <w:vAlign w:val="center"/>
          </w:tcPr>
          <w:p w:rsidR="00C82BFA" w:rsidRPr="00DB3950" w:rsidRDefault="00C82BFA" w:rsidP="00B017E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100 мл</w:t>
            </w:r>
          </w:p>
        </w:tc>
        <w:tc>
          <w:tcPr>
            <w:tcW w:w="3037" w:type="dxa"/>
            <w:vAlign w:val="center"/>
          </w:tcPr>
          <w:p w:rsidR="00C82BFA" w:rsidRPr="00DB3950" w:rsidRDefault="00C82BFA" w:rsidP="00B017EC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Підшкірно, блокади</w:t>
            </w:r>
          </w:p>
        </w:tc>
      </w:tr>
      <w:tr w:rsidR="00132B7F" w:rsidTr="00132B7F">
        <w:tc>
          <w:tcPr>
            <w:tcW w:w="2660" w:type="dxa"/>
            <w:vAlign w:val="center"/>
          </w:tcPr>
          <w:p w:rsidR="00132B7F" w:rsidRPr="00DB3950" w:rsidRDefault="00132B7F" w:rsidP="00B017E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Свині</w:t>
            </w:r>
          </w:p>
        </w:tc>
        <w:tc>
          <w:tcPr>
            <w:tcW w:w="1984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0,25–0,5</w:t>
            </w:r>
          </w:p>
        </w:tc>
        <w:tc>
          <w:tcPr>
            <w:tcW w:w="1890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150 мл</w:t>
            </w:r>
          </w:p>
        </w:tc>
        <w:tc>
          <w:tcPr>
            <w:tcW w:w="3037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Підшкірно, блокади</w:t>
            </w:r>
          </w:p>
        </w:tc>
      </w:tr>
      <w:tr w:rsidR="00132B7F" w:rsidTr="00132B7F">
        <w:tc>
          <w:tcPr>
            <w:tcW w:w="2660" w:type="dxa"/>
            <w:vAlign w:val="center"/>
          </w:tcPr>
          <w:p w:rsidR="00132B7F" w:rsidRPr="00DB3950" w:rsidRDefault="00132B7F" w:rsidP="00B017EC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DB39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Собаки</w:t>
            </w:r>
          </w:p>
        </w:tc>
        <w:tc>
          <w:tcPr>
            <w:tcW w:w="1984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0,5–1,0</w:t>
            </w:r>
          </w:p>
        </w:tc>
        <w:tc>
          <w:tcPr>
            <w:tcW w:w="1890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 10 мг/кг (≈2 мл/кг)</w:t>
            </w:r>
          </w:p>
        </w:tc>
        <w:tc>
          <w:tcPr>
            <w:tcW w:w="3037" w:type="dxa"/>
            <w:vAlign w:val="center"/>
          </w:tcPr>
          <w:p w:rsidR="00132B7F" w:rsidRPr="00DB3950" w:rsidRDefault="00132B7F" w:rsidP="00C82BF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Підшкірно, </w:t>
            </w:r>
            <w:proofErr w:type="spellStart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інфільтраційно</w:t>
            </w:r>
            <w:proofErr w:type="spellEnd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B395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епідурально</w:t>
            </w:r>
            <w:proofErr w:type="spellEnd"/>
          </w:p>
        </w:tc>
      </w:tr>
    </w:tbl>
    <w:p w:rsidR="00DB3950" w:rsidRDefault="00DB3950" w:rsidP="00C82BFA">
      <w:pPr>
        <w:spacing w:before="100" w:beforeAutospacing="1" w:after="100" w:afterAutospacing="1" w:line="240" w:lineRule="auto"/>
        <w:jc w:val="right"/>
        <w:outlineLvl w:val="3"/>
        <w:rPr>
          <w:rFonts w:ascii="Times New Roman" w:hAnsi="Times New Roman" w:cs="Times New Roman"/>
          <w:sz w:val="21"/>
          <w:szCs w:val="21"/>
        </w:rPr>
      </w:pPr>
    </w:p>
    <w:p w:rsidR="00132B7F" w:rsidRDefault="00C82BFA" w:rsidP="00C82BFA">
      <w:pPr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451A">
        <w:rPr>
          <w:rFonts w:ascii="Times New Roman" w:hAnsi="Times New Roman" w:cs="Times New Roman"/>
          <w:sz w:val="21"/>
          <w:szCs w:val="21"/>
        </w:rPr>
        <w:lastRenderedPageBreak/>
        <w:t>Продовження додатку 1                                                                                                                                                                           до реєстраційного посвідчення АВ-05568-01-14</w:t>
      </w:r>
    </w:p>
    <w:p w:rsidR="0081387B" w:rsidRPr="00D1451A" w:rsidRDefault="00F33803" w:rsidP="00B07C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Перед введенням препарат підігрівають до температури тіла тварини.                                                    Внутрішньоартеріально і внутрішньовенно препарат слід вводити повільно.</w:t>
      </w:r>
      <w:r w:rsidR="00983F7D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3170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Препарат застосовують як розчинник для антибіотиків у формі порошків для ін’єкцій , відповідно до рекомендацій, які зазначені у листівках_вкладках та коротких характеристиках цих ветеринарних лікарських засобів.</w:t>
      </w:r>
      <w:r w:rsidR="00983F7D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</w:t>
      </w:r>
      <w:r w:rsid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</w:t>
      </w:r>
      <w:r w:rsidR="00983F7D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1704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</w:t>
      </w:r>
      <w:r w:rsidR="00F6498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5.9 Передозування (симптоми, невідкладні засоби, антидоти)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Даних немає.                                                                                                                                                                               </w:t>
      </w:r>
      <w:r w:rsidR="00F6498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5.10 Спеціальні застереження 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983F7D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Внутрішньовенне введення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83F7D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препарату у максимальних дозах викликає збудження, а внутрішньо аортальні ін’єкції – гальмування функцій кори головного мозку.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</w:t>
      </w:r>
      <w:r w:rsidR="00F6498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5.11 Період виведення (каренції)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</w:t>
      </w:r>
      <w:r w:rsidR="004F36B6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вимагається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F6498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5.12 Спеціальні застереження для осіб і обслуговуючого персоналу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Дотримуватись правил асептики та техніки безпечної фіксації тварин. Вводити повільно!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</w:t>
      </w:r>
      <w:r w:rsidR="00F6498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6. Фармацевтичні особливості</w:t>
      </w:r>
      <w:r w:rsidR="00F649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F6498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6.1 </w:t>
      </w:r>
      <w:r w:rsidR="00D87884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Форми несумісності (основні)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B96F67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Із танінами, лугами, окиснювачами, солями важких металів, гексаметилтетраміном (уротропіном), сульфаніламідами.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</w:t>
      </w:r>
      <w:r w:rsidR="00D00E86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</w:t>
      </w:r>
      <w:r w:rsidR="00D87884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6.2 Термін придатності 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B96F67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2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роки.                                                                                                                                                                                           </w:t>
      </w:r>
      <w:r w:rsidR="00D87884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6.3 Особливі заходи зберігання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B96F67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У сухому темному</w:t>
      </w:r>
      <w:r w:rsidR="0090354E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недоступному для дітей</w:t>
      </w:r>
      <w:r w:rsidR="00B96F67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місці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температури від 0 до 25 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ru-RU"/>
        </w:rPr>
        <w:t xml:space="preserve">о </w:t>
      </w:r>
      <w:r w:rsidR="00D87884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>С.</w:t>
      </w:r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</w:t>
      </w:r>
      <w:r w:rsidR="00100B66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6.4 Природа і склад контейнера первинного пакування </w:t>
      </w:r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</w:t>
      </w:r>
      <w:r w:rsidR="00F37BF5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Скляні стерильні флакони по 100 і 200 мл закупорені гумовими корками та обкатані алюмінієвими ковпачками. </w:t>
      </w:r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</w:t>
      </w:r>
      <w:bookmarkStart w:id="0" w:name="_GoBack"/>
      <w:bookmarkEnd w:id="0"/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F37BF5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6.5 Особливі заходи безпеки при поводженні з невикористаним препаратом або з його залишками</w:t>
      </w:r>
      <w:r w:rsidR="00F37BF5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F37BF5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Невикористаний препарат або його залишки мають бути утилізовані згідно чинних вимог </w:t>
      </w:r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</w:t>
      </w:r>
      <w:r w:rsidR="00F37BF5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7. Назва і місцезнаходження власника реєстраційного посвідчення </w:t>
      </w:r>
      <w:r w:rsidR="00596C7B" w:rsidRPr="00D145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="00F37BF5" w:rsidRPr="00D1451A">
        <w:rPr>
          <w:rFonts w:ascii="Times New Roman" w:hAnsi="Times New Roman" w:cs="Times New Roman"/>
          <w:sz w:val="21"/>
          <w:szCs w:val="21"/>
        </w:rPr>
        <w:t>ТОВ «Науково-виробниче підприємство «АГРОВЕТСЕРВІС»</w:t>
      </w:r>
      <w:r w:rsidR="00B96F67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</w:t>
      </w:r>
      <w:r w:rsidR="00F37BF5" w:rsidRPr="00D1451A">
        <w:rPr>
          <w:rFonts w:ascii="Times New Roman" w:hAnsi="Times New Roman" w:cs="Times New Roman"/>
          <w:sz w:val="21"/>
          <w:szCs w:val="21"/>
        </w:rPr>
        <w:t xml:space="preserve">вул. Польова, 13, с. Кинашів, Тульчинський р-н. Вінницька </w:t>
      </w:r>
      <w:r w:rsidR="00B96F67" w:rsidRPr="00D1451A">
        <w:rPr>
          <w:rFonts w:ascii="Times New Roman" w:hAnsi="Times New Roman" w:cs="Times New Roman"/>
          <w:sz w:val="21"/>
          <w:szCs w:val="21"/>
        </w:rPr>
        <w:t>обл.</w:t>
      </w:r>
      <w:r w:rsidR="00F37BF5" w:rsidRPr="00D1451A">
        <w:rPr>
          <w:rFonts w:ascii="Times New Roman" w:hAnsi="Times New Roman" w:cs="Times New Roman"/>
          <w:sz w:val="21"/>
          <w:szCs w:val="21"/>
        </w:rPr>
        <w:t>, 23607,У країна</w:t>
      </w:r>
      <w:r w:rsidR="00B96F67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</w:t>
      </w:r>
      <w:r w:rsidR="00F37BF5" w:rsidRPr="00D1451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8. Назва і місцезнаходження виробника</w:t>
      </w:r>
      <w:r w:rsidR="00596C7B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ТОВ «Науково-виробниче підприємство «АГРОВЕТСЕРВІС»</w:t>
      </w:r>
      <w:r w:rsidR="00B96F67" w:rsidRPr="00D1451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</w:t>
      </w:r>
      <w:r w:rsidR="00596C7B" w:rsidRPr="00D1451A">
        <w:rPr>
          <w:rFonts w:ascii="Times New Roman" w:hAnsi="Times New Roman" w:cs="Times New Roman"/>
          <w:sz w:val="21"/>
          <w:szCs w:val="21"/>
        </w:rPr>
        <w:t xml:space="preserve">вул. Польова, 13, с. Кинашів, Тульчинський р-н. Вінницька </w:t>
      </w:r>
      <w:r w:rsidR="00B96F67" w:rsidRPr="00D1451A">
        <w:rPr>
          <w:rFonts w:ascii="Times New Roman" w:hAnsi="Times New Roman" w:cs="Times New Roman"/>
          <w:sz w:val="21"/>
          <w:szCs w:val="21"/>
        </w:rPr>
        <w:t>обл.</w:t>
      </w:r>
      <w:r w:rsidR="00596C7B" w:rsidRPr="00D1451A">
        <w:rPr>
          <w:rFonts w:ascii="Times New Roman" w:hAnsi="Times New Roman" w:cs="Times New Roman"/>
          <w:sz w:val="21"/>
          <w:szCs w:val="21"/>
        </w:rPr>
        <w:t xml:space="preserve">, 23607,У країна                                                                        </w:t>
      </w:r>
      <w:r w:rsidR="00596C7B" w:rsidRPr="00D1451A">
        <w:rPr>
          <w:rFonts w:ascii="Times New Roman" w:hAnsi="Times New Roman" w:cs="Times New Roman"/>
          <w:b/>
          <w:sz w:val="21"/>
          <w:szCs w:val="21"/>
        </w:rPr>
        <w:t>9. Додаткова інформація</w:t>
      </w:r>
    </w:p>
    <w:sectPr w:rsidR="0081387B" w:rsidRPr="00D1451A" w:rsidSect="00D00E86">
      <w:footerReference w:type="default" r:id="rId9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D2" w:rsidRDefault="00AC19D2" w:rsidP="0068787A">
      <w:pPr>
        <w:spacing w:after="0" w:line="240" w:lineRule="auto"/>
      </w:pPr>
      <w:r>
        <w:separator/>
      </w:r>
    </w:p>
  </w:endnote>
  <w:endnote w:type="continuationSeparator" w:id="0">
    <w:p w:rsidR="00AC19D2" w:rsidRDefault="00AC19D2" w:rsidP="0068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874730"/>
      <w:docPartObj>
        <w:docPartGallery w:val="Page Numbers (Bottom of Page)"/>
        <w:docPartUnique/>
      </w:docPartObj>
    </w:sdtPr>
    <w:sdtEndPr/>
    <w:sdtContent>
      <w:p w:rsidR="0068787A" w:rsidRDefault="006878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D28" w:rsidRPr="00607D28">
          <w:rPr>
            <w:noProof/>
            <w:lang w:val="ru-RU"/>
          </w:rPr>
          <w:t>3</w:t>
        </w:r>
        <w:r>
          <w:fldChar w:fldCharType="end"/>
        </w:r>
      </w:p>
    </w:sdtContent>
  </w:sdt>
  <w:p w:rsidR="0068787A" w:rsidRDefault="006878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D2" w:rsidRDefault="00AC19D2" w:rsidP="0068787A">
      <w:pPr>
        <w:spacing w:after="0" w:line="240" w:lineRule="auto"/>
      </w:pPr>
      <w:r>
        <w:separator/>
      </w:r>
    </w:p>
  </w:footnote>
  <w:footnote w:type="continuationSeparator" w:id="0">
    <w:p w:rsidR="00AC19D2" w:rsidRDefault="00AC19D2" w:rsidP="0068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6E10"/>
    <w:multiLevelType w:val="multilevel"/>
    <w:tmpl w:val="74C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7CB6"/>
    <w:multiLevelType w:val="multilevel"/>
    <w:tmpl w:val="587E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A7F3C"/>
    <w:multiLevelType w:val="multilevel"/>
    <w:tmpl w:val="04A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4438F4"/>
    <w:multiLevelType w:val="multilevel"/>
    <w:tmpl w:val="3DC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A86F47"/>
    <w:multiLevelType w:val="multilevel"/>
    <w:tmpl w:val="AF5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33D29"/>
    <w:multiLevelType w:val="multilevel"/>
    <w:tmpl w:val="14AE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BB5EEC"/>
    <w:multiLevelType w:val="multilevel"/>
    <w:tmpl w:val="83CE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6E7D22"/>
    <w:multiLevelType w:val="multilevel"/>
    <w:tmpl w:val="CCA2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52F04"/>
    <w:multiLevelType w:val="multilevel"/>
    <w:tmpl w:val="D5C2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FD67B8"/>
    <w:multiLevelType w:val="hybridMultilevel"/>
    <w:tmpl w:val="42761D18"/>
    <w:lvl w:ilvl="0" w:tplc="398ADA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AC64F94"/>
    <w:multiLevelType w:val="multilevel"/>
    <w:tmpl w:val="557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A8"/>
    <w:rsid w:val="000D15AB"/>
    <w:rsid w:val="000E54A7"/>
    <w:rsid w:val="00100B66"/>
    <w:rsid w:val="001147BF"/>
    <w:rsid w:val="00132B7F"/>
    <w:rsid w:val="001523B4"/>
    <w:rsid w:val="001724FD"/>
    <w:rsid w:val="001B3E24"/>
    <w:rsid w:val="001D66FD"/>
    <w:rsid w:val="002050A0"/>
    <w:rsid w:val="002054FC"/>
    <w:rsid w:val="00285084"/>
    <w:rsid w:val="002F6764"/>
    <w:rsid w:val="00312DC6"/>
    <w:rsid w:val="00317049"/>
    <w:rsid w:val="00321C1C"/>
    <w:rsid w:val="0033405D"/>
    <w:rsid w:val="00357635"/>
    <w:rsid w:val="00366CD4"/>
    <w:rsid w:val="00374ED7"/>
    <w:rsid w:val="003C1D22"/>
    <w:rsid w:val="003C2CE0"/>
    <w:rsid w:val="00405A3A"/>
    <w:rsid w:val="004201BB"/>
    <w:rsid w:val="00470BDA"/>
    <w:rsid w:val="00485260"/>
    <w:rsid w:val="00496FD1"/>
    <w:rsid w:val="004F36B6"/>
    <w:rsid w:val="005273C3"/>
    <w:rsid w:val="00561361"/>
    <w:rsid w:val="00567ED4"/>
    <w:rsid w:val="005744B0"/>
    <w:rsid w:val="00596C7B"/>
    <w:rsid w:val="005E78A7"/>
    <w:rsid w:val="005F5CF9"/>
    <w:rsid w:val="00607D28"/>
    <w:rsid w:val="00665856"/>
    <w:rsid w:val="00680FFB"/>
    <w:rsid w:val="0068787A"/>
    <w:rsid w:val="006C4031"/>
    <w:rsid w:val="0081387B"/>
    <w:rsid w:val="00826765"/>
    <w:rsid w:val="00867F8C"/>
    <w:rsid w:val="00885182"/>
    <w:rsid w:val="00892D97"/>
    <w:rsid w:val="00897AED"/>
    <w:rsid w:val="0090354E"/>
    <w:rsid w:val="009116F9"/>
    <w:rsid w:val="00975AB9"/>
    <w:rsid w:val="00983F7D"/>
    <w:rsid w:val="009E60A8"/>
    <w:rsid w:val="00A237E6"/>
    <w:rsid w:val="00AC19D2"/>
    <w:rsid w:val="00B00BD1"/>
    <w:rsid w:val="00B07C24"/>
    <w:rsid w:val="00B96F67"/>
    <w:rsid w:val="00B97664"/>
    <w:rsid w:val="00BA0865"/>
    <w:rsid w:val="00BC6100"/>
    <w:rsid w:val="00C550EF"/>
    <w:rsid w:val="00C5634A"/>
    <w:rsid w:val="00C82BFA"/>
    <w:rsid w:val="00CC1EAE"/>
    <w:rsid w:val="00CD0029"/>
    <w:rsid w:val="00D00E86"/>
    <w:rsid w:val="00D06FEE"/>
    <w:rsid w:val="00D1451A"/>
    <w:rsid w:val="00D71E93"/>
    <w:rsid w:val="00D87884"/>
    <w:rsid w:val="00DB3950"/>
    <w:rsid w:val="00DD5F98"/>
    <w:rsid w:val="00E355E0"/>
    <w:rsid w:val="00EC232F"/>
    <w:rsid w:val="00EE2B59"/>
    <w:rsid w:val="00F24894"/>
    <w:rsid w:val="00F33803"/>
    <w:rsid w:val="00F37BF5"/>
    <w:rsid w:val="00F64986"/>
    <w:rsid w:val="00F7126A"/>
    <w:rsid w:val="00FB3F9E"/>
    <w:rsid w:val="00FF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87A"/>
    <w:rPr>
      <w:lang w:val="uk-UA"/>
    </w:rPr>
  </w:style>
  <w:style w:type="paragraph" w:styleId="a6">
    <w:name w:val="footer"/>
    <w:basedOn w:val="a"/>
    <w:link w:val="a7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87A"/>
    <w:rPr>
      <w:lang w:val="uk-UA"/>
    </w:rPr>
  </w:style>
  <w:style w:type="paragraph" w:customStyle="1" w:styleId="Default">
    <w:name w:val="Default"/>
    <w:rsid w:val="00F37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8">
    <w:name w:val="Table Grid"/>
    <w:basedOn w:val="a1"/>
    <w:uiPriority w:val="59"/>
    <w:rsid w:val="0013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2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787A"/>
    <w:rPr>
      <w:lang w:val="uk-UA"/>
    </w:rPr>
  </w:style>
  <w:style w:type="paragraph" w:styleId="a6">
    <w:name w:val="footer"/>
    <w:basedOn w:val="a"/>
    <w:link w:val="a7"/>
    <w:uiPriority w:val="99"/>
    <w:unhideWhenUsed/>
    <w:rsid w:val="0068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787A"/>
    <w:rPr>
      <w:lang w:val="uk-UA"/>
    </w:rPr>
  </w:style>
  <w:style w:type="paragraph" w:customStyle="1" w:styleId="Default">
    <w:name w:val="Default"/>
    <w:rsid w:val="00F37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8">
    <w:name w:val="Table Grid"/>
    <w:basedOn w:val="a1"/>
    <w:uiPriority w:val="59"/>
    <w:rsid w:val="0013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3F5C6-D9F4-4CAA-9C53-DBF535FD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12128</Words>
  <Characters>6913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Lyuba_Kalynovska</cp:lastModifiedBy>
  <cp:revision>5</cp:revision>
  <dcterms:created xsi:type="dcterms:W3CDTF">2025-11-14T08:10:00Z</dcterms:created>
  <dcterms:modified xsi:type="dcterms:W3CDTF">2025-11-19T07:27:00Z</dcterms:modified>
</cp:coreProperties>
</file>