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D7" w:rsidRDefault="000A01D7" w:rsidP="00962A8D">
      <w:pPr>
        <w:pStyle w:val="10"/>
        <w:keepNext/>
        <w:keepLines/>
        <w:shd w:val="clear" w:color="auto" w:fill="auto"/>
        <w:spacing w:after="0" w:line="240" w:lineRule="auto"/>
        <w:ind w:firstLine="567"/>
        <w:jc w:val="center"/>
        <w:rPr>
          <w:lang w:val="ru-RU" w:eastAsia="ru-RU"/>
        </w:rPr>
      </w:pPr>
      <w:bookmarkStart w:id="0" w:name="bookmark0"/>
      <w:r>
        <w:rPr>
          <w:lang w:val="ru-RU" w:eastAsia="ru-RU"/>
        </w:rPr>
        <w:t>Коротка характеристика препарату</w:t>
      </w:r>
      <w:bookmarkEnd w:id="0"/>
    </w:p>
    <w:p w:rsidR="000A01D7" w:rsidRDefault="000A01D7" w:rsidP="00962A8D">
      <w:pPr>
        <w:pStyle w:val="10"/>
        <w:keepNext/>
        <w:keepLines/>
        <w:shd w:val="clear" w:color="auto" w:fill="auto"/>
        <w:spacing w:after="0" w:line="240" w:lineRule="auto"/>
        <w:ind w:firstLine="567"/>
        <w:rPr>
          <w:lang w:val="ru-RU" w:eastAsia="ru-RU"/>
        </w:rPr>
      </w:pPr>
    </w:p>
    <w:p w:rsidR="000A01D7" w:rsidRDefault="000A01D7" w:rsidP="00962A8D">
      <w:pPr>
        <w:pStyle w:val="10"/>
        <w:keepNext/>
        <w:keepLines/>
        <w:shd w:val="clear" w:color="auto" w:fill="auto"/>
        <w:spacing w:after="0" w:line="240" w:lineRule="auto"/>
        <w:ind w:firstLine="567"/>
      </w:pPr>
    </w:p>
    <w:p w:rsidR="000A01D7" w:rsidRDefault="000A01D7" w:rsidP="00962A8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58"/>
        </w:tabs>
        <w:spacing w:after="0" w:line="240" w:lineRule="auto"/>
        <w:ind w:firstLine="567"/>
        <w:jc w:val="both"/>
      </w:pPr>
      <w:bookmarkStart w:id="1" w:name="bookmark1"/>
      <w:r>
        <w:t>Назва</w:t>
      </w:r>
      <w:bookmarkEnd w:id="1"/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Ветерелін</w:t>
      </w:r>
    </w:p>
    <w:p w:rsidR="000A01D7" w:rsidRDefault="000A01D7" w:rsidP="00962A8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63"/>
        </w:tabs>
        <w:spacing w:after="0" w:line="240" w:lineRule="auto"/>
        <w:ind w:firstLine="567"/>
        <w:jc w:val="both"/>
      </w:pPr>
      <w:bookmarkStart w:id="2" w:name="bookmark2"/>
      <w:r>
        <w:rPr>
          <w:lang w:val="ru-RU" w:eastAsia="ru-RU"/>
        </w:rPr>
        <w:t>Склад</w:t>
      </w:r>
      <w:bookmarkEnd w:id="2"/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rPr>
          <w:lang w:val="ru-RU" w:eastAsia="ru-RU"/>
        </w:rPr>
        <w:t xml:space="preserve">1 мл препарату </w:t>
      </w:r>
      <w:r>
        <w:t>містить діючу речовину:</w:t>
      </w:r>
    </w:p>
    <w:p w:rsidR="000A01D7" w:rsidRDefault="000A01D7" w:rsidP="00962A8D">
      <w:pPr>
        <w:pStyle w:val="20"/>
        <w:shd w:val="clear" w:color="auto" w:fill="auto"/>
        <w:tabs>
          <w:tab w:val="left" w:pos="3605"/>
        </w:tabs>
        <w:spacing w:line="240" w:lineRule="auto"/>
        <w:ind w:firstLine="567"/>
      </w:pPr>
      <w:r>
        <w:t>бусерелін - 0,004 мг (</w:t>
      </w:r>
      <w:r>
        <w:rPr>
          <w:lang w:val="en-US"/>
        </w:rPr>
        <w:t>mg</w:t>
      </w:r>
      <w:r w:rsidRPr="00CE2C31">
        <w:t>)</w:t>
      </w:r>
      <w:r>
        <w:t>, (що еквівалентно 0,0042 мг</w:t>
      </w:r>
      <w:r w:rsidRPr="00CE2C31">
        <w:t xml:space="preserve"> (</w:t>
      </w:r>
      <w:r>
        <w:rPr>
          <w:lang w:val="en-US"/>
        </w:rPr>
        <w:t>mg</w:t>
      </w:r>
      <w:r w:rsidRPr="00CE2C31">
        <w:t>)</w:t>
      </w:r>
      <w:r>
        <w:t xml:space="preserve"> бусереліну ацетату).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  <w:jc w:val="left"/>
      </w:pPr>
      <w:r>
        <w:t>Допоміжні речовини: бензиловий спирт, натрію хлорид, натрію дигідрофосфат, гідроксид натрію, вода для ін’єкцій.</w:t>
      </w:r>
    </w:p>
    <w:p w:rsidR="000A01D7" w:rsidRDefault="000A01D7" w:rsidP="00962A8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63"/>
        </w:tabs>
        <w:spacing w:after="0" w:line="240" w:lineRule="auto"/>
        <w:ind w:firstLine="567"/>
        <w:jc w:val="both"/>
      </w:pPr>
      <w:bookmarkStart w:id="3" w:name="bookmark3"/>
      <w:r>
        <w:t>Фармацевтична форма</w:t>
      </w:r>
      <w:bookmarkEnd w:id="3"/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Розчин для ін’єкцій.</w:t>
      </w:r>
    </w:p>
    <w:p w:rsidR="000A01D7" w:rsidRDefault="000A01D7" w:rsidP="00962A8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63"/>
        </w:tabs>
        <w:spacing w:after="0" w:line="240" w:lineRule="auto"/>
        <w:ind w:firstLine="567"/>
        <w:jc w:val="both"/>
      </w:pPr>
      <w:bookmarkStart w:id="4" w:name="bookmark4"/>
      <w:r>
        <w:t>Фармакологічні властивості</w:t>
      </w:r>
      <w:bookmarkEnd w:id="4"/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rPr>
          <w:lang w:val="de-DE" w:eastAsia="de-DE"/>
        </w:rPr>
        <w:t>ATC</w:t>
      </w:r>
      <w:r w:rsidRPr="00AA6875">
        <w:rPr>
          <w:lang w:eastAsia="de-DE"/>
        </w:rPr>
        <w:t>-</w:t>
      </w:r>
      <w:r>
        <w:rPr>
          <w:lang w:val="de-DE" w:eastAsia="de-DE"/>
        </w:rPr>
        <w:t>vet</w:t>
      </w:r>
      <w:r w:rsidRPr="00AA6875">
        <w:rPr>
          <w:lang w:eastAsia="de-DE"/>
        </w:rPr>
        <w:t xml:space="preserve"> </w:t>
      </w:r>
      <w:r>
        <w:t xml:space="preserve">класифікаційний код: </w:t>
      </w:r>
      <w:r>
        <w:rPr>
          <w:lang w:val="de-DE" w:eastAsia="de-DE"/>
        </w:rPr>
        <w:t>QH</w:t>
      </w:r>
      <w:r w:rsidRPr="00AA6875">
        <w:rPr>
          <w:lang w:eastAsia="de-DE"/>
        </w:rPr>
        <w:t>01</w:t>
      </w:r>
      <w:r>
        <w:rPr>
          <w:lang w:val="de-DE" w:eastAsia="de-DE"/>
        </w:rPr>
        <w:t>CA</w:t>
      </w:r>
      <w:r w:rsidRPr="00AA6875">
        <w:rPr>
          <w:lang w:eastAsia="de-DE"/>
        </w:rPr>
        <w:t xml:space="preserve">90 </w:t>
      </w:r>
      <w:r>
        <w:t>Гонадотропін-релізінг гормони.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 xml:space="preserve">Бусерелін - пептид, синтетичний аналог релізінг гормону (РГ) лютенізуючого гормону (ЛГ) і фолікулостимулючого гормону (ФСГ), таким чином, є аналогом гонадотропін-релізінг гормону </w:t>
      </w:r>
      <w:r w:rsidRPr="00AA6875">
        <w:rPr>
          <w:lang w:eastAsia="de-DE"/>
        </w:rPr>
        <w:t>(</w:t>
      </w:r>
      <w:r>
        <w:rPr>
          <w:lang w:val="de-DE" w:eastAsia="de-DE"/>
        </w:rPr>
        <w:t>GnRH</w:t>
      </w:r>
      <w:r w:rsidRPr="00AA6875">
        <w:rPr>
          <w:lang w:eastAsia="de-DE"/>
        </w:rPr>
        <w:t xml:space="preserve">). </w:t>
      </w:r>
      <w:r>
        <w:t>Механізм дії Ветереліну пов'язаний із фізіологічно-ендокринологічною дією гонадотропін- релізінг гормону.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rPr>
          <w:lang w:val="de-DE" w:eastAsia="de-DE"/>
        </w:rPr>
        <w:t>GnRH</w:t>
      </w:r>
      <w:r w:rsidRPr="00AA6875">
        <w:rPr>
          <w:lang w:eastAsia="de-DE"/>
        </w:rPr>
        <w:t xml:space="preserve"> </w:t>
      </w:r>
      <w:r>
        <w:t>проходить гіпоталамус через портальні судини гіпофіза та входить в його передню долю, де він індукує секрецію двох гонадотропних гормонів(ФСГ та ЛГ) в периферичній крові. Вони викликають дозрівання фолікулів в яєчниках, овуляцію і лютеїнізацію в яєчнику.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Після внутрішньовенного введення бусерелін швидко розкладається: період напіврозпаду становить від 3 до 4,5 хвилин у щурів та 12 хвилин у морських свинок. Бусерелін накопичується в гіпофізі, печінці та нирках. В печінці і нирках речовина розкладається під дією ферментів на дрібні пептидні фрагменти з незначною біологічною активністю. Основним шляхом виведення являється сеча.</w:t>
      </w:r>
    </w:p>
    <w:p w:rsidR="000A01D7" w:rsidRDefault="000A01D7" w:rsidP="00962A8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63"/>
        </w:tabs>
        <w:spacing w:after="0" w:line="240" w:lineRule="auto"/>
        <w:ind w:firstLine="567"/>
        <w:jc w:val="both"/>
      </w:pPr>
      <w:bookmarkStart w:id="5" w:name="bookmark5"/>
      <w:r>
        <w:t>Клінічні особливості</w:t>
      </w:r>
      <w:bookmarkEnd w:id="5"/>
    </w:p>
    <w:p w:rsidR="000A01D7" w:rsidRDefault="000A01D7" w:rsidP="00962A8D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1475"/>
        </w:tabs>
        <w:spacing w:after="0" w:line="240" w:lineRule="auto"/>
        <w:ind w:firstLine="567"/>
        <w:jc w:val="both"/>
      </w:pPr>
      <w:bookmarkStart w:id="6" w:name="bookmark6"/>
      <w:r>
        <w:t>Вид тварин</w:t>
      </w:r>
      <w:bookmarkEnd w:id="6"/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rPr>
          <w:lang w:val="ru-RU" w:eastAsia="ru-RU"/>
        </w:rPr>
        <w:t xml:space="preserve">Велика </w:t>
      </w:r>
      <w:r>
        <w:t xml:space="preserve">рогата худоба (корови), свині (свиноматки), коні (кобили), </w:t>
      </w:r>
      <w:r w:rsidR="003A4119">
        <w:t>кролі</w:t>
      </w:r>
      <w:r>
        <w:t xml:space="preserve"> (самки).</w:t>
      </w:r>
    </w:p>
    <w:p w:rsidR="000A01D7" w:rsidRDefault="000A01D7" w:rsidP="00962A8D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1475"/>
        </w:tabs>
        <w:spacing w:after="0" w:line="240" w:lineRule="auto"/>
        <w:ind w:firstLine="567"/>
        <w:jc w:val="both"/>
      </w:pPr>
      <w:bookmarkStart w:id="7" w:name="bookmark7"/>
      <w:r>
        <w:t>Показання до застосування</w:t>
      </w:r>
      <w:bookmarkEnd w:id="7"/>
    </w:p>
    <w:p w:rsidR="000A01D7" w:rsidRDefault="000A01D7" w:rsidP="00962A8D">
      <w:pPr>
        <w:pStyle w:val="30"/>
        <w:shd w:val="clear" w:color="auto" w:fill="auto"/>
        <w:spacing w:line="240" w:lineRule="auto"/>
        <w:ind w:firstLine="567"/>
      </w:pPr>
      <w:r>
        <w:t>Коровам: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Для індукції овуляції та лікування її затримки.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Лікування (подолання) патологічного анеструсу.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Лікування фолікулярних кіст з наявністю або без симптомів німфоманії.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 xml:space="preserve">Покращення рівня запліднення яйцеклітини при </w:t>
      </w:r>
      <w:r w:rsidRPr="00CE2C31">
        <w:rPr>
          <w:lang w:eastAsia="ru-RU"/>
        </w:rPr>
        <w:t xml:space="preserve">штучному </w:t>
      </w:r>
      <w:r>
        <w:t xml:space="preserve">заплідненні, а також після синхронізації еструсу з аналогом </w:t>
      </w:r>
      <w:r>
        <w:rPr>
          <w:lang w:val="de-DE" w:eastAsia="de-DE"/>
        </w:rPr>
        <w:t>PGF</w:t>
      </w:r>
      <w:r w:rsidRPr="00AA6875">
        <w:rPr>
          <w:lang w:eastAsia="de-DE"/>
        </w:rPr>
        <w:t>2</w:t>
      </w:r>
      <w:r>
        <w:rPr>
          <w:lang w:val="de-DE" w:eastAsia="de-DE"/>
        </w:rPr>
        <w:t>a</w:t>
      </w:r>
      <w:r w:rsidRPr="00AA6875">
        <w:rPr>
          <w:lang w:eastAsia="de-DE"/>
        </w:rPr>
        <w:t xml:space="preserve">. </w:t>
      </w:r>
      <w:r>
        <w:t>Результат може так чи інакше залежати від умов запліднення.</w:t>
      </w:r>
    </w:p>
    <w:p w:rsidR="000A01D7" w:rsidRDefault="000A01D7" w:rsidP="00962A8D">
      <w:pPr>
        <w:pStyle w:val="30"/>
        <w:shd w:val="clear" w:color="auto" w:fill="auto"/>
        <w:spacing w:line="240" w:lineRule="auto"/>
        <w:ind w:firstLine="567"/>
      </w:pPr>
      <w:r>
        <w:t>Свиням, свиноматкам-первісткам: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Для індукції овуляції після синхронізації еструсу з аналогом прогестагену (альтреногест) з метою здійснення штучного осіменіння.</w:t>
      </w:r>
    </w:p>
    <w:p w:rsidR="000A01D7" w:rsidRDefault="000A01D7" w:rsidP="00962A8D">
      <w:pPr>
        <w:pStyle w:val="30"/>
        <w:shd w:val="clear" w:color="auto" w:fill="auto"/>
        <w:spacing w:line="240" w:lineRule="auto"/>
        <w:ind w:firstLine="567"/>
      </w:pPr>
      <w:r>
        <w:t>Кобилам: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Стимуляція овуляції і, таким чином, синхронізація овуляції безпосередньо перед спарюванням.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Лікування фолікулярних кіст з наявністю або без симптомів німфоманії.</w:t>
      </w:r>
    </w:p>
    <w:p w:rsidR="000A01D7" w:rsidRDefault="000A01D7" w:rsidP="00962A8D">
      <w:pPr>
        <w:pStyle w:val="30"/>
        <w:shd w:val="clear" w:color="auto" w:fill="auto"/>
        <w:spacing w:line="240" w:lineRule="auto"/>
        <w:ind w:firstLine="567"/>
      </w:pPr>
      <w:r>
        <w:t>Самкам гризунів: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Покращення рівня запліднення яйцеклітини та стимуляція овуляції при післяродовому заплідненні.</w:t>
      </w:r>
    </w:p>
    <w:p w:rsidR="000A01D7" w:rsidRDefault="000A01D7" w:rsidP="00962A8D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1475"/>
        </w:tabs>
        <w:spacing w:after="0" w:line="240" w:lineRule="auto"/>
        <w:ind w:firstLine="567"/>
        <w:jc w:val="both"/>
      </w:pPr>
      <w:bookmarkStart w:id="8" w:name="bookmark8"/>
      <w:r>
        <w:t>Протипоказання</w:t>
      </w:r>
      <w:bookmarkEnd w:id="8"/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Не застосовувати тваринам з відомою гіперчутливістю до складників препарату.</w:t>
      </w:r>
    </w:p>
    <w:p w:rsidR="000A01D7" w:rsidRDefault="000A01D7" w:rsidP="00962A8D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1475"/>
        </w:tabs>
        <w:spacing w:after="0" w:line="240" w:lineRule="auto"/>
        <w:ind w:firstLine="567"/>
        <w:jc w:val="both"/>
      </w:pPr>
      <w:bookmarkStart w:id="9" w:name="bookmark9"/>
      <w:r>
        <w:t>Побічна дія</w:t>
      </w:r>
      <w:bookmarkEnd w:id="9"/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Немає.</w:t>
      </w:r>
    </w:p>
    <w:p w:rsidR="000A01D7" w:rsidRDefault="000A01D7" w:rsidP="00962A8D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1475"/>
        </w:tabs>
        <w:spacing w:after="0" w:line="240" w:lineRule="auto"/>
        <w:ind w:firstLine="567"/>
        <w:jc w:val="both"/>
      </w:pPr>
      <w:bookmarkStart w:id="10" w:name="bookmark10"/>
      <w:r>
        <w:t>Особливі застереження при використанні</w:t>
      </w:r>
      <w:bookmarkEnd w:id="10"/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 xml:space="preserve">Лікування аналогами </w:t>
      </w:r>
      <w:r>
        <w:rPr>
          <w:lang w:val="de-DE" w:eastAsia="de-DE"/>
        </w:rPr>
        <w:t>GnRH</w:t>
      </w:r>
      <w:r w:rsidRPr="00AA6875">
        <w:rPr>
          <w:lang w:val="ru-RU" w:eastAsia="de-DE"/>
        </w:rPr>
        <w:t xml:space="preserve"> </w:t>
      </w:r>
      <w:r>
        <w:t>є тільки симптоматичне; основні причини розладу фертильності не можуть бути усунуті цим лікуванням.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Використання продукту всупереч даним рекомендаціям може призвести до утворення фолікулярних кіст, які можуть негативно впливати на запліднення і продуктивність.</w:t>
      </w:r>
    </w:p>
    <w:p w:rsidR="000A01D7" w:rsidRDefault="000A01D7" w:rsidP="00962A8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472"/>
        </w:tabs>
        <w:spacing w:after="0" w:line="240" w:lineRule="auto"/>
        <w:ind w:firstLine="567"/>
      </w:pPr>
      <w:bookmarkStart w:id="11" w:name="bookmark11"/>
      <w:r>
        <w:lastRenderedPageBreak/>
        <w:t xml:space="preserve">Використання під час вагітності, лактації чи несучості </w:t>
      </w:r>
      <w:r>
        <w:rPr>
          <w:rStyle w:val="11"/>
          <w:bCs w:val="0"/>
        </w:rPr>
        <w:t>Обмежень не встановлено.</w:t>
      </w:r>
      <w:bookmarkEnd w:id="11"/>
    </w:p>
    <w:p w:rsidR="000A01D7" w:rsidRDefault="000A01D7" w:rsidP="00962A8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472"/>
        </w:tabs>
        <w:spacing w:after="0" w:line="240" w:lineRule="auto"/>
        <w:ind w:firstLine="567"/>
        <w:jc w:val="both"/>
      </w:pPr>
      <w:bookmarkStart w:id="12" w:name="bookmark12"/>
      <w:r>
        <w:t>Взаємодія з іншими засобами або інші форми взаємодії</w:t>
      </w:r>
      <w:bookmarkEnd w:id="12"/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  <w:jc w:val="left"/>
      </w:pPr>
      <w:r>
        <w:t>Не відома.</w:t>
      </w:r>
    </w:p>
    <w:p w:rsidR="000A01D7" w:rsidRDefault="000A01D7" w:rsidP="00962A8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472"/>
        </w:tabs>
        <w:spacing w:after="0" w:line="240" w:lineRule="auto"/>
        <w:ind w:firstLine="567"/>
        <w:jc w:val="both"/>
      </w:pPr>
      <w:bookmarkStart w:id="13" w:name="bookmark13"/>
      <w:r>
        <w:t>Дози та способи введення тваринам різного віку</w:t>
      </w:r>
      <w:bookmarkEnd w:id="13"/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Великій рогатій худобі, коням та гризунам рекомендований внутрішньом’язовий спосіб введення, але також можна вводити внутрішньовенно або підшкірно.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Свиням рекомендовано вводити внутрішньом’язово, але також можна вводити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внутрішньовенно.</w:t>
      </w:r>
    </w:p>
    <w:p w:rsidR="000A01D7" w:rsidRDefault="000A01D7" w:rsidP="00962A8D">
      <w:pPr>
        <w:pStyle w:val="12"/>
        <w:framePr w:w="9566" w:wrap="notBeside" w:vAnchor="text" w:hAnchor="text" w:xAlign="center" w:y="1"/>
        <w:shd w:val="clear" w:color="auto" w:fill="auto"/>
        <w:spacing w:line="240" w:lineRule="auto"/>
        <w:ind w:firstLine="56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134"/>
        <w:gridCol w:w="5812"/>
        <w:gridCol w:w="1276"/>
        <w:gridCol w:w="1344"/>
      </w:tblGrid>
      <w:tr w:rsidR="000A01D7" w:rsidTr="00CE2C31">
        <w:trPr>
          <w:trHeight w:hRule="exact" w:val="48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1D7" w:rsidRPr="009D742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Cs/>
              </w:rPr>
            </w:pPr>
            <w:r w:rsidRPr="009D7421">
              <w:rPr>
                <w:rStyle w:val="29pt"/>
                <w:szCs w:val="18"/>
              </w:rPr>
              <w:t>Вид тварин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1D7" w:rsidRPr="009D742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rPr>
                <w:bCs/>
              </w:rPr>
            </w:pPr>
            <w:r w:rsidRPr="009D7421">
              <w:rPr>
                <w:rStyle w:val="29pt"/>
                <w:szCs w:val="18"/>
              </w:rPr>
              <w:t>Показання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01D7" w:rsidRPr="009D742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Cs/>
              </w:rPr>
            </w:pPr>
            <w:r w:rsidRPr="009D7421">
              <w:rPr>
                <w:rStyle w:val="29pt"/>
                <w:szCs w:val="18"/>
              </w:rPr>
              <w:t>Бусереліну, мг/на тварину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01D7" w:rsidRPr="009D742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Cs/>
              </w:rPr>
            </w:pPr>
            <w:r w:rsidRPr="009D7421">
              <w:rPr>
                <w:rStyle w:val="29pt"/>
                <w:szCs w:val="18"/>
              </w:rPr>
              <w:t>Ветереліну, мл/на тварину</w:t>
            </w:r>
          </w:p>
        </w:tc>
      </w:tr>
      <w:tr w:rsidR="000A01D7" w:rsidTr="00CE2C31">
        <w:trPr>
          <w:trHeight w:hRule="exact" w:val="240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/>
                <w:bCs/>
              </w:rPr>
            </w:pPr>
            <w:r w:rsidRPr="00CE2C31">
              <w:rPr>
                <w:rStyle w:val="29pt"/>
                <w:b w:val="0"/>
                <w:szCs w:val="18"/>
              </w:rPr>
              <w:t>Корови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rPr>
                <w:b/>
                <w:bCs/>
              </w:rPr>
            </w:pPr>
            <w:r w:rsidRPr="00CE2C31">
              <w:rPr>
                <w:rStyle w:val="29pt"/>
                <w:b w:val="0"/>
                <w:szCs w:val="18"/>
              </w:rPr>
              <w:t>Лікування (подолання) патологічного анеструсу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CE2C31">
              <w:rPr>
                <w:rStyle w:val="29pt"/>
                <w:b w:val="0"/>
                <w:szCs w:val="18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CE2C31">
              <w:rPr>
                <w:rStyle w:val="29pt"/>
                <w:b w:val="0"/>
                <w:szCs w:val="18"/>
              </w:rPr>
              <w:t>5</w:t>
            </w:r>
          </w:p>
        </w:tc>
      </w:tr>
      <w:tr w:rsidR="000A01D7" w:rsidTr="00CE2C31">
        <w:trPr>
          <w:trHeight w:hRule="exact" w:val="240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framePr w:w="9566" w:wrap="notBeside" w:vAnchor="text" w:hAnchor="text" w:xAlign="center" w:y="1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</w:pPr>
            <w:r w:rsidRPr="00CE2C31">
              <w:rPr>
                <w:rStyle w:val="29pt"/>
                <w:b w:val="0"/>
                <w:szCs w:val="18"/>
              </w:rPr>
              <w:t>Індукція овуляції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E2C31">
              <w:rPr>
                <w:rStyle w:val="29pt"/>
                <w:b w:val="0"/>
                <w:szCs w:val="18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E2C31">
              <w:rPr>
                <w:rStyle w:val="29pt"/>
                <w:b w:val="0"/>
                <w:szCs w:val="18"/>
              </w:rPr>
              <w:t>5</w:t>
            </w:r>
          </w:p>
        </w:tc>
      </w:tr>
      <w:tr w:rsidR="000A01D7" w:rsidTr="00CE2C31">
        <w:trPr>
          <w:trHeight w:hRule="exact" w:val="240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framePr w:w="9566" w:wrap="notBeside" w:vAnchor="text" w:hAnchor="text" w:xAlign="center" w:y="1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</w:pPr>
            <w:r w:rsidRPr="00CE2C31">
              <w:rPr>
                <w:rStyle w:val="29pt"/>
                <w:b w:val="0"/>
                <w:szCs w:val="18"/>
              </w:rPr>
              <w:t>При затримці овуляції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E2C31">
              <w:rPr>
                <w:rStyle w:val="29pt"/>
                <w:b w:val="0"/>
                <w:szCs w:val="18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E2C31">
              <w:rPr>
                <w:rStyle w:val="29pt"/>
                <w:b w:val="0"/>
                <w:szCs w:val="18"/>
              </w:rPr>
              <w:t>2,5</w:t>
            </w:r>
          </w:p>
        </w:tc>
      </w:tr>
      <w:tr w:rsidR="000A01D7" w:rsidTr="00CE2C31">
        <w:trPr>
          <w:trHeight w:hRule="exact" w:val="1412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framePr w:w="9566" w:wrap="notBeside" w:vAnchor="text" w:hAnchor="text" w:xAlign="center" w:y="1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</w:pPr>
            <w:r w:rsidRPr="00CE2C31">
              <w:rPr>
                <w:rStyle w:val="29pt"/>
                <w:b w:val="0"/>
                <w:szCs w:val="18"/>
              </w:rPr>
              <w:t>Покращення рівня запліднення яйцеклітини при штучному заплідненні, а також після синхронізації еструсу з аналогом PGF2a.</w:t>
            </w:r>
          </w:p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</w:pPr>
            <w:r w:rsidRPr="00CE2C31">
              <w:rPr>
                <w:rStyle w:val="29pt"/>
                <w:b w:val="0"/>
                <w:szCs w:val="18"/>
              </w:rPr>
              <w:t>Для синхронізації еструсу у корів, відповідно до 10- денного режиму осіменіння, бусерелін потрібно вводити на 0-й день, наступна ін’єкція PGF2a на 7 день, та друга ін’єкція бусереліну - на 9 день, відповідно до згаданого дозування.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E2C31">
              <w:rPr>
                <w:rStyle w:val="29pt"/>
                <w:b w:val="0"/>
                <w:szCs w:val="18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E2C31">
              <w:rPr>
                <w:rStyle w:val="29pt"/>
                <w:b w:val="0"/>
                <w:szCs w:val="18"/>
              </w:rPr>
              <w:t>2,5</w:t>
            </w:r>
          </w:p>
        </w:tc>
      </w:tr>
      <w:tr w:rsidR="000A01D7" w:rsidTr="00CE2C31">
        <w:trPr>
          <w:trHeight w:hRule="exact" w:val="276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framePr w:w="9566" w:wrap="notBeside" w:vAnchor="text" w:hAnchor="text" w:xAlign="center" w:y="1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</w:pPr>
            <w:r w:rsidRPr="00CE2C31">
              <w:rPr>
                <w:rStyle w:val="29pt"/>
                <w:b w:val="0"/>
                <w:szCs w:val="18"/>
              </w:rPr>
              <w:t>Лікування фолікулярних кіст з наявністю або без симптомів німфоманії.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E2C31">
              <w:rPr>
                <w:rStyle w:val="29pt"/>
                <w:b w:val="0"/>
                <w:szCs w:val="18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E2C31">
              <w:rPr>
                <w:rStyle w:val="29pt"/>
                <w:b w:val="0"/>
                <w:szCs w:val="18"/>
              </w:rPr>
              <w:t>5</w:t>
            </w:r>
          </w:p>
        </w:tc>
      </w:tr>
      <w:tr w:rsidR="000A01D7" w:rsidTr="00CE2C31">
        <w:trPr>
          <w:trHeight w:hRule="exact" w:val="225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/>
                <w:bCs/>
              </w:rPr>
            </w:pPr>
            <w:r w:rsidRPr="00CE2C31">
              <w:rPr>
                <w:rStyle w:val="29pt"/>
                <w:b w:val="0"/>
                <w:szCs w:val="18"/>
              </w:rPr>
              <w:t>Кобили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rPr>
                <w:b/>
                <w:bCs/>
              </w:rPr>
            </w:pPr>
            <w:r w:rsidRPr="00CE2C31">
              <w:rPr>
                <w:rStyle w:val="29pt"/>
                <w:b w:val="0"/>
                <w:szCs w:val="18"/>
              </w:rPr>
              <w:t>Лікування фолікулярних кіст з наявністю або без симптомів німфоманії.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CE2C31">
              <w:rPr>
                <w:rStyle w:val="29pt"/>
                <w:b w:val="0"/>
                <w:szCs w:val="18"/>
              </w:rPr>
              <w:t>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CE2C31">
              <w:rPr>
                <w:rStyle w:val="29pt"/>
                <w:b w:val="0"/>
                <w:szCs w:val="18"/>
              </w:rPr>
              <w:t>10</w:t>
            </w:r>
          </w:p>
        </w:tc>
      </w:tr>
      <w:tr w:rsidR="000A01D7" w:rsidTr="00CE2C31">
        <w:trPr>
          <w:trHeight w:hRule="exact" w:val="470"/>
          <w:jc w:val="center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framePr w:w="9566" w:wrap="notBeside" w:vAnchor="text" w:hAnchor="text" w:xAlign="center" w:y="1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</w:pPr>
            <w:r w:rsidRPr="00CE2C31">
              <w:rPr>
                <w:rStyle w:val="29pt"/>
                <w:b w:val="0"/>
                <w:szCs w:val="18"/>
              </w:rPr>
              <w:t>Стимуляція овуляції і, таким чином, синхронізація овуляції безпосередньо перед спарюванням.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E2C31">
              <w:rPr>
                <w:rStyle w:val="29pt"/>
                <w:b w:val="0"/>
                <w:szCs w:val="18"/>
              </w:rPr>
              <w:t>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E2C31">
              <w:rPr>
                <w:rStyle w:val="29pt"/>
                <w:b w:val="0"/>
                <w:szCs w:val="18"/>
              </w:rPr>
              <w:t>10</w:t>
            </w:r>
          </w:p>
        </w:tc>
      </w:tr>
      <w:tr w:rsidR="000A01D7" w:rsidTr="00CE2C31">
        <w:trPr>
          <w:trHeight w:hRule="exact" w:val="113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/>
                <w:bCs/>
              </w:rPr>
            </w:pPr>
            <w:r w:rsidRPr="00CE2C31">
              <w:rPr>
                <w:rStyle w:val="29pt"/>
                <w:b w:val="0"/>
                <w:szCs w:val="18"/>
              </w:rPr>
              <w:t>Свиноматки,</w:t>
            </w:r>
          </w:p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/>
                <w:bCs/>
              </w:rPr>
            </w:pPr>
            <w:r w:rsidRPr="00CE2C31">
              <w:rPr>
                <w:rStyle w:val="29pt"/>
                <w:b w:val="0"/>
                <w:szCs w:val="18"/>
              </w:rPr>
              <w:t>свиноматки-</w:t>
            </w:r>
          </w:p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/>
                <w:bCs/>
              </w:rPr>
            </w:pPr>
            <w:r w:rsidRPr="00CE2C31">
              <w:rPr>
                <w:rStyle w:val="29pt"/>
                <w:b w:val="0"/>
                <w:szCs w:val="18"/>
              </w:rPr>
              <w:t>первістки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rPr>
                <w:b/>
                <w:bCs/>
              </w:rPr>
            </w:pPr>
            <w:r w:rsidRPr="00CE2C31">
              <w:rPr>
                <w:rStyle w:val="29pt"/>
                <w:b w:val="0"/>
                <w:szCs w:val="18"/>
              </w:rPr>
              <w:t>Для індукції овуляції після синхронізації еструсу з аналогом прогестагену (альтреногест) з метою здійснення штучного осіменіння.</w:t>
            </w:r>
          </w:p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rPr>
                <w:b/>
                <w:bCs/>
              </w:rPr>
            </w:pPr>
            <w:r w:rsidRPr="00CE2C31">
              <w:rPr>
                <w:rStyle w:val="29pt"/>
                <w:b w:val="0"/>
                <w:szCs w:val="18"/>
              </w:rPr>
              <w:t>Вводити потрібно на 115-120 годину після закінчення синхронізації з прогестагеном. Одноразове штучне осіменіння повинно проводитись на 30-33 годину після введення Ветереліну.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CE2C31">
              <w:rPr>
                <w:rStyle w:val="29pt"/>
                <w:b w:val="0"/>
                <w:szCs w:val="18"/>
              </w:rPr>
              <w:t>10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CE2C31">
              <w:rPr>
                <w:rStyle w:val="29pt"/>
                <w:b w:val="0"/>
                <w:szCs w:val="18"/>
              </w:rPr>
              <w:t>2,5</w:t>
            </w:r>
          </w:p>
        </w:tc>
      </w:tr>
      <w:tr w:rsidR="000A01D7" w:rsidTr="00CE2C31">
        <w:trPr>
          <w:trHeight w:hRule="exact" w:val="240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b/>
                <w:bCs/>
              </w:rPr>
            </w:pPr>
            <w:r w:rsidRPr="00CE2C31">
              <w:rPr>
                <w:rStyle w:val="29pt"/>
                <w:b w:val="0"/>
                <w:szCs w:val="18"/>
              </w:rPr>
              <w:t>Гризуни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rPr>
                <w:b/>
                <w:bCs/>
              </w:rPr>
            </w:pPr>
            <w:r w:rsidRPr="00CE2C31">
              <w:rPr>
                <w:rStyle w:val="29pt"/>
                <w:b w:val="0"/>
                <w:szCs w:val="18"/>
              </w:rPr>
              <w:t>Покращення рівня запліднення яйцеклітини.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CE2C31">
              <w:rPr>
                <w:rStyle w:val="29pt"/>
                <w:b w:val="0"/>
                <w:szCs w:val="18"/>
              </w:rPr>
              <w:t>0,8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b/>
                <w:bCs/>
              </w:rPr>
            </w:pPr>
            <w:r w:rsidRPr="00CE2C31">
              <w:rPr>
                <w:rStyle w:val="29pt"/>
                <w:b w:val="0"/>
                <w:szCs w:val="18"/>
              </w:rPr>
              <w:t>0,2</w:t>
            </w:r>
          </w:p>
        </w:tc>
      </w:tr>
      <w:tr w:rsidR="000A01D7" w:rsidTr="00CE2C31">
        <w:trPr>
          <w:trHeight w:hRule="exact" w:val="480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01D7" w:rsidRPr="00CE2C31" w:rsidRDefault="000A01D7" w:rsidP="009D7421">
            <w:pPr>
              <w:framePr w:w="9566" w:wrap="notBeside" w:vAnchor="text" w:hAnchor="text" w:xAlign="center" w:y="1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</w:pPr>
            <w:r w:rsidRPr="00CE2C31">
              <w:rPr>
                <w:rStyle w:val="29pt"/>
                <w:b w:val="0"/>
                <w:szCs w:val="18"/>
              </w:rPr>
              <w:t>Покращення рівня запліднення яйцеклітини та стимуляція овуляції при післяродовому заплідненні.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E2C31">
              <w:rPr>
                <w:rStyle w:val="29pt"/>
                <w:b w:val="0"/>
                <w:szCs w:val="18"/>
              </w:rPr>
              <w:t>0,8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01D7" w:rsidRPr="00CE2C31" w:rsidRDefault="000A01D7" w:rsidP="009D7421">
            <w:pPr>
              <w:pStyle w:val="20"/>
              <w:framePr w:w="9566"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CE2C31">
              <w:rPr>
                <w:rStyle w:val="29pt"/>
                <w:b w:val="0"/>
                <w:szCs w:val="18"/>
              </w:rPr>
              <w:t>0,2</w:t>
            </w:r>
          </w:p>
        </w:tc>
      </w:tr>
    </w:tbl>
    <w:p w:rsidR="000A01D7" w:rsidRDefault="000A01D7" w:rsidP="00962A8D">
      <w:pPr>
        <w:framePr w:w="9566" w:wrap="notBeside" w:vAnchor="text" w:hAnchor="text" w:xAlign="center" w:y="1"/>
        <w:ind w:firstLine="567"/>
        <w:rPr>
          <w:sz w:val="2"/>
          <w:szCs w:val="2"/>
        </w:rPr>
      </w:pPr>
    </w:p>
    <w:p w:rsidR="000A01D7" w:rsidRDefault="000A01D7" w:rsidP="00962A8D">
      <w:pPr>
        <w:ind w:firstLine="567"/>
        <w:rPr>
          <w:sz w:val="2"/>
          <w:szCs w:val="2"/>
        </w:rPr>
      </w:pP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 xml:space="preserve">Препарат вводити </w:t>
      </w:r>
      <w:r w:rsidR="003A4119">
        <w:t>одноразово</w:t>
      </w:r>
      <w:r>
        <w:t>.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Рекомендовано набирати з флакона максимум 20 разів.</w:t>
      </w:r>
    </w:p>
    <w:p w:rsidR="000A01D7" w:rsidRDefault="000A01D7" w:rsidP="00962A8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210"/>
        </w:tabs>
        <w:spacing w:after="0" w:line="240" w:lineRule="auto"/>
        <w:ind w:firstLine="567"/>
        <w:jc w:val="both"/>
      </w:pPr>
      <w:bookmarkStart w:id="14" w:name="bookmark14"/>
      <w:r>
        <w:t>Передозування (симптоми, невідкладні заходи, антидоти)</w:t>
      </w:r>
      <w:bookmarkEnd w:id="14"/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У випадку повторного введення в дозі 3,5 мл препарату, може спостерігатися зменшення споживання корму у свиноматок. Це тимчасовий симптом, специфічного лікування не потребується.</w:t>
      </w:r>
    </w:p>
    <w:p w:rsidR="000A01D7" w:rsidRDefault="000A01D7" w:rsidP="00962A8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261"/>
        </w:tabs>
        <w:spacing w:after="0" w:line="240" w:lineRule="auto"/>
        <w:ind w:firstLine="567"/>
        <w:jc w:val="both"/>
      </w:pPr>
      <w:bookmarkStart w:id="15" w:name="bookmark15"/>
      <w:r>
        <w:t>Період виведення (каренції)</w:t>
      </w:r>
      <w:bookmarkEnd w:id="15"/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 xml:space="preserve">М’ясо та субпродукти: 0 </w:t>
      </w:r>
      <w:r w:rsidR="003A4119">
        <w:t>діб</w:t>
      </w:r>
      <w:r>
        <w:t>.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rPr>
          <w:lang w:val="ru-RU" w:eastAsia="ru-RU"/>
        </w:rPr>
        <w:t xml:space="preserve">Молоко: </w:t>
      </w:r>
      <w:r>
        <w:t xml:space="preserve">0 </w:t>
      </w:r>
      <w:r w:rsidR="003A4119">
        <w:t>діб</w:t>
      </w:r>
      <w:r>
        <w:t>.</w:t>
      </w:r>
    </w:p>
    <w:p w:rsidR="000A01D7" w:rsidRDefault="000A01D7" w:rsidP="00962A8D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227"/>
        </w:tabs>
        <w:spacing w:after="0" w:line="240" w:lineRule="auto"/>
        <w:ind w:firstLine="567"/>
        <w:jc w:val="both"/>
      </w:pPr>
      <w:bookmarkStart w:id="16" w:name="bookmark16"/>
      <w:r>
        <w:t>Спеціальні застереження для осіб і обслуговуючого персоналу, котрі вводять засоби захисту тваринам</w:t>
      </w:r>
      <w:bookmarkEnd w:id="16"/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Уникати контакту препарату зі шкірою та слизовими оболонками.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При випадковому попаданні преп</w:t>
      </w:r>
      <w:bookmarkStart w:id="17" w:name="_GoBack"/>
      <w:bookmarkEnd w:id="17"/>
      <w:r>
        <w:t>арату в очі або на шкіру необхідно змити його великою кількістю водою.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 xml:space="preserve">Мити руки та незахищені ділянки шкіри після використання з водою та милом, так як аналоги </w:t>
      </w:r>
      <w:r>
        <w:rPr>
          <w:lang w:val="de-DE" w:eastAsia="de-DE"/>
        </w:rPr>
        <w:t>GnRH</w:t>
      </w:r>
      <w:r w:rsidRPr="00AA6875">
        <w:rPr>
          <w:lang w:val="ru-RU" w:eastAsia="de-DE"/>
        </w:rPr>
        <w:t xml:space="preserve"> </w:t>
      </w:r>
      <w:r>
        <w:t>поглинаються шкірою.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Вагітні жінки повинні уникати контакту з препаратом, так як при дослідженнях на лабораторних тваринах, препарат виявився ембріотоксичним.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Обережно вводити препарат, щоб уникнути самоін’єкції.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При самоін’єкції препаратом необхідно звернутися за медичною допомогою, маючи при собі листівку-вкладку препарату.</w:t>
      </w:r>
    </w:p>
    <w:p w:rsidR="000A01D7" w:rsidRDefault="000A01D7" w:rsidP="00962A8D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998"/>
        </w:tabs>
        <w:spacing w:after="0" w:line="240" w:lineRule="auto"/>
        <w:ind w:firstLine="567"/>
        <w:jc w:val="both"/>
      </w:pPr>
      <w:bookmarkStart w:id="18" w:name="bookmark17"/>
      <w:r>
        <w:t>Фармацевтичні особливості</w:t>
      </w:r>
      <w:bookmarkEnd w:id="18"/>
    </w:p>
    <w:p w:rsidR="000A01D7" w:rsidRDefault="000A01D7" w:rsidP="00962A8D">
      <w:pPr>
        <w:pStyle w:val="10"/>
        <w:keepNext/>
        <w:keepLines/>
        <w:numPr>
          <w:ilvl w:val="1"/>
          <w:numId w:val="3"/>
        </w:numPr>
        <w:shd w:val="clear" w:color="auto" w:fill="auto"/>
        <w:tabs>
          <w:tab w:val="left" w:pos="1487"/>
        </w:tabs>
        <w:spacing w:after="0" w:line="240" w:lineRule="auto"/>
        <w:ind w:firstLine="567"/>
        <w:jc w:val="both"/>
      </w:pPr>
      <w:bookmarkStart w:id="19" w:name="bookmark18"/>
      <w:r>
        <w:t>Форми несумісності</w:t>
      </w:r>
      <w:bookmarkEnd w:id="19"/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По причині відсутності досліджень препарату на несумісність, рекомендовано не змішувати з іншими препаратами.</w:t>
      </w:r>
    </w:p>
    <w:p w:rsidR="000A01D7" w:rsidRPr="00AA6875" w:rsidRDefault="000A01D7" w:rsidP="00962A8D">
      <w:pPr>
        <w:pStyle w:val="20"/>
        <w:numPr>
          <w:ilvl w:val="1"/>
          <w:numId w:val="3"/>
        </w:numPr>
        <w:shd w:val="clear" w:color="auto" w:fill="auto"/>
        <w:tabs>
          <w:tab w:val="left" w:pos="1487"/>
        </w:tabs>
        <w:spacing w:line="240" w:lineRule="auto"/>
        <w:ind w:firstLine="567"/>
        <w:rPr>
          <w:rStyle w:val="21"/>
          <w:b w:val="0"/>
        </w:rPr>
      </w:pPr>
      <w:r>
        <w:rPr>
          <w:rStyle w:val="21"/>
          <w:bCs/>
        </w:rPr>
        <w:t xml:space="preserve">Термін придатності </w:t>
      </w:r>
    </w:p>
    <w:p w:rsidR="000A01D7" w:rsidRDefault="000A01D7" w:rsidP="00962A8D">
      <w:pPr>
        <w:pStyle w:val="20"/>
        <w:shd w:val="clear" w:color="auto" w:fill="auto"/>
        <w:tabs>
          <w:tab w:val="left" w:pos="1487"/>
        </w:tabs>
        <w:spacing w:line="240" w:lineRule="auto"/>
        <w:ind w:firstLine="567"/>
      </w:pPr>
      <w:r>
        <w:t>Термін придатності - 24 місяці.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lastRenderedPageBreak/>
        <w:t>Після першого відбору з флакону препарат необхідно використати впродовж 28 днів.</w:t>
      </w:r>
    </w:p>
    <w:p w:rsidR="000A01D7" w:rsidRDefault="000A01D7" w:rsidP="00962A8D">
      <w:pPr>
        <w:pStyle w:val="10"/>
        <w:keepNext/>
        <w:keepLines/>
        <w:numPr>
          <w:ilvl w:val="1"/>
          <w:numId w:val="3"/>
        </w:numPr>
        <w:shd w:val="clear" w:color="auto" w:fill="auto"/>
        <w:tabs>
          <w:tab w:val="left" w:pos="1487"/>
        </w:tabs>
        <w:spacing w:after="0" w:line="240" w:lineRule="auto"/>
        <w:ind w:firstLine="567"/>
        <w:jc w:val="both"/>
      </w:pPr>
      <w:bookmarkStart w:id="20" w:name="bookmark19"/>
      <w:r>
        <w:t>Особливі заходи безпеки при зберіганні</w:t>
      </w:r>
      <w:bookmarkEnd w:id="20"/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Сухе темне, недоступне для дітей, місце при температурі від 0 до 25°С.</w:t>
      </w:r>
    </w:p>
    <w:p w:rsidR="000A01D7" w:rsidRDefault="000A01D7" w:rsidP="00962A8D">
      <w:pPr>
        <w:pStyle w:val="10"/>
        <w:keepNext/>
        <w:keepLines/>
        <w:numPr>
          <w:ilvl w:val="1"/>
          <w:numId w:val="3"/>
        </w:numPr>
        <w:shd w:val="clear" w:color="auto" w:fill="auto"/>
        <w:tabs>
          <w:tab w:val="left" w:pos="1487"/>
        </w:tabs>
        <w:spacing w:after="0" w:line="240" w:lineRule="auto"/>
        <w:ind w:firstLine="567"/>
        <w:jc w:val="both"/>
      </w:pPr>
      <w:bookmarkStart w:id="21" w:name="bookmark20"/>
      <w:r>
        <w:t>Природа та склад контейнера первинного пакування</w:t>
      </w:r>
      <w:bookmarkEnd w:id="21"/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Прозорі скляні флакони по 10, 20 чи 100 мл, з гумовою пробкою з бромбутолу та алюмінієвою капсулою з кільцем, яке відламується при відкриванні, блакитного кольору.</w:t>
      </w:r>
    </w:p>
    <w:p w:rsidR="000A01D7" w:rsidRDefault="000A01D7" w:rsidP="00962A8D">
      <w:pPr>
        <w:pStyle w:val="20"/>
        <w:shd w:val="clear" w:color="auto" w:fill="auto"/>
        <w:spacing w:line="240" w:lineRule="auto"/>
        <w:ind w:firstLine="567"/>
      </w:pPr>
      <w:r>
        <w:t>Упаковка містить 5 флаконів по 10 мл або 1 флакон на 10, 20 або 100 мл.</w:t>
      </w:r>
    </w:p>
    <w:p w:rsidR="000A01D7" w:rsidRDefault="000A01D7" w:rsidP="00962A8D">
      <w:pPr>
        <w:pStyle w:val="10"/>
        <w:keepNext/>
        <w:keepLines/>
        <w:numPr>
          <w:ilvl w:val="1"/>
          <w:numId w:val="3"/>
        </w:numPr>
        <w:shd w:val="clear" w:color="auto" w:fill="auto"/>
        <w:tabs>
          <w:tab w:val="left" w:pos="1487"/>
        </w:tabs>
        <w:spacing w:after="0" w:line="240" w:lineRule="auto"/>
        <w:ind w:firstLine="567"/>
        <w:jc w:val="both"/>
      </w:pPr>
      <w:bookmarkStart w:id="22" w:name="bookmark21"/>
      <w:r>
        <w:t>Особливі заходи безпеки при поводженні з невикористаним препаратом або із його залишками</w:t>
      </w:r>
      <w:bookmarkEnd w:id="22"/>
    </w:p>
    <w:p w:rsidR="000A01D7" w:rsidRPr="00CE2C31" w:rsidRDefault="000A01D7" w:rsidP="00962A8D">
      <w:pPr>
        <w:pStyle w:val="10"/>
        <w:keepNext/>
        <w:keepLines/>
        <w:shd w:val="clear" w:color="auto" w:fill="auto"/>
        <w:tabs>
          <w:tab w:val="left" w:pos="1487"/>
        </w:tabs>
        <w:spacing w:after="0" w:line="240" w:lineRule="auto"/>
        <w:ind w:firstLine="567"/>
        <w:jc w:val="both"/>
        <w:rPr>
          <w:b w:val="0"/>
          <w:bCs w:val="0"/>
        </w:rPr>
      </w:pPr>
      <w:r w:rsidRPr="00CE2C31">
        <w:rPr>
          <w:b w:val="0"/>
          <w:bCs w:val="0"/>
        </w:rPr>
        <w:t>Буд</w:t>
      </w:r>
      <w:r w:rsidRPr="00CE2C31">
        <w:rPr>
          <w:rStyle w:val="2"/>
          <w:b w:val="0"/>
          <w:bCs w:val="0"/>
        </w:rPr>
        <w:t>ь-який невикористаний продукт або відходи з нього повинні бути утилізовані у відповідності з національними вимогами.</w:t>
      </w:r>
    </w:p>
    <w:p w:rsidR="000A01D7" w:rsidRPr="009D7421" w:rsidRDefault="000A01D7" w:rsidP="00962A8D">
      <w:pPr>
        <w:pStyle w:val="10"/>
        <w:keepNext/>
        <w:keepLines/>
        <w:shd w:val="clear" w:color="auto" w:fill="auto"/>
        <w:tabs>
          <w:tab w:val="left" w:pos="1487"/>
        </w:tabs>
        <w:spacing w:after="0" w:line="240" w:lineRule="auto"/>
        <w:ind w:firstLine="567"/>
        <w:rPr>
          <w:b w:val="0"/>
        </w:rPr>
      </w:pPr>
      <w:r w:rsidRPr="009D7421">
        <w:rPr>
          <w:rStyle w:val="21"/>
          <w:b/>
          <w:bCs w:val="0"/>
        </w:rPr>
        <w:t>7. Назва та місцезнаходження власника реєстраційного посвідчення</w:t>
      </w:r>
    </w:p>
    <w:tbl>
      <w:tblPr>
        <w:tblW w:w="0" w:type="auto"/>
        <w:tblInd w:w="180" w:type="dxa"/>
        <w:tblLook w:val="01E0" w:firstRow="1" w:lastRow="1" w:firstColumn="1" w:lastColumn="1" w:noHBand="0" w:noVBand="0"/>
      </w:tblPr>
      <w:tblGrid>
        <w:gridCol w:w="5174"/>
        <w:gridCol w:w="5174"/>
      </w:tblGrid>
      <w:tr w:rsidR="000A01D7" w:rsidTr="00861983">
        <w:tc>
          <w:tcPr>
            <w:tcW w:w="5174" w:type="dxa"/>
          </w:tcPr>
          <w:p w:rsidR="000A01D7" w:rsidRPr="00305BB0" w:rsidRDefault="000A01D7" w:rsidP="00861983">
            <w:pPr>
              <w:pStyle w:val="20"/>
              <w:shd w:val="clear" w:color="auto" w:fill="auto"/>
              <w:jc w:val="left"/>
              <w:rPr>
                <w:lang w:val="ru-RU" w:eastAsia="en-US"/>
              </w:rPr>
            </w:pPr>
            <w:r w:rsidRPr="00305BB0">
              <w:rPr>
                <w:lang w:val="ru-RU" w:eastAsia="en-US"/>
              </w:rPr>
              <w:t>ЛАБОРАТОРІОС КАЛІЄР, С.А.</w:t>
            </w:r>
          </w:p>
          <w:p w:rsidR="000A01D7" w:rsidRPr="00305BB0" w:rsidRDefault="000A01D7" w:rsidP="00861983">
            <w:pPr>
              <w:pStyle w:val="20"/>
              <w:shd w:val="clear" w:color="auto" w:fill="auto"/>
              <w:jc w:val="left"/>
              <w:rPr>
                <w:lang w:val="ru-RU" w:eastAsia="en-US"/>
              </w:rPr>
            </w:pPr>
            <w:r w:rsidRPr="00305BB0">
              <w:rPr>
                <w:lang w:val="ru-RU" w:eastAsia="en-US"/>
              </w:rPr>
              <w:t>К/ Барселонес, 26 (Плая дель Рамасса), 08520 Лес Франкесес дель Вальєс (Барселона), ІСПАНІЯ</w:t>
            </w:r>
          </w:p>
        </w:tc>
        <w:tc>
          <w:tcPr>
            <w:tcW w:w="5174" w:type="dxa"/>
          </w:tcPr>
          <w:p w:rsidR="000A01D7" w:rsidRDefault="000A01D7" w:rsidP="00861983">
            <w:pPr>
              <w:pStyle w:val="20"/>
              <w:shd w:val="clear" w:color="auto" w:fill="auto"/>
              <w:jc w:val="left"/>
            </w:pPr>
            <w:r w:rsidRPr="00861983">
              <w:rPr>
                <w:lang w:val="es-ES" w:eastAsia="en-US"/>
              </w:rPr>
              <w:t>LABORATORIOS CALIER, S.A.</w:t>
            </w:r>
          </w:p>
          <w:p w:rsidR="000A01D7" w:rsidRDefault="000A01D7" w:rsidP="00861983">
            <w:pPr>
              <w:pStyle w:val="20"/>
              <w:shd w:val="clear" w:color="auto" w:fill="auto"/>
              <w:jc w:val="left"/>
            </w:pPr>
            <w:r w:rsidRPr="00861983">
              <w:rPr>
                <w:lang w:val="es-ES" w:eastAsia="de-DE"/>
              </w:rPr>
              <w:t xml:space="preserve">C/ Barcelonas, 26 (Pla de </w:t>
            </w:r>
            <w:r w:rsidRPr="00861983">
              <w:rPr>
                <w:lang w:val="es-ES" w:eastAsia="en-US"/>
              </w:rPr>
              <w:t>Ramassa)</w:t>
            </w:r>
          </w:p>
          <w:p w:rsidR="000A01D7" w:rsidRPr="00861983" w:rsidRDefault="000A01D7" w:rsidP="00861983">
            <w:pPr>
              <w:pStyle w:val="20"/>
              <w:shd w:val="clear" w:color="auto" w:fill="auto"/>
              <w:jc w:val="left"/>
              <w:rPr>
                <w:lang w:val="es-ES" w:eastAsia="en-US"/>
              </w:rPr>
            </w:pPr>
            <w:r w:rsidRPr="00861983">
              <w:rPr>
                <w:lang w:val="es-ES" w:eastAsia="en-US"/>
              </w:rPr>
              <w:t>08520-LES FRANQUESES DEL VALLES (Barcelona), ESPANA</w:t>
            </w:r>
          </w:p>
          <w:p w:rsidR="000A01D7" w:rsidRDefault="000A01D7" w:rsidP="00861983">
            <w:pPr>
              <w:pStyle w:val="20"/>
              <w:shd w:val="clear" w:color="auto" w:fill="auto"/>
              <w:jc w:val="left"/>
            </w:pPr>
          </w:p>
        </w:tc>
      </w:tr>
    </w:tbl>
    <w:p w:rsidR="000A01D7" w:rsidRDefault="000A01D7" w:rsidP="009D7421">
      <w:pPr>
        <w:pStyle w:val="20"/>
        <w:shd w:val="clear" w:color="auto" w:fill="auto"/>
        <w:ind w:left="180"/>
        <w:jc w:val="left"/>
        <w:rPr>
          <w:rStyle w:val="21"/>
          <w:bCs/>
        </w:rPr>
      </w:pPr>
    </w:p>
    <w:p w:rsidR="000A01D7" w:rsidRDefault="000A01D7" w:rsidP="009D7421">
      <w:pPr>
        <w:pStyle w:val="20"/>
        <w:shd w:val="clear" w:color="auto" w:fill="auto"/>
        <w:ind w:left="180"/>
        <w:jc w:val="left"/>
      </w:pPr>
      <w:r>
        <w:rPr>
          <w:rStyle w:val="21"/>
          <w:bCs/>
        </w:rPr>
        <w:t>8. Назва та місцезнаходження виробника готового продукту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64"/>
        <w:gridCol w:w="5264"/>
      </w:tblGrid>
      <w:tr w:rsidR="000A01D7" w:rsidTr="00305BB0">
        <w:tc>
          <w:tcPr>
            <w:tcW w:w="5264" w:type="dxa"/>
          </w:tcPr>
          <w:p w:rsidR="000A01D7" w:rsidRPr="00305BB0" w:rsidRDefault="000A01D7" w:rsidP="00861983">
            <w:pPr>
              <w:pStyle w:val="20"/>
              <w:shd w:val="clear" w:color="auto" w:fill="auto"/>
              <w:jc w:val="left"/>
              <w:rPr>
                <w:lang w:val="ru-RU" w:eastAsia="en-US"/>
              </w:rPr>
            </w:pPr>
            <w:r w:rsidRPr="00305BB0">
              <w:rPr>
                <w:lang w:val="ru-RU" w:eastAsia="en-US"/>
              </w:rPr>
              <w:t>ЛАБОРАТОРІОС КАЛІЄР, С.А.</w:t>
            </w:r>
          </w:p>
          <w:p w:rsidR="000A01D7" w:rsidRPr="00305BB0" w:rsidRDefault="000A01D7" w:rsidP="00861983">
            <w:pPr>
              <w:pStyle w:val="10"/>
              <w:keepNext/>
              <w:keepLines/>
              <w:shd w:val="clear" w:color="auto" w:fill="auto"/>
              <w:tabs>
                <w:tab w:val="left" w:pos="1487"/>
              </w:tabs>
              <w:spacing w:after="0" w:line="240" w:lineRule="auto"/>
              <w:rPr>
                <w:b w:val="0"/>
                <w:bCs w:val="0"/>
                <w:lang w:val="ru-RU" w:eastAsia="en-US"/>
              </w:rPr>
            </w:pPr>
            <w:r w:rsidRPr="00305BB0">
              <w:rPr>
                <w:b w:val="0"/>
                <w:bCs w:val="0"/>
                <w:lang w:val="ru-RU" w:eastAsia="en-US"/>
              </w:rPr>
              <w:t>К/ Барселонес, 26 (Плая дель Рамасса), 08520 Лес Франкесес дель Вальєс (Барселона), ІСПАНІЯ</w:t>
            </w:r>
          </w:p>
        </w:tc>
        <w:tc>
          <w:tcPr>
            <w:tcW w:w="5264" w:type="dxa"/>
          </w:tcPr>
          <w:p w:rsidR="000A01D7" w:rsidRDefault="000A01D7" w:rsidP="00861983">
            <w:pPr>
              <w:pStyle w:val="20"/>
              <w:shd w:val="clear" w:color="auto" w:fill="auto"/>
              <w:jc w:val="left"/>
            </w:pPr>
            <w:r w:rsidRPr="00861983">
              <w:rPr>
                <w:lang w:val="es-ES" w:eastAsia="en-US"/>
              </w:rPr>
              <w:t>LABORATORIOS CALIER, S.A.</w:t>
            </w:r>
          </w:p>
          <w:p w:rsidR="000A01D7" w:rsidRDefault="000A01D7" w:rsidP="00861983">
            <w:pPr>
              <w:pStyle w:val="20"/>
              <w:shd w:val="clear" w:color="auto" w:fill="auto"/>
              <w:jc w:val="left"/>
            </w:pPr>
            <w:r w:rsidRPr="00861983">
              <w:rPr>
                <w:lang w:val="es-ES" w:eastAsia="de-DE"/>
              </w:rPr>
              <w:t xml:space="preserve">C/ Barcelonas, 26 (Pla de </w:t>
            </w:r>
            <w:r w:rsidRPr="00861983">
              <w:rPr>
                <w:lang w:val="es-ES" w:eastAsia="en-US"/>
              </w:rPr>
              <w:t>Ramassa)</w:t>
            </w:r>
          </w:p>
          <w:p w:rsidR="000A01D7" w:rsidRPr="00861983" w:rsidRDefault="000A01D7" w:rsidP="00861983">
            <w:pPr>
              <w:pStyle w:val="20"/>
              <w:shd w:val="clear" w:color="auto" w:fill="auto"/>
              <w:jc w:val="left"/>
              <w:rPr>
                <w:lang w:val="es-ES" w:eastAsia="en-US"/>
              </w:rPr>
            </w:pPr>
            <w:r w:rsidRPr="00861983">
              <w:rPr>
                <w:lang w:val="es-ES" w:eastAsia="en-US"/>
              </w:rPr>
              <w:t>08520-LES FRANQUESES DEL VALLES (Barcelona), ESPANA</w:t>
            </w:r>
          </w:p>
          <w:p w:rsidR="000A01D7" w:rsidRDefault="000A01D7" w:rsidP="00861983">
            <w:pPr>
              <w:pStyle w:val="10"/>
              <w:keepNext/>
              <w:keepLines/>
              <w:shd w:val="clear" w:color="auto" w:fill="auto"/>
              <w:tabs>
                <w:tab w:val="left" w:pos="1487"/>
              </w:tabs>
              <w:spacing w:after="0" w:line="240" w:lineRule="auto"/>
            </w:pPr>
          </w:p>
        </w:tc>
      </w:tr>
      <w:tr w:rsidR="000A01D7" w:rsidTr="00305BB0">
        <w:tc>
          <w:tcPr>
            <w:tcW w:w="5264" w:type="dxa"/>
          </w:tcPr>
          <w:p w:rsidR="000A01D7" w:rsidRPr="00305BB0" w:rsidRDefault="000A01D7" w:rsidP="00861983">
            <w:pPr>
              <w:pStyle w:val="20"/>
              <w:shd w:val="clear" w:color="auto" w:fill="auto"/>
              <w:jc w:val="left"/>
              <w:rPr>
                <w:lang w:eastAsia="en-US"/>
              </w:rPr>
            </w:pPr>
            <w:r w:rsidRPr="00305BB0">
              <w:rPr>
                <w:lang w:eastAsia="en-US"/>
              </w:rPr>
              <w:t>Лабіана Лайф Сайєнсес, С.А.</w:t>
            </w:r>
          </w:p>
          <w:p w:rsidR="000A01D7" w:rsidRPr="00305BB0" w:rsidRDefault="000A01D7" w:rsidP="00861983">
            <w:pPr>
              <w:pStyle w:val="20"/>
              <w:shd w:val="clear" w:color="auto" w:fill="auto"/>
              <w:jc w:val="left"/>
              <w:rPr>
                <w:lang w:val="ru-RU" w:eastAsia="en-US"/>
              </w:rPr>
            </w:pPr>
            <w:r w:rsidRPr="00305BB0">
              <w:rPr>
                <w:lang w:val="ru-RU" w:eastAsia="en-US"/>
              </w:rPr>
              <w:t>К/ Венус, 26, Кан Пареллада Індустріал, 08228 Терраса (Барселона), ІСПАНІЯ</w:t>
            </w:r>
          </w:p>
        </w:tc>
        <w:tc>
          <w:tcPr>
            <w:tcW w:w="5264" w:type="dxa"/>
          </w:tcPr>
          <w:p w:rsidR="000A01D7" w:rsidRDefault="000A01D7" w:rsidP="00861983">
            <w:pPr>
              <w:pStyle w:val="20"/>
              <w:shd w:val="clear" w:color="auto" w:fill="auto"/>
              <w:jc w:val="left"/>
            </w:pPr>
            <w:r w:rsidRPr="00861983">
              <w:rPr>
                <w:lang w:val="en-US" w:eastAsia="en-US"/>
              </w:rPr>
              <w:t>LABIANA LIFE SCIENCES, S.A.</w:t>
            </w:r>
          </w:p>
          <w:p w:rsidR="000A01D7" w:rsidRDefault="000A01D7" w:rsidP="00861983">
            <w:pPr>
              <w:pStyle w:val="20"/>
              <w:shd w:val="clear" w:color="auto" w:fill="auto"/>
              <w:jc w:val="left"/>
            </w:pPr>
            <w:r w:rsidRPr="00861983">
              <w:rPr>
                <w:lang w:val="es-ES" w:eastAsia="en-US"/>
              </w:rPr>
              <w:t>C/ Venus, 26, Can Parellada Industrial,</w:t>
            </w:r>
          </w:p>
          <w:p w:rsidR="000A01D7" w:rsidRDefault="000A01D7" w:rsidP="00861983">
            <w:pPr>
              <w:pStyle w:val="20"/>
              <w:shd w:val="clear" w:color="auto" w:fill="auto"/>
              <w:jc w:val="left"/>
            </w:pPr>
            <w:r w:rsidRPr="00861983">
              <w:rPr>
                <w:lang w:val="es-ES" w:eastAsia="en-US"/>
              </w:rPr>
              <w:t>08228-TERRASSA</w:t>
            </w:r>
          </w:p>
          <w:p w:rsidR="000A01D7" w:rsidRPr="00305BB0" w:rsidRDefault="000A01D7" w:rsidP="00861983">
            <w:pPr>
              <w:pStyle w:val="20"/>
              <w:shd w:val="clear" w:color="auto" w:fill="auto"/>
              <w:jc w:val="left"/>
              <w:rPr>
                <w:lang w:val="es-ES" w:eastAsia="en-US"/>
              </w:rPr>
            </w:pPr>
            <w:r w:rsidRPr="00861983">
              <w:rPr>
                <w:lang w:val="es-ES" w:eastAsia="en-US"/>
              </w:rPr>
              <w:t>(Barcelona), ESPANA</w:t>
            </w:r>
          </w:p>
        </w:tc>
      </w:tr>
    </w:tbl>
    <w:p w:rsidR="000A01D7" w:rsidRDefault="000A01D7" w:rsidP="00962A8D">
      <w:pPr>
        <w:pStyle w:val="10"/>
        <w:keepNext/>
        <w:keepLines/>
        <w:shd w:val="clear" w:color="auto" w:fill="auto"/>
        <w:tabs>
          <w:tab w:val="left" w:pos="1487"/>
        </w:tabs>
        <w:spacing w:after="0" w:line="240" w:lineRule="auto"/>
        <w:ind w:firstLine="567"/>
      </w:pPr>
    </w:p>
    <w:p w:rsidR="000A01D7" w:rsidRDefault="000A01D7" w:rsidP="00962A8D">
      <w:pPr>
        <w:pStyle w:val="10"/>
        <w:keepNext/>
        <w:keepLines/>
        <w:shd w:val="clear" w:color="auto" w:fill="auto"/>
        <w:tabs>
          <w:tab w:val="left" w:pos="1487"/>
        </w:tabs>
        <w:spacing w:after="0" w:line="240" w:lineRule="auto"/>
        <w:ind w:firstLine="567"/>
      </w:pPr>
    </w:p>
    <w:p w:rsidR="000A01D7" w:rsidRDefault="000A01D7" w:rsidP="00962A8D">
      <w:pPr>
        <w:pStyle w:val="10"/>
        <w:keepNext/>
        <w:keepLines/>
        <w:shd w:val="clear" w:color="auto" w:fill="auto"/>
        <w:tabs>
          <w:tab w:val="left" w:pos="1487"/>
        </w:tabs>
        <w:spacing w:after="0" w:line="240" w:lineRule="auto"/>
        <w:ind w:firstLine="567"/>
      </w:pPr>
    </w:p>
    <w:p w:rsidR="000A01D7" w:rsidRDefault="000A01D7" w:rsidP="00962A8D">
      <w:pPr>
        <w:pStyle w:val="10"/>
        <w:keepNext/>
        <w:keepLines/>
        <w:shd w:val="clear" w:color="auto" w:fill="auto"/>
        <w:tabs>
          <w:tab w:val="left" w:pos="998"/>
        </w:tabs>
        <w:spacing w:after="0" w:line="240" w:lineRule="auto"/>
        <w:ind w:firstLine="567"/>
        <w:jc w:val="both"/>
      </w:pPr>
    </w:p>
    <w:sectPr w:rsidR="000A01D7" w:rsidSect="00962A8D">
      <w:footerReference w:type="even" r:id="rId7"/>
      <w:footerReference w:type="default" r:id="rId8"/>
      <w:pgSz w:w="11900" w:h="16840"/>
      <w:pgMar w:top="567" w:right="454" w:bottom="454" w:left="1134" w:header="709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1D7" w:rsidRDefault="000A01D7">
      <w:r>
        <w:separator/>
      </w:r>
    </w:p>
  </w:endnote>
  <w:endnote w:type="continuationSeparator" w:id="0">
    <w:p w:rsidR="000A01D7" w:rsidRDefault="000A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D7" w:rsidRDefault="000A01D7" w:rsidP="001E510D">
    <w:pPr>
      <w:pStyle w:val="a8"/>
      <w:framePr w:wrap="around" w:vAnchor="text" w:hAnchor="margin" w:xAlign="center" w:y="1"/>
      <w:rPr>
        <w:rStyle w:val="aa"/>
        <w:rFonts w:cs="Tahoma"/>
      </w:rPr>
    </w:pPr>
    <w:r>
      <w:rPr>
        <w:rStyle w:val="aa"/>
        <w:rFonts w:cs="Tahoma"/>
      </w:rPr>
      <w:fldChar w:fldCharType="begin"/>
    </w:r>
    <w:r>
      <w:rPr>
        <w:rStyle w:val="aa"/>
        <w:rFonts w:cs="Tahoma"/>
      </w:rPr>
      <w:instrText xml:space="preserve">PAGE  </w:instrText>
    </w:r>
    <w:r>
      <w:rPr>
        <w:rStyle w:val="aa"/>
        <w:rFonts w:cs="Tahoma"/>
      </w:rPr>
      <w:fldChar w:fldCharType="end"/>
    </w:r>
  </w:p>
  <w:p w:rsidR="000A01D7" w:rsidRDefault="000A01D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1D7" w:rsidRDefault="000A01D7" w:rsidP="001E510D">
    <w:pPr>
      <w:pStyle w:val="a8"/>
      <w:framePr w:wrap="around" w:vAnchor="text" w:hAnchor="margin" w:xAlign="center" w:y="1"/>
      <w:rPr>
        <w:rStyle w:val="aa"/>
        <w:rFonts w:cs="Tahoma"/>
      </w:rPr>
    </w:pPr>
    <w:r>
      <w:rPr>
        <w:rStyle w:val="aa"/>
        <w:rFonts w:cs="Tahoma"/>
      </w:rPr>
      <w:fldChar w:fldCharType="begin"/>
    </w:r>
    <w:r>
      <w:rPr>
        <w:rStyle w:val="aa"/>
        <w:rFonts w:cs="Tahoma"/>
      </w:rPr>
      <w:instrText xml:space="preserve">PAGE  </w:instrText>
    </w:r>
    <w:r>
      <w:rPr>
        <w:rStyle w:val="aa"/>
        <w:rFonts w:cs="Tahoma"/>
      </w:rPr>
      <w:fldChar w:fldCharType="separate"/>
    </w:r>
    <w:r w:rsidR="003A4119">
      <w:rPr>
        <w:rStyle w:val="aa"/>
        <w:rFonts w:cs="Tahoma"/>
        <w:noProof/>
      </w:rPr>
      <w:t>3</w:t>
    </w:r>
    <w:r>
      <w:rPr>
        <w:rStyle w:val="aa"/>
        <w:rFonts w:cs="Tahoma"/>
      </w:rPr>
      <w:fldChar w:fldCharType="end"/>
    </w:r>
  </w:p>
  <w:p w:rsidR="000A01D7" w:rsidRDefault="000A01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1D7" w:rsidRDefault="000A01D7"/>
  </w:footnote>
  <w:footnote w:type="continuationSeparator" w:id="0">
    <w:p w:rsidR="000A01D7" w:rsidRDefault="000A01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7C9F"/>
    <w:multiLevelType w:val="multilevel"/>
    <w:tmpl w:val="871E1A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6B06BE4"/>
    <w:multiLevelType w:val="multilevel"/>
    <w:tmpl w:val="A4888F7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2AD579E"/>
    <w:multiLevelType w:val="multilevel"/>
    <w:tmpl w:val="1766E6C2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1BD1"/>
    <w:rsid w:val="000A01D7"/>
    <w:rsid w:val="000A1BD1"/>
    <w:rsid w:val="001E510D"/>
    <w:rsid w:val="0028284A"/>
    <w:rsid w:val="002A794E"/>
    <w:rsid w:val="00305BB0"/>
    <w:rsid w:val="003750DF"/>
    <w:rsid w:val="003A4119"/>
    <w:rsid w:val="004243B4"/>
    <w:rsid w:val="004B06C8"/>
    <w:rsid w:val="007603A4"/>
    <w:rsid w:val="008301D2"/>
    <w:rsid w:val="00857861"/>
    <w:rsid w:val="00861983"/>
    <w:rsid w:val="008C2D8A"/>
    <w:rsid w:val="008F5C4B"/>
    <w:rsid w:val="00903992"/>
    <w:rsid w:val="00962A8D"/>
    <w:rsid w:val="009B65F8"/>
    <w:rsid w:val="009D7421"/>
    <w:rsid w:val="00AA6875"/>
    <w:rsid w:val="00AC102B"/>
    <w:rsid w:val="00B80A28"/>
    <w:rsid w:val="00CD2891"/>
    <w:rsid w:val="00CE2C31"/>
    <w:rsid w:val="00D532B4"/>
    <w:rsid w:val="00D737A3"/>
    <w:rsid w:val="00DD28C0"/>
    <w:rsid w:val="00DD3245"/>
    <w:rsid w:val="00EB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C2173"/>
  <w14:defaultImageDpi w14:val="0"/>
  <w15:docId w15:val="{5DC051EB-6ED7-4ED8-ABA1-10C955B2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DF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750DF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sid w:val="003750DF"/>
    <w:rPr>
      <w:rFonts w:ascii="Times New Roman" w:hAnsi="Times New Roman"/>
      <w:u w:val="none"/>
    </w:rPr>
  </w:style>
  <w:style w:type="character" w:customStyle="1" w:styleId="21">
    <w:name w:val="Основной текст (2) + Полужирный"/>
    <w:uiPriority w:val="99"/>
    <w:rsid w:val="003750DF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1">
    <w:name w:val="Заголовок №1_"/>
    <w:link w:val="10"/>
    <w:uiPriority w:val="99"/>
    <w:locked/>
    <w:rsid w:val="003750DF"/>
    <w:rPr>
      <w:rFonts w:ascii="Times New Roman" w:hAnsi="Times New Roman"/>
      <w:b/>
      <w:u w:val="none"/>
    </w:rPr>
  </w:style>
  <w:style w:type="character" w:customStyle="1" w:styleId="3">
    <w:name w:val="Основной текст (3)_"/>
    <w:link w:val="30"/>
    <w:uiPriority w:val="99"/>
    <w:locked/>
    <w:rsid w:val="003750DF"/>
    <w:rPr>
      <w:rFonts w:ascii="Times New Roman" w:hAnsi="Times New Roman"/>
      <w:b/>
      <w:i/>
      <w:u w:val="none"/>
    </w:rPr>
  </w:style>
  <w:style w:type="character" w:customStyle="1" w:styleId="11">
    <w:name w:val="Заголовок №1 + Не полужирный"/>
    <w:uiPriority w:val="99"/>
    <w:rsid w:val="003750DF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a4">
    <w:name w:val="Подпись к таблице_"/>
    <w:link w:val="12"/>
    <w:uiPriority w:val="99"/>
    <w:locked/>
    <w:rsid w:val="003750DF"/>
    <w:rPr>
      <w:rFonts w:ascii="Times New Roman" w:hAnsi="Times New Roman"/>
      <w:u w:val="none"/>
    </w:rPr>
  </w:style>
  <w:style w:type="character" w:customStyle="1" w:styleId="a5">
    <w:name w:val="Подпись к таблице"/>
    <w:uiPriority w:val="99"/>
    <w:rsid w:val="003750DF"/>
    <w:rPr>
      <w:rFonts w:ascii="Times New Roman" w:hAnsi="Times New Roman"/>
      <w:color w:val="000000"/>
      <w:spacing w:val="0"/>
      <w:w w:val="100"/>
      <w:position w:val="0"/>
      <w:sz w:val="24"/>
      <w:u w:val="single"/>
      <w:lang w:val="uk-UA" w:eastAsia="uk-UA"/>
    </w:rPr>
  </w:style>
  <w:style w:type="character" w:customStyle="1" w:styleId="29pt">
    <w:name w:val="Основной текст (2) + 9 pt"/>
    <w:aliases w:val="Полужирный"/>
    <w:uiPriority w:val="99"/>
    <w:rsid w:val="003750DF"/>
    <w:rPr>
      <w:rFonts w:ascii="Times New Roman" w:hAnsi="Times New Roman"/>
      <w:b/>
      <w:color w:val="000000"/>
      <w:spacing w:val="0"/>
      <w:w w:val="100"/>
      <w:position w:val="0"/>
      <w:sz w:val="18"/>
      <w:u w:val="none"/>
      <w:lang w:val="uk-UA" w:eastAsia="uk-UA"/>
    </w:rPr>
  </w:style>
  <w:style w:type="paragraph" w:customStyle="1" w:styleId="20">
    <w:name w:val="Основной текст (2)"/>
    <w:basedOn w:val="a"/>
    <w:link w:val="2"/>
    <w:uiPriority w:val="99"/>
    <w:rsid w:val="003750D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uiPriority w:val="99"/>
    <w:rsid w:val="003750DF"/>
    <w:pPr>
      <w:shd w:val="clear" w:color="auto" w:fill="FFFFFF"/>
      <w:spacing w:after="360" w:line="24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uiPriority w:val="99"/>
    <w:rsid w:val="003750DF"/>
    <w:pPr>
      <w:shd w:val="clear" w:color="auto" w:fill="FFFFFF"/>
      <w:spacing w:line="274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12">
    <w:name w:val="Подпись к таблице1"/>
    <w:basedOn w:val="a"/>
    <w:link w:val="a4"/>
    <w:uiPriority w:val="99"/>
    <w:rsid w:val="003750D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rsid w:val="00962A8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locked/>
    <w:rPr>
      <w:color w:val="000000"/>
      <w:sz w:val="24"/>
    </w:rPr>
  </w:style>
  <w:style w:type="paragraph" w:styleId="a8">
    <w:name w:val="footer"/>
    <w:basedOn w:val="a"/>
    <w:link w:val="a9"/>
    <w:uiPriority w:val="99"/>
    <w:rsid w:val="00962A8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locked/>
    <w:rPr>
      <w:color w:val="000000"/>
      <w:sz w:val="24"/>
    </w:rPr>
  </w:style>
  <w:style w:type="character" w:styleId="aa">
    <w:name w:val="page number"/>
    <w:basedOn w:val="a0"/>
    <w:uiPriority w:val="99"/>
    <w:rsid w:val="00962A8D"/>
    <w:rPr>
      <w:rFonts w:cs="Times New Roman"/>
    </w:rPr>
  </w:style>
  <w:style w:type="character" w:styleId="ab">
    <w:name w:val="annotation reference"/>
    <w:basedOn w:val="a0"/>
    <w:uiPriority w:val="99"/>
    <w:semiHidden/>
    <w:rsid w:val="009B65F8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9B65F8"/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locked/>
    <w:rsid w:val="009B65F8"/>
    <w:rPr>
      <w:color w:val="000000"/>
      <w:sz w:val="20"/>
    </w:rPr>
  </w:style>
  <w:style w:type="paragraph" w:styleId="ae">
    <w:name w:val="annotation subject"/>
    <w:basedOn w:val="ac"/>
    <w:next w:val="ac"/>
    <w:link w:val="af"/>
    <w:uiPriority w:val="99"/>
    <w:semiHidden/>
    <w:rsid w:val="009B65F8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locked/>
    <w:rsid w:val="009B65F8"/>
    <w:rPr>
      <w:b/>
      <w:color w:val="000000"/>
      <w:sz w:val="20"/>
    </w:rPr>
  </w:style>
  <w:style w:type="paragraph" w:styleId="af0">
    <w:name w:val="Balloon Text"/>
    <w:basedOn w:val="a"/>
    <w:link w:val="af1"/>
    <w:uiPriority w:val="99"/>
    <w:semiHidden/>
    <w:rsid w:val="009B65F8"/>
    <w:rPr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9B65F8"/>
    <w:rPr>
      <w:color w:val="000000"/>
      <w:sz w:val="16"/>
    </w:rPr>
  </w:style>
  <w:style w:type="table" w:styleId="af2">
    <w:name w:val="Table Grid"/>
    <w:basedOn w:val="a1"/>
    <w:uiPriority w:val="99"/>
    <w:locked/>
    <w:rsid w:val="007603A4"/>
    <w:pPr>
      <w:widowControl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4615</Words>
  <Characters>2632</Characters>
  <Application>Microsoft Office Word</Application>
  <DocSecurity>0</DocSecurity>
  <Lines>21</Lines>
  <Paragraphs>14</Paragraphs>
  <ScaleCrop>false</ScaleCrop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Admin</dc:creator>
  <cp:keywords/>
  <dc:description/>
  <cp:lastModifiedBy>admin</cp:lastModifiedBy>
  <cp:revision>12</cp:revision>
  <cp:lastPrinted>2025-11-10T10:25:00Z</cp:lastPrinted>
  <dcterms:created xsi:type="dcterms:W3CDTF">2025-10-30T08:51:00Z</dcterms:created>
  <dcterms:modified xsi:type="dcterms:W3CDTF">2025-12-03T15:51:00Z</dcterms:modified>
</cp:coreProperties>
</file>