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8C" w:rsidRPr="00711F2A" w:rsidRDefault="001A398C" w:rsidP="001A398C">
      <w:pPr>
        <w:widowControl w:val="0"/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711F2A">
        <w:rPr>
          <w:rFonts w:ascii="Times New Roman" w:eastAsia="Times New Roman" w:hAnsi="Times New Roman"/>
          <w:sz w:val="24"/>
          <w:szCs w:val="24"/>
          <w:lang w:val="uk-UA"/>
        </w:rPr>
        <w:t>Додаток 1</w:t>
      </w:r>
    </w:p>
    <w:p w:rsidR="001A398C" w:rsidRPr="00711F2A" w:rsidRDefault="001A398C" w:rsidP="001A398C">
      <w:pPr>
        <w:widowControl w:val="0"/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711F2A">
        <w:rPr>
          <w:rFonts w:ascii="Times New Roman" w:eastAsia="Times New Roman" w:hAnsi="Times New Roman"/>
          <w:sz w:val="24"/>
          <w:szCs w:val="24"/>
          <w:lang w:val="uk-UA"/>
        </w:rPr>
        <w:t xml:space="preserve">до реєстраційного посвідчення </w:t>
      </w:r>
    </w:p>
    <w:p w:rsidR="001A398C" w:rsidRPr="001042D8" w:rsidRDefault="001A398C" w:rsidP="001A398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A398C" w:rsidRPr="00711F2A" w:rsidRDefault="001A398C" w:rsidP="001A398C">
      <w:pPr>
        <w:widowControl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711F2A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Коротка характеристика препарату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1. Назва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Дикловет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1042D8">
        <w:rPr>
          <w:rFonts w:ascii="Times New Roman" w:hAnsi="Times New Roman"/>
          <w:sz w:val="24"/>
          <w:szCs w:val="24"/>
          <w:lang w:val="uk-UA" w:eastAsia="ru-RU"/>
        </w:rPr>
        <w:t>(стерильний очний розчин для місцевого застосування)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2. Склад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 мл препарату містить діючу речовину: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</w:t>
      </w:r>
      <w:proofErr w:type="spellEnd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натрію — 1 мг.</w:t>
      </w:r>
    </w:p>
    <w:p w:rsidR="001A398C" w:rsidRPr="00CC3AF8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Допоміжні речовини: кислота 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борна,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динатрію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едетат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0,1%, поліоксил-35</w:t>
      </w:r>
      <w:r w:rsidR="000867E9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олія рицинова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кислота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сорбінова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0,2%,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трометамін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вода для ін’єкцій.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C3AF8">
        <w:rPr>
          <w:rFonts w:ascii="Times New Roman" w:hAnsi="Times New Roman"/>
          <w:b/>
          <w:sz w:val="24"/>
          <w:szCs w:val="24"/>
          <w:lang w:val="uk-UA" w:eastAsia="ru-RU"/>
        </w:rPr>
        <w:t>3. Фармацевтична форма</w:t>
      </w:r>
    </w:p>
    <w:p w:rsidR="000867E9" w:rsidRPr="00CC3AF8" w:rsidRDefault="000867E9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C3AF8">
        <w:rPr>
          <w:rFonts w:ascii="Times New Roman" w:hAnsi="Times New Roman"/>
          <w:sz w:val="24"/>
          <w:szCs w:val="24"/>
          <w:lang w:val="uk-UA" w:eastAsia="ru-RU"/>
        </w:rPr>
        <w:t>Краплі очні, розчин.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C3AF8">
        <w:rPr>
          <w:rFonts w:ascii="Times New Roman" w:hAnsi="Times New Roman"/>
          <w:b/>
          <w:sz w:val="24"/>
          <w:szCs w:val="24"/>
          <w:lang w:val="uk-UA" w:eastAsia="ru-RU"/>
        </w:rPr>
        <w:t>4. Фармакологічні властивості</w:t>
      </w:r>
    </w:p>
    <w:p w:rsidR="001A398C" w:rsidRPr="00CC3AF8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</w:pPr>
      <w:proofErr w:type="spellStart"/>
      <w:r w:rsidRPr="00CC3AF8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>АТСvet</w:t>
      </w:r>
      <w:proofErr w:type="spellEnd"/>
      <w:r w:rsidRPr="00CC3AF8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 xml:space="preserve"> класифікаційний код: QS01 — офтальмологічні засоби, QS01B — протизапальні засоби, QS01BC — протизапальні засоби, нестероїдні, QS01BC03 — </w:t>
      </w:r>
      <w:proofErr w:type="spellStart"/>
      <w:r w:rsidRPr="00CC3AF8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>диклофенак</w:t>
      </w:r>
      <w:proofErr w:type="spellEnd"/>
      <w:r w:rsidR="00B07461" w:rsidRPr="00CC3AF8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>.</w:t>
      </w:r>
    </w:p>
    <w:p w:rsidR="001A398C" w:rsidRPr="00CC3AF8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натрію — нестероїдний протизапальний засіб. Механізм дії базується на конкурентному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інгібуванні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ферментів циклооксигенази-1 і циклооксигенази-2 (ЦOГ-1 і ЦOГ-2), що блокує перетворення арахідонової кислоти на прекурсори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простагландинів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(PGE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PGI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) та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тромбоксани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(TXA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) — ключові медіатори запалення, больової чутливості й набряку тканин. У результаті зменшуються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васкулярна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проникність, міграція лейкоцитів до вогнища запалення та формування больових імпульсів.</w:t>
      </w:r>
    </w:p>
    <w:p w:rsidR="001A398C" w:rsidRPr="00CC3AF8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Після закапування в око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диклофенаку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натрію 0,1% (1 мг/мл) рівень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простагландинів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у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кон’юнктивальній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рідині й передній камері ока швидко знижується. Терапевтична концентрація в кон’юнктиві та рогівці досягається через 30 хвилин, а максимальне пригнічення синтезу PGE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B07461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передній камері ока реєструється через 2–3 годин</w:t>
      </w:r>
      <w:r w:rsidR="00472B26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и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. Протизапальний ефект зберігається щонайменше 4 години і обумовлює кратність застосування — 2–4 рази на добу. Пікові концентрації </w:t>
      </w:r>
      <w:r w:rsidR="00B07461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передній камері сягають 80–130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нг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/мл, що достатньо для стійкого пригнічення ЦOГ-2 (IC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uk-UA" w:eastAsia="ru-RU"/>
        </w:rPr>
        <w:t>50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≈ 150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нг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/мл).</w:t>
      </w:r>
    </w:p>
    <w:p w:rsidR="001A398C" w:rsidRPr="00CC3AF8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При закапуванні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диклофенаку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натрію в очі його системна абсорбція мінімальна: </w:t>
      </w:r>
      <w:r w:rsidR="00B07461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здорових тварин клінічно значущі концентрації в плазмі не виявляються протягом перших 4–6 годин.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натрію накопичується в рогівці та кон’юнктиві протягом 30 хвилин після закапування. Максимальна концентрація </w:t>
      </w:r>
      <w:r w:rsidR="00B07461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передній камері ока досягається через 2–3 години, після чого рівень поступово знижується, зберігаючись у межах &lt;20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нг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/мл до 6–8 години. У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хоріоретинальній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тканині максимальна концентрація (Cₘₐₓ ≈ 38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нг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/г) досягається через 1 годину після одноразового застосування, період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напіввиведення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(T</w:t>
      </w:r>
      <w:r w:rsidRPr="00CC3AF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₁/₂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) становить приблизно 1,9 години.</w:t>
      </w:r>
    </w:p>
    <w:p w:rsidR="001A398C" w:rsidRPr="00CC3AF8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При потраплянні невеликої кількості препарату в системний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кровотік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швидко зв’язується з альбумінами плазми крові (&gt;99%) і піддається інтенсивному метаболізму </w:t>
      </w:r>
      <w:r w:rsidR="00B07461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печінці (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глюкуронід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сульфат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кон’югати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). 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Період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напіввиведення</w:t>
      </w:r>
      <w:proofErr w:type="spellEnd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диклофенаку</w:t>
      </w:r>
      <w:proofErr w:type="spellEnd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 плазми крові при внутрішньовенному введенні становить 1–2 години. У разі офтальмологічного застосування практично весь препарат елімінується з поверхні ока протягом 6–8 годин через низьку системну абсорбцію. Метаболіти виводяться переважно нирками (&lt;60%), частково — з жовчю.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 Клінічні особливості</w:t>
      </w:r>
    </w:p>
    <w:p w:rsidR="001A398C" w:rsidRPr="001042D8" w:rsidRDefault="001A398C" w:rsidP="001A398C">
      <w:pPr>
        <w:tabs>
          <w:tab w:val="left" w:pos="46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5.1 Вид тварин</w:t>
      </w:r>
    </w:p>
    <w:p w:rsidR="001A398C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>Собаки, коти.</w:t>
      </w:r>
    </w:p>
    <w:p w:rsidR="00A60CB6" w:rsidRDefault="00A60CB6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A60CB6" w:rsidRDefault="00A60CB6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A60CB6" w:rsidRDefault="00A60CB6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A60CB6" w:rsidRPr="00A60CB6" w:rsidRDefault="00A60CB6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A60CB6" w:rsidRPr="00711F2A" w:rsidRDefault="00A60CB6" w:rsidP="00A6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11F2A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:rsidR="00A60CB6" w:rsidRPr="00711F2A" w:rsidRDefault="00A60CB6" w:rsidP="00A6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11F2A">
        <w:rPr>
          <w:rFonts w:ascii="Times New Roman" w:hAnsi="Times New Roman"/>
          <w:bCs/>
          <w:sz w:val="24"/>
          <w:szCs w:val="24"/>
          <w:lang w:val="uk-UA"/>
        </w:rPr>
        <w:t xml:space="preserve">до реєстраційного посвідчення </w:t>
      </w:r>
    </w:p>
    <w:p w:rsidR="00A60CB6" w:rsidRDefault="00A60CB6" w:rsidP="00A60C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60CB6" w:rsidRDefault="00A60CB6" w:rsidP="00A60C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60CB6" w:rsidRDefault="00A60CB6" w:rsidP="00A6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.2 </w:t>
      </w: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 xml:space="preserve">Показання </w:t>
      </w:r>
      <w:r w:rsidRPr="000353F3">
        <w:rPr>
          <w:rFonts w:ascii="Times New Roman" w:hAnsi="Times New Roman"/>
          <w:b/>
          <w:sz w:val="24"/>
          <w:szCs w:val="24"/>
          <w:lang w:val="uk-UA"/>
        </w:rPr>
        <w:t>до</w:t>
      </w:r>
      <w:r w:rsidRPr="00D547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353F3">
        <w:rPr>
          <w:rFonts w:ascii="Times New Roman" w:hAnsi="Times New Roman"/>
          <w:b/>
          <w:sz w:val="24"/>
          <w:szCs w:val="24"/>
          <w:lang w:val="uk-UA"/>
        </w:rPr>
        <w:t>застосування</w:t>
      </w:r>
    </w:p>
    <w:p w:rsidR="00A60CB6" w:rsidRPr="00A60CB6" w:rsidRDefault="00A60CB6" w:rsidP="00A6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214721327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Препарат застосовують для лікування собак і котів після хірургічних </w:t>
      </w:r>
      <w:proofErr w:type="spellStart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втручань</w:t>
      </w:r>
      <w:proofErr w:type="spellEnd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 екстракції катаракти, імплантації </w:t>
      </w:r>
      <w:proofErr w:type="spellStart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інтраокулярної</w:t>
      </w:r>
      <w:proofErr w:type="spellEnd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лінзи, інших хірургічних </w:t>
      </w:r>
      <w:proofErr w:type="spellStart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втручань</w:t>
      </w:r>
      <w:proofErr w:type="spellEnd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 передньому сегменті ока (райдужці, рогівці, передній камері), що супроводжуються запальною реакцією, для профілактики та зменшення післяопераційного іриту при оперативному лікуванні катаракти, а також для профілактики </w:t>
      </w:r>
      <w:proofErr w:type="spellStart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інтраопераційного</w:t>
      </w:r>
      <w:proofErr w:type="spellEnd"/>
      <w:r w:rsidRPr="00D97DA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післяопераційного міозу. При неінфекційних запальних захворюваннях ока, що супроводжуються болем.</w:t>
      </w:r>
      <w:bookmarkEnd w:id="0"/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5.3 Протипоказання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Не використовувати тваринам з підвищеною чутливістю до </w:t>
      </w:r>
      <w:proofErr w:type="spellStart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диклофенаку</w:t>
      </w:r>
      <w:proofErr w:type="spellEnd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інших НПЗП.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Не застосовувати за наявності виразок рогівки або ран, оскільки це може уповільнювати загоєння. 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Не використовувати при </w:t>
      </w:r>
      <w:proofErr w:type="spellStart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гемофтальмі</w:t>
      </w:r>
      <w:proofErr w:type="spellEnd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системних порушеннях згортання крові.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5.4 Побічна дія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Найчастіші побічні реакції — легке подразнення очей, іноді — підвищена світлочутливість. У разі виникнення алергічних реакцій чи крововиливів в око лікування слід припинити і звернутися до лікаря ветеринарної медицини.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5.5 Особливі застереження при використанні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 застосовувати одночасно з іншими очними краплями. За необхідності паралельного використання інші краплі закапувати з інтервалом щонайменше 15 хвилин. Обережно застосовувати при схильності до кровотеч, виразковій хворобі шлунку, астмі (консерванти можуть спровокувати напад).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5.6 Використання під час вагітності, лактації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Застосування під час вагітності та лактації можливе лише після ретельної оцінки потенційних ризиків та користі для тварини. Використовувати препарат у таких випадках слід під наглядом лікаря ветеринарної медицини.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Одночасне застосування з </w:t>
      </w:r>
      <w:proofErr w:type="spellStart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протитромботичними</w:t>
      </w:r>
      <w:proofErr w:type="spellEnd"/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препаратами (аспірином, гепарином) підвищує ризик кровотечі. Не використовувати разом з іншими НПЗП або кортикостероїдами без консультації з ветеринарним лікарем. Не застосовувати одночасно з іншими очними засобами. 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5.8 Дози і способи введення тваринам різного віку</w:t>
      </w:r>
    </w:p>
    <w:p w:rsidR="001A398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Дозу визначають залежно від тяжкості 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захворювання, </w:t>
      </w:r>
      <w:r w:rsidR="00B07461"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середньому</w:t>
      </w: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вона становить — 1–2 краплі, 2–4 рази на добу.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Після хірургії катаракти — 1 крапля, 4 рази на добу, курс — 14-30 днів, починаючи через добу після операції.</w:t>
      </w:r>
    </w:p>
    <w:p w:rsidR="001A398C" w:rsidRPr="00311CBC" w:rsidRDefault="001A398C" w:rsidP="001A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При хронічному іридоцикліті та/або ізольованому іриті — 1 крапля, 1–2 рази на добу до повного одужання.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5.9 Передозування (симптоми, невідкладні заходи, антидоти)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eastAsia="Times New Roman" w:hAnsi="Times New Roman"/>
          <w:sz w:val="24"/>
          <w:szCs w:val="24"/>
          <w:lang w:val="uk-UA" w:eastAsia="ru-RU"/>
        </w:rPr>
        <w:t>При випадковому проковтуванні можливі прояви розладів шлунково-кишкової та нервової системи; призначається симптоматичне лікування, промивання шлунку, підтримуюча терапія.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5.10 Спеціальні застереження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>Немає.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5.11 Період виведення (</w:t>
      </w:r>
      <w:proofErr w:type="spellStart"/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каренції</w:t>
      </w:r>
      <w:proofErr w:type="spellEnd"/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)</w:t>
      </w:r>
    </w:p>
    <w:p w:rsidR="001A398C" w:rsidRDefault="001A398C" w:rsidP="001A39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Препарат не застосовують для продуктивних тварин.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bCs/>
          <w:sz w:val="24"/>
          <w:szCs w:val="24"/>
          <w:lang w:val="uk-UA" w:eastAsia="ru-RU"/>
        </w:rPr>
        <w:t>5.12 Спеціальні застереження для осіб і обслуговуючого персоналу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  <w:r w:rsidRPr="001042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>Під час роботи з препаратом забороняється пити, палити, їсти. Після роботи з препаратом слід вимити руки водопровідною водою з милом.</w:t>
      </w:r>
    </w:p>
    <w:p w:rsidR="00A60CB6" w:rsidRPr="00711F2A" w:rsidRDefault="00A60CB6" w:rsidP="00A6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11F2A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:rsidR="00A60CB6" w:rsidRPr="00711F2A" w:rsidRDefault="00A60CB6" w:rsidP="00A6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11F2A">
        <w:rPr>
          <w:rFonts w:ascii="Times New Roman" w:hAnsi="Times New Roman"/>
          <w:bCs/>
          <w:sz w:val="24"/>
          <w:szCs w:val="24"/>
          <w:lang w:val="uk-UA"/>
        </w:rPr>
        <w:t xml:space="preserve">до реєстраційного посвідчення </w:t>
      </w:r>
    </w:p>
    <w:p w:rsidR="00A60CB6" w:rsidRDefault="00A60CB6" w:rsidP="00A60C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60CB6" w:rsidRDefault="00A60CB6" w:rsidP="00A60C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 xml:space="preserve">При випадковому контакті лікарського препарату зі шкірою та слизовими оболонками їх необхідно промити великою кількістю води. Людям з </w:t>
      </w:r>
      <w:proofErr w:type="spellStart"/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>гіперчутливістю</w:t>
      </w:r>
      <w:proofErr w:type="spellEnd"/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 xml:space="preserve"> до компонентів препарату слід уникати прямого контакту з препаратом. У разі прояву алергічної реакції або при випадковому потраплянні препарату в організм людини слід негайно звернутися до медичного закладу (при собі мати інструкцію щодо застосування препарату та етикетку).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 Фармацевтичні особливості</w:t>
      </w:r>
    </w:p>
    <w:p w:rsidR="00A60CB6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1042D8">
        <w:rPr>
          <w:rFonts w:ascii="Times New Roman" w:hAnsi="Times New Roman"/>
          <w:b/>
          <w:bCs/>
          <w:sz w:val="24"/>
          <w:szCs w:val="24"/>
          <w:lang w:val="uk-UA" w:eastAsia="ru-RU"/>
        </w:rPr>
        <w:t>6.1 Форми несумісності (основні)</w:t>
      </w:r>
      <w:bookmarkStart w:id="1" w:name="_GoBack"/>
      <w:bookmarkEnd w:id="1"/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 xml:space="preserve">Не застосовувати одночасно з іншими НПЗП або кортикостероїдами без консультації </w:t>
      </w: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 ветеринарним лікарем. Не застосовувати одночасно з іншими очними засобами.</w:t>
      </w:r>
      <w:r w:rsidRPr="001042D8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6.2 Термін придатності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>2 роки.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eastAsia="Times New Roman" w:hAnsi="Times New Roman"/>
          <w:sz w:val="24"/>
          <w:szCs w:val="24"/>
          <w:lang w:val="uk-UA" w:eastAsia="ru-RU"/>
        </w:rPr>
        <w:t>Після першого відбору препарат слід зберігати за температури від 4 до 8 °С та використати впродовж 28 діб.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6.3 Особливі заходи зберігання</w:t>
      </w:r>
    </w:p>
    <w:p w:rsidR="001A398C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 xml:space="preserve">Сухе темне, недоступне для дітей місце за температури від </w:t>
      </w: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15 до 25 °C</w:t>
      </w:r>
      <w:r w:rsidRPr="001042D8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213D71" w:rsidRPr="00CC3AF8" w:rsidRDefault="00213D71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C3AF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 заморожувати!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C3AF8">
        <w:rPr>
          <w:rFonts w:ascii="Times New Roman" w:hAnsi="Times New Roman"/>
          <w:b/>
          <w:sz w:val="24"/>
          <w:szCs w:val="24"/>
          <w:lang w:val="uk-UA" w:eastAsia="ru-RU"/>
        </w:rPr>
        <w:t>6.4 Природа і склад контейнера первинного упакування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C3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Скляні флакони з гумовими корками під алюмінієву обкатку по 5, 10 мл </w:t>
      </w:r>
      <w:r w:rsidRPr="00CC3AF8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>в індивідуальній картонній коробці.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C3AF8">
        <w:rPr>
          <w:rFonts w:ascii="Times New Roman" w:hAnsi="Times New Roman"/>
          <w:b/>
          <w:sz w:val="24"/>
          <w:szCs w:val="24"/>
          <w:lang w:val="uk-UA" w:eastAsia="ru-RU"/>
        </w:rPr>
        <w:t>6.5 Особливі заходи безпеки при поводженні з невикористаним препаратом або із його залишками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C3AF8">
        <w:rPr>
          <w:rFonts w:ascii="Times New Roman" w:hAnsi="Times New Roman"/>
          <w:sz w:val="24"/>
          <w:szCs w:val="24"/>
          <w:lang w:val="uk-UA" w:eastAsia="ru-RU"/>
        </w:rPr>
        <w:t>Невикористаний препарат, в якого закінчився термін придатності, утилізують відповідно до вимог чинного законодавства.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C3AF8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7. Назва та місцезнаходження власника реєстраційного посвідчення</w:t>
      </w:r>
    </w:p>
    <w:p w:rsidR="001A398C" w:rsidRPr="00CC3AF8" w:rsidRDefault="001A398C" w:rsidP="001A39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CC3AF8">
        <w:rPr>
          <w:rFonts w:ascii="Times New Roman" w:eastAsia="Times New Roman" w:hAnsi="Times New Roman"/>
          <w:sz w:val="24"/>
          <w:szCs w:val="24"/>
          <w:lang w:val="uk-UA"/>
        </w:rPr>
        <w:t>ТОВ "БРОВАФАРМА"</w:t>
      </w:r>
    </w:p>
    <w:p w:rsidR="001A398C" w:rsidRPr="00CC3AF8" w:rsidRDefault="001A398C" w:rsidP="001A398C">
      <w:pPr>
        <w:spacing w:after="0" w:line="240" w:lineRule="auto"/>
        <w:ind w:right="-106"/>
        <w:rPr>
          <w:rFonts w:ascii="Times New Roman" w:eastAsia="Times New Roman" w:hAnsi="Times New Roman"/>
          <w:sz w:val="24"/>
          <w:szCs w:val="24"/>
          <w:lang w:val="uk-UA"/>
        </w:rPr>
      </w:pPr>
      <w:r w:rsidRPr="00CC3AF8">
        <w:rPr>
          <w:rFonts w:ascii="Times New Roman" w:eastAsia="Times New Roman" w:hAnsi="Times New Roman"/>
          <w:sz w:val="24"/>
          <w:szCs w:val="24"/>
          <w:lang w:val="uk-UA"/>
        </w:rPr>
        <w:t>б–р Незалежності</w:t>
      </w:r>
      <w:r w:rsidR="00B07461" w:rsidRPr="00CC3AF8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CC3AF8">
        <w:rPr>
          <w:rFonts w:ascii="Times New Roman" w:eastAsia="Times New Roman" w:hAnsi="Times New Roman"/>
          <w:sz w:val="24"/>
          <w:szCs w:val="24"/>
          <w:lang w:val="uk-UA"/>
        </w:rPr>
        <w:t xml:space="preserve"> 18-а, м. Бровари, Київська обл., 07400, </w:t>
      </w:r>
      <w:r w:rsidR="00D63355" w:rsidRPr="00CC3AF8">
        <w:rPr>
          <w:rFonts w:ascii="Times New Roman" w:eastAsia="Times New Roman" w:hAnsi="Times New Roman"/>
          <w:sz w:val="24"/>
          <w:szCs w:val="24"/>
          <w:lang w:val="uk-UA"/>
        </w:rPr>
        <w:t>Україна.</w:t>
      </w:r>
    </w:p>
    <w:p w:rsidR="001A398C" w:rsidRPr="00CC3AF8" w:rsidRDefault="001A398C" w:rsidP="001A398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C3AF8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8. Назва та місцезнаходження виробника (виробників)</w:t>
      </w:r>
    </w:p>
    <w:p w:rsidR="001A398C" w:rsidRPr="00CC3AF8" w:rsidRDefault="001A398C" w:rsidP="001A398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CC3AF8">
        <w:rPr>
          <w:rFonts w:ascii="Times New Roman" w:eastAsia="Times New Roman" w:hAnsi="Times New Roman"/>
          <w:sz w:val="24"/>
          <w:szCs w:val="24"/>
          <w:lang w:val="uk-UA"/>
        </w:rPr>
        <w:t>ТОВ "БРОВАФАРМА"</w:t>
      </w:r>
    </w:p>
    <w:p w:rsidR="001A398C" w:rsidRPr="00CC3AF8" w:rsidRDefault="001A398C" w:rsidP="001A398C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CC3AF8">
        <w:rPr>
          <w:rFonts w:ascii="Times New Roman" w:eastAsia="Times New Roman" w:hAnsi="Times New Roman"/>
          <w:sz w:val="24"/>
          <w:szCs w:val="24"/>
          <w:lang w:val="uk-UA"/>
        </w:rPr>
        <w:t>б–р Незалежності</w:t>
      </w:r>
      <w:r w:rsidR="00B07461" w:rsidRPr="00CC3AF8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CC3AF8">
        <w:rPr>
          <w:rFonts w:ascii="Times New Roman" w:eastAsia="Times New Roman" w:hAnsi="Times New Roman"/>
          <w:sz w:val="24"/>
          <w:szCs w:val="24"/>
          <w:lang w:val="uk-UA"/>
        </w:rPr>
        <w:t xml:space="preserve"> 18-а, м. Бровари, Київська обл., 07400, </w:t>
      </w:r>
      <w:r w:rsidR="00D63355" w:rsidRPr="00CC3AF8">
        <w:rPr>
          <w:rFonts w:ascii="Times New Roman" w:eastAsia="Times New Roman" w:hAnsi="Times New Roman"/>
          <w:sz w:val="24"/>
          <w:szCs w:val="24"/>
          <w:lang w:val="uk-UA"/>
        </w:rPr>
        <w:t>Україна.</w:t>
      </w:r>
    </w:p>
    <w:p w:rsidR="001A398C" w:rsidRPr="001042D8" w:rsidRDefault="001A398C" w:rsidP="001A39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C3AF8">
        <w:rPr>
          <w:rFonts w:ascii="Times New Roman" w:hAnsi="Times New Roman"/>
          <w:b/>
          <w:sz w:val="24"/>
          <w:szCs w:val="24"/>
          <w:lang w:val="uk-UA" w:eastAsia="ru-RU"/>
        </w:rPr>
        <w:t>9. Додаткова інформація</w:t>
      </w:r>
    </w:p>
    <w:p w:rsidR="00472B26" w:rsidRDefault="00472B26"/>
    <w:sectPr w:rsidR="00472B26" w:rsidSect="00067317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26" w:rsidRDefault="00472B26" w:rsidP="00B07461">
      <w:pPr>
        <w:spacing w:after="0" w:line="240" w:lineRule="auto"/>
      </w:pPr>
      <w:r>
        <w:separator/>
      </w:r>
    </w:p>
  </w:endnote>
  <w:endnote w:type="continuationSeparator" w:id="0">
    <w:p w:rsidR="00472B26" w:rsidRDefault="00472B26" w:rsidP="00B0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99047"/>
      <w:docPartObj>
        <w:docPartGallery w:val="Page Numbers (Bottom of Page)"/>
        <w:docPartUnique/>
      </w:docPartObj>
    </w:sdtPr>
    <w:sdtEndPr/>
    <w:sdtContent>
      <w:p w:rsidR="00472B26" w:rsidRDefault="00472B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CB6">
          <w:rPr>
            <w:noProof/>
          </w:rPr>
          <w:t>3</w:t>
        </w:r>
        <w:r>
          <w:fldChar w:fldCharType="end"/>
        </w:r>
      </w:p>
    </w:sdtContent>
  </w:sdt>
  <w:p w:rsidR="00472B26" w:rsidRDefault="00472B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26" w:rsidRDefault="00472B26" w:rsidP="00B07461">
      <w:pPr>
        <w:spacing w:after="0" w:line="240" w:lineRule="auto"/>
      </w:pPr>
      <w:r>
        <w:separator/>
      </w:r>
    </w:p>
  </w:footnote>
  <w:footnote w:type="continuationSeparator" w:id="0">
    <w:p w:rsidR="00472B26" w:rsidRDefault="00472B26" w:rsidP="00B07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25"/>
    <w:rsid w:val="00067317"/>
    <w:rsid w:val="000867E9"/>
    <w:rsid w:val="001A398C"/>
    <w:rsid w:val="00213D71"/>
    <w:rsid w:val="00472B26"/>
    <w:rsid w:val="00547431"/>
    <w:rsid w:val="00853812"/>
    <w:rsid w:val="00A60CB6"/>
    <w:rsid w:val="00B07461"/>
    <w:rsid w:val="00B33F97"/>
    <w:rsid w:val="00CC3AF8"/>
    <w:rsid w:val="00CC6125"/>
    <w:rsid w:val="00CE290A"/>
    <w:rsid w:val="00D63355"/>
    <w:rsid w:val="00E1545D"/>
    <w:rsid w:val="00E3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46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0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461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5474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74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7431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74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7431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74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46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0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461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5474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74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7431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74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7431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74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201F-9B42-417D-81F6-78137911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Распутний</dc:creator>
  <cp:keywords/>
  <dc:description/>
  <cp:lastModifiedBy>Inna_Pavluk</cp:lastModifiedBy>
  <cp:revision>13</cp:revision>
  <dcterms:created xsi:type="dcterms:W3CDTF">2025-07-03T09:37:00Z</dcterms:created>
  <dcterms:modified xsi:type="dcterms:W3CDTF">2025-12-12T09:07:00Z</dcterms:modified>
</cp:coreProperties>
</file>