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041A" w:rsidRPr="007B6EB4" w:rsidRDefault="008E041A" w:rsidP="007B6EB4">
      <w:pPr>
        <w:pStyle w:val="2"/>
        <w:ind w:left="6237"/>
        <w:jc w:val="right"/>
        <w:rPr>
          <w:rFonts w:ascii="Times New Roman" w:hAnsi="Times New Roman" w:cs="Times New Roman"/>
          <w:b w:val="0"/>
          <w:bCs w:val="0"/>
        </w:rPr>
      </w:pPr>
      <w:r w:rsidRPr="007B6EB4">
        <w:rPr>
          <w:rFonts w:ascii="Times New Roman" w:hAnsi="Times New Roman" w:cs="Times New Roman"/>
          <w:b w:val="0"/>
          <w:bCs w:val="0"/>
        </w:rPr>
        <w:t>Додаток 1</w:t>
      </w:r>
    </w:p>
    <w:p w:rsidR="008E041A" w:rsidRDefault="008E041A" w:rsidP="00012544">
      <w:pPr>
        <w:spacing w:after="0" w:line="240" w:lineRule="auto"/>
        <w:ind w:left="4678" w:hanging="42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B6EB4">
        <w:rPr>
          <w:rFonts w:ascii="Times New Roman" w:hAnsi="Times New Roman" w:cs="Times New Roman"/>
          <w:sz w:val="24"/>
          <w:szCs w:val="24"/>
          <w:lang w:val="uk-UA"/>
        </w:rPr>
        <w:t>до реєстраційного посвідчення</w:t>
      </w:r>
      <w:r w:rsidR="00EB3C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2544">
        <w:rPr>
          <w:rFonts w:ascii="Times New Roman" w:hAnsi="Times New Roman" w:cs="Times New Roman"/>
          <w:sz w:val="24"/>
          <w:szCs w:val="24"/>
          <w:lang w:val="uk-UA"/>
        </w:rPr>
        <w:t>АА-09418-01-20</w:t>
      </w:r>
    </w:p>
    <w:p w:rsidR="008E041A" w:rsidRPr="00A347A1" w:rsidRDefault="008E041A" w:rsidP="00CB2714">
      <w:pPr>
        <w:pStyle w:val="2"/>
        <w:rPr>
          <w:b w:val="0"/>
          <w:bCs w:val="0"/>
        </w:rPr>
      </w:pPr>
    </w:p>
    <w:p w:rsidR="008E041A" w:rsidRPr="007B6EB4" w:rsidRDefault="008E041A" w:rsidP="00CB2714">
      <w:pPr>
        <w:pStyle w:val="2"/>
        <w:rPr>
          <w:rFonts w:ascii="Times New Roman" w:hAnsi="Times New Roman" w:cs="Times New Roman"/>
        </w:rPr>
      </w:pPr>
      <w:r w:rsidRPr="007B6EB4">
        <w:rPr>
          <w:rFonts w:ascii="Times New Roman" w:hAnsi="Times New Roman" w:cs="Times New Roman"/>
        </w:rPr>
        <w:t>Коротка характеристика препарату</w:t>
      </w:r>
    </w:p>
    <w:p w:rsidR="008E041A" w:rsidRPr="007B6EB4" w:rsidRDefault="008E041A" w:rsidP="00155ECE">
      <w:pPr>
        <w:rPr>
          <w:rFonts w:ascii="Times New Roman" w:hAnsi="Times New Roman" w:cs="Times New Roman"/>
          <w:lang w:val="uk-UA" w:eastAsia="ru-RU"/>
        </w:rPr>
      </w:pPr>
    </w:p>
    <w:p w:rsidR="008E041A" w:rsidRPr="00A347A1" w:rsidRDefault="008E041A" w:rsidP="00471A78">
      <w:pPr>
        <w:numPr>
          <w:ilvl w:val="0"/>
          <w:numId w:val="6"/>
        </w:numPr>
        <w:tabs>
          <w:tab w:val="clear" w:pos="540"/>
          <w:tab w:val="left" w:pos="142"/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Назва </w:t>
      </w:r>
    </w:p>
    <w:p w:rsidR="008E041A" w:rsidRPr="00A347A1" w:rsidRDefault="008E041A" w:rsidP="00471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Сефкамізін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ЛС</w:t>
      </w:r>
    </w:p>
    <w:p w:rsidR="008E041A" w:rsidRPr="00A347A1" w:rsidRDefault="008E041A" w:rsidP="00471A78">
      <w:pPr>
        <w:numPr>
          <w:ilvl w:val="0"/>
          <w:numId w:val="6"/>
        </w:numPr>
        <w:tabs>
          <w:tab w:val="clear" w:pos="540"/>
          <w:tab w:val="left" w:pos="142"/>
          <w:tab w:val="left" w:pos="284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Склад</w:t>
      </w:r>
    </w:p>
    <w:p w:rsidR="008E041A" w:rsidRPr="00A347A1" w:rsidRDefault="008E041A" w:rsidP="00471A7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1 шприц-туба (8 г)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містить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діючі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речовини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E041A" w:rsidRPr="00A347A1" w:rsidRDefault="008E041A" w:rsidP="00471A7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A347A1">
        <w:rPr>
          <w:rFonts w:ascii="Times New Roman" w:hAnsi="Times New Roman" w:cs="Times New Roman"/>
          <w:sz w:val="24"/>
          <w:szCs w:val="24"/>
          <w:lang w:val="ru-RU"/>
        </w:rPr>
        <w:t>ефалексину</w:t>
      </w:r>
      <w:proofErr w:type="spellEnd"/>
      <w:r w:rsidRPr="00F214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8B1">
        <w:rPr>
          <w:rFonts w:ascii="Times New Roman" w:hAnsi="Times New Roman" w:cs="Times New Roman"/>
          <w:sz w:val="24"/>
          <w:szCs w:val="24"/>
          <w:lang w:val="ru-RU"/>
        </w:rPr>
        <w:t xml:space="preserve">(як 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>моногідрат</w:t>
      </w:r>
      <w:r w:rsidR="009908B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347A1">
        <w:rPr>
          <w:rFonts w:ascii="Times New Roman" w:hAnsi="Times New Roman" w:cs="Times New Roman"/>
          <w:sz w:val="24"/>
          <w:szCs w:val="24"/>
          <w:lang w:val="ru-RU"/>
        </w:rPr>
        <w:t>-200</w:t>
      </w:r>
      <w:r w:rsidR="009908B1">
        <w:rPr>
          <w:rFonts w:ascii="Times New Roman" w:hAnsi="Times New Roman" w:cs="Times New Roman"/>
          <w:sz w:val="24"/>
          <w:szCs w:val="24"/>
          <w:lang w:val="ru-RU"/>
        </w:rPr>
        <w:t>,0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мг,</w:t>
      </w:r>
    </w:p>
    <w:p w:rsidR="008E041A" w:rsidRPr="00A347A1" w:rsidRDefault="008E041A" w:rsidP="00471A7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347A1">
        <w:rPr>
          <w:rFonts w:ascii="Times New Roman" w:hAnsi="Times New Roman" w:cs="Times New Roman"/>
          <w:sz w:val="24"/>
          <w:szCs w:val="24"/>
          <w:lang w:val="ru-RU"/>
        </w:rPr>
        <w:t>анаміцин</w:t>
      </w:r>
      <w:proofErr w:type="spellEnd"/>
      <w:r w:rsidRPr="00F214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8B1">
        <w:rPr>
          <w:rFonts w:ascii="Times New Roman" w:hAnsi="Times New Roman" w:cs="Times New Roman"/>
          <w:sz w:val="24"/>
          <w:szCs w:val="24"/>
          <w:lang w:val="ru-RU"/>
        </w:rPr>
        <w:t xml:space="preserve">(як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моносульфат</w:t>
      </w:r>
      <w:proofErr w:type="spellEnd"/>
      <w:r w:rsidR="009908B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347A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347A1">
        <w:rPr>
          <w:rFonts w:ascii="Times New Roman" w:hAnsi="Times New Roman" w:cs="Times New Roman"/>
          <w:sz w:val="24"/>
          <w:szCs w:val="24"/>
          <w:lang w:val="ru-RU"/>
        </w:rPr>
        <w:tab/>
        <w:t>-100 000 МО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041A" w:rsidRPr="00A347A1" w:rsidRDefault="008E041A" w:rsidP="0047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Допоміжні речовини: магнію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стеарат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>, парафін м’який, парафін рідкий.</w:t>
      </w:r>
    </w:p>
    <w:p w:rsidR="008E041A" w:rsidRPr="00A347A1" w:rsidRDefault="008E041A" w:rsidP="00471A78">
      <w:pPr>
        <w:tabs>
          <w:tab w:val="left" w:pos="0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3.Фармацевтична форма</w:t>
      </w:r>
    </w:p>
    <w:p w:rsidR="008E041A" w:rsidRPr="00A347A1" w:rsidRDefault="008E041A" w:rsidP="00471A78">
      <w:pPr>
        <w:tabs>
          <w:tab w:val="left" w:pos="0"/>
          <w:tab w:val="left" w:pos="284"/>
          <w:tab w:val="left" w:pos="310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Суспензія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інтрацистернальн</w:t>
      </w:r>
      <w:r w:rsidR="009908B1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041A" w:rsidRPr="00A347A1" w:rsidRDefault="008E041A" w:rsidP="00471A78">
      <w:pPr>
        <w:tabs>
          <w:tab w:val="left" w:pos="0"/>
          <w:tab w:val="left" w:pos="284"/>
          <w:tab w:val="left" w:pos="3105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4.Фармакологічні властивості</w:t>
      </w:r>
    </w:p>
    <w:p w:rsidR="008E041A" w:rsidRPr="00E15F86" w:rsidRDefault="008E041A" w:rsidP="00471A78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ATC </w:t>
      </w:r>
      <w:proofErr w:type="spellStart"/>
      <w:r w:rsidRPr="00A347A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vet</w:t>
      </w:r>
      <w:proofErr w:type="spellEnd"/>
      <w:r w:rsidRPr="00A347A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класифікаційний код: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QJ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val="uk-UA"/>
        </w:rPr>
        <w:t>51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– комбінації антибактерійних ветеринарних препаратів для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/>
        </w:rPr>
        <w:t>інтрацистернального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введення</w:t>
      </w:r>
      <w:r w:rsidRPr="00E15F86">
        <w:rPr>
          <w:rFonts w:ascii="Times New Roman" w:hAnsi="Times New Roman" w:cs="Times New Roman"/>
          <w:i/>
          <w:iCs/>
          <w:sz w:val="24"/>
          <w:szCs w:val="24"/>
          <w:lang w:val="uk-UA"/>
        </w:rPr>
        <w:t>. (</w:t>
      </w:r>
      <w:r w:rsidRPr="00E15F86">
        <w:rPr>
          <w:rFonts w:ascii="Times New Roman" w:hAnsi="Times New Roman" w:cs="Times New Roman"/>
          <w:i/>
          <w:iCs/>
          <w:sz w:val="24"/>
          <w:szCs w:val="24"/>
        </w:rPr>
        <w:t>QJ</w:t>
      </w:r>
      <w:r w:rsidRPr="00E15F86">
        <w:rPr>
          <w:rFonts w:ascii="Times New Roman" w:hAnsi="Times New Roman" w:cs="Times New Roman"/>
          <w:i/>
          <w:iCs/>
          <w:sz w:val="24"/>
          <w:szCs w:val="24"/>
          <w:lang w:val="uk-UA"/>
        </w:rPr>
        <w:t>51</w:t>
      </w:r>
      <w:r w:rsidRPr="00E15F86">
        <w:rPr>
          <w:rFonts w:ascii="Times New Roman" w:hAnsi="Times New Roman" w:cs="Times New Roman"/>
          <w:i/>
          <w:iCs/>
          <w:sz w:val="24"/>
          <w:szCs w:val="24"/>
        </w:rPr>
        <w:t>RD</w:t>
      </w:r>
      <w:r w:rsidRPr="00E15F86">
        <w:rPr>
          <w:rFonts w:ascii="Times New Roman" w:hAnsi="Times New Roman" w:cs="Times New Roman"/>
          <w:i/>
          <w:iCs/>
          <w:sz w:val="24"/>
          <w:szCs w:val="24"/>
          <w:lang w:val="uk-UA"/>
        </w:rPr>
        <w:t>01 – цефалексин, комбінації з іншими протимікробними препаратами).</w:t>
      </w:r>
    </w:p>
    <w:p w:rsidR="008E041A" w:rsidRPr="00A347A1" w:rsidRDefault="008E041A" w:rsidP="00665B7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15F86">
        <w:rPr>
          <w:rFonts w:ascii="Times New Roman" w:hAnsi="Times New Roman" w:cs="Times New Roman"/>
          <w:sz w:val="24"/>
          <w:szCs w:val="24"/>
          <w:lang w:val="uk-UA"/>
        </w:rPr>
        <w:t>Сефкамізін</w:t>
      </w:r>
      <w:proofErr w:type="spellEnd"/>
      <w:r w:rsidRPr="00E15F86">
        <w:rPr>
          <w:rFonts w:ascii="Times New Roman" w:hAnsi="Times New Roman" w:cs="Times New Roman"/>
          <w:sz w:val="24"/>
          <w:szCs w:val="24"/>
          <w:lang w:val="uk-UA"/>
        </w:rPr>
        <w:t xml:space="preserve"> ЛС містить комбінацію антибіотиків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цефалексину та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канаміцину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041A" w:rsidRPr="00A347A1" w:rsidRDefault="008E041A" w:rsidP="00665B7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Цефалексин – напівсинтетичний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 w:eastAsia="ar-SA"/>
        </w:rPr>
        <w:t>цефалоспориновий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антибіотик першого покоління. Діє бактерицидно.</w:t>
      </w:r>
      <w:r w:rsidRPr="00A347A1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 Механізм дії полягає у порушенні синтезу клітинної стінки бактерій. </w:t>
      </w:r>
      <w:r w:rsidRPr="00A347A1">
        <w:rPr>
          <w:rFonts w:ascii="Times New Roman" w:hAnsi="Times New Roman" w:cs="Times New Roman"/>
          <w:sz w:val="24"/>
          <w:szCs w:val="24"/>
          <w:lang w:val="uk-UA" w:eastAsia="ar-SA"/>
        </w:rPr>
        <w:t>Цефалексин володіє широким спектром антимікробної дії проти грампозитивних (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Staphylococcus</w:t>
      </w:r>
      <w:proofErr w:type="spellEnd"/>
      <w:r w:rsidRPr="00706AF2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.,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Streptococcus</w:t>
      </w:r>
      <w:proofErr w:type="spellEnd"/>
      <w:r w:rsidRPr="00706AF2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.,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Clostridium</w:t>
      </w:r>
      <w:proofErr w:type="spellEnd"/>
      <w:r w:rsidRPr="00706AF2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., 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Corynebacterium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..</w:t>
      </w:r>
      <w:r w:rsidRPr="00A347A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) та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 w:eastAsia="ar-SA"/>
        </w:rPr>
        <w:t>грамнегативних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E.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coli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, 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Salmonella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spp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., 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Shigella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spp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., 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Pasteurella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., 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Proteus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.,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Klebsiella</w:t>
      </w:r>
      <w:proofErr w:type="spellEnd"/>
      <w:r w:rsidRPr="00706AF2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.</w:t>
      </w:r>
      <w:r w:rsidRPr="00A347A1">
        <w:rPr>
          <w:rFonts w:ascii="Times New Roman" w:hAnsi="Times New Roman" w:cs="Times New Roman"/>
          <w:sz w:val="24"/>
          <w:szCs w:val="24"/>
          <w:lang w:val="uk-UA" w:eastAsia="ar-SA"/>
        </w:rPr>
        <w:t>) бактерій.</w:t>
      </w:r>
    </w:p>
    <w:p w:rsidR="008E041A" w:rsidRPr="00A347A1" w:rsidRDefault="008E041A" w:rsidP="00665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Канаміцин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антибіотик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990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належить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аміноглікозид</w:t>
      </w:r>
      <w:r w:rsidRPr="00A347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Характеризується широким спектром антимікробної дії; активний відносно більшості грампозитивних і деяких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грамнегативних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мікроорганізмів: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coli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Salmonella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.,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Shigella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.,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Enterobacter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aerogenes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Klebsiella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деяких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видів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Proteus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Serratia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Pseudomonas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aeruginosa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 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val="en-GB"/>
        </w:rPr>
        <w:t>Sta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>р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  <w:lang w:val="en-GB"/>
        </w:rPr>
        <w:t>hylococcus</w:t>
      </w:r>
      <w:proofErr w:type="spellEnd"/>
      <w:r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aureus</w:t>
      </w:r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A347A1">
        <w:rPr>
          <w:rFonts w:ascii="Times New Roman" w:hAnsi="Times New Roman" w:cs="Times New Roman"/>
          <w:i/>
          <w:iCs/>
          <w:sz w:val="24"/>
          <w:szCs w:val="24"/>
        </w:rPr>
        <w:t>Mycoplasma</w:t>
      </w:r>
      <w:r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Він проникає через клітинну мембрану і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незворотньо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зв'язується зі специфічними білками-рецепторами на 30 </w:t>
      </w:r>
      <w:r w:rsidRPr="00A347A1">
        <w:rPr>
          <w:rFonts w:ascii="Times New Roman" w:hAnsi="Times New Roman" w:cs="Times New Roman"/>
          <w:sz w:val="24"/>
          <w:szCs w:val="24"/>
        </w:rPr>
        <w:t>S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субодиниці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рибосом, тим самим блокує синтез білків в бактеріальній клітині. </w:t>
      </w:r>
    </w:p>
    <w:p w:rsidR="008E041A" w:rsidRDefault="008E041A" w:rsidP="009B51C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Комбінація цефалексину та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канаміцину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проявляє бактерицидну дію відносно бактерій, що викликають мастит у корів: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Staphylococcus</w:t>
      </w:r>
      <w:r w:rsidRPr="00706AF2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aureus</w:t>
      </w:r>
      <w:r w:rsidR="009908B1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>,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Pseudomonas</w:t>
      </w:r>
      <w:r w:rsidRPr="00706AF2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aeruginosa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,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Proteus</w:t>
      </w:r>
      <w:r w:rsidRPr="00706AF2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vulgaris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,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E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>.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coli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,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Streptococcus</w:t>
      </w:r>
      <w:r w:rsidRPr="00706AF2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agalactiae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,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Streptococcus</w:t>
      </w:r>
      <w:r w:rsidRPr="00706AF2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 </w:t>
      </w:r>
      <w:proofErr w:type="spellStart"/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dysgalactiae</w:t>
      </w:r>
      <w:proofErr w:type="spellEnd"/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, 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Klebsiella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, </w:t>
      </w:r>
      <w:proofErr w:type="spellStart"/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Enterobacte</w:t>
      </w:r>
      <w:proofErr w:type="spellEnd"/>
      <w:r w:rsidRPr="00A347A1">
        <w:rPr>
          <w:rFonts w:ascii="Times New Roman" w:hAnsi="Times New Roman" w:cs="Times New Roman"/>
          <w:i/>
          <w:iCs/>
          <w:sz w:val="24"/>
          <w:szCs w:val="24"/>
          <w:lang w:val="uk-UA"/>
        </w:rPr>
        <w:t>r</w:t>
      </w:r>
      <w:r w:rsidRPr="00A347A1">
        <w:rPr>
          <w:rFonts w:ascii="Times New Roman" w:hAnsi="Times New Roman" w:cs="Times New Roman"/>
          <w:i/>
          <w:iCs/>
          <w:snapToGrid w:val="0"/>
          <w:sz w:val="24"/>
          <w:szCs w:val="24"/>
          <w:lang w:val="uk-UA"/>
        </w:rPr>
        <w:t xml:space="preserve">. </w:t>
      </w:r>
    </w:p>
    <w:p w:rsidR="009908B1" w:rsidRPr="009908B1" w:rsidRDefault="009908B1" w:rsidP="009B51C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Після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>інтрацистернального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введення діючих речовин –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>канаміцину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та цефалексину – протягом двох послідовних днів з інтервалом у 24 години, їх абсорбція та розподіл у системному кровотоці були швидкими, але обмеженими. </w:t>
      </w:r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Після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>інтрацистернального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застосування препарату цефалексин та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>канаміцин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переважно виводились з молоком під час доїння. Максимальні концентрації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>канаміцину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А в молоці були виявлені через 12 годин після першої дози, а цефалексину – через 36 годин. </w:t>
      </w:r>
    </w:p>
    <w:p w:rsidR="008E041A" w:rsidRPr="00A347A1" w:rsidRDefault="008E041A" w:rsidP="009B51C4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Клінічні особливості</w:t>
      </w:r>
    </w:p>
    <w:p w:rsidR="008E041A" w:rsidRPr="00706AF2" w:rsidRDefault="008E041A" w:rsidP="009B51C4">
      <w:pPr>
        <w:pStyle w:val="21"/>
        <w:tabs>
          <w:tab w:val="left" w:pos="0"/>
          <w:tab w:val="left" w:pos="284"/>
        </w:tabs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706AF2">
        <w:rPr>
          <w:rFonts w:ascii="Times New Roman" w:hAnsi="Times New Roman" w:cs="Times New Roman"/>
          <w:b/>
          <w:bCs/>
          <w:sz w:val="24"/>
          <w:szCs w:val="24"/>
          <w:lang w:val="uk-UA"/>
        </w:rPr>
        <w:t>5.1. Вид тварин</w:t>
      </w:r>
    </w:p>
    <w:p w:rsidR="008E041A" w:rsidRPr="00A347A1" w:rsidRDefault="008E041A" w:rsidP="009B51C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>Велика рогата худоба (корови в період лактації).</w:t>
      </w:r>
    </w:p>
    <w:p w:rsidR="008E041A" w:rsidRPr="00706AF2" w:rsidRDefault="008E041A" w:rsidP="009B51C4">
      <w:pPr>
        <w:pStyle w:val="a9"/>
        <w:tabs>
          <w:tab w:val="left" w:pos="142"/>
          <w:tab w:val="left" w:pos="284"/>
          <w:tab w:val="left" w:pos="4275"/>
        </w:tabs>
        <w:ind w:firstLine="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5.2.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Показання</w:t>
      </w:r>
      <w:proofErr w:type="spellEnd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застосування</w:t>
      </w:r>
      <w:proofErr w:type="spellEnd"/>
    </w:p>
    <w:p w:rsidR="008E041A" w:rsidRPr="00706AF2" w:rsidRDefault="008E041A" w:rsidP="009B51C4">
      <w:pPr>
        <w:pStyle w:val="a9"/>
        <w:tabs>
          <w:tab w:val="left" w:pos="142"/>
          <w:tab w:val="left" w:pos="284"/>
          <w:tab w:val="left" w:pos="4275"/>
        </w:tabs>
        <w:ind w:firstLine="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Лікування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корів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лактації</w:t>
      </w:r>
      <w:proofErr w:type="spellEnd"/>
      <w:r w:rsidR="009908B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08B1">
        <w:rPr>
          <w:rFonts w:ascii="Times New Roman" w:hAnsi="Times New Roman" w:cs="Times New Roman"/>
          <w:sz w:val="24"/>
          <w:szCs w:val="24"/>
          <w:lang w:val="ru-RU"/>
        </w:rPr>
        <w:t>хворих</w:t>
      </w:r>
      <w:proofErr w:type="spellEnd"/>
      <w:r w:rsidR="009908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908B1">
        <w:rPr>
          <w:rFonts w:ascii="Times New Roman" w:hAnsi="Times New Roman" w:cs="Times New Roman"/>
          <w:sz w:val="24"/>
          <w:szCs w:val="24"/>
          <w:lang w:val="ru-RU"/>
        </w:rPr>
        <w:t>клінічні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мастит</w:t>
      </w:r>
      <w:r w:rsidR="009908B1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спричинені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мікроорганізмами</w:t>
      </w:r>
      <w:proofErr w:type="spellEnd"/>
      <w:r w:rsidR="009908B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908B1"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Staphylococcus</w:t>
      </w:r>
      <w:proofErr w:type="spellEnd"/>
      <w:r w:rsidR="009908B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proofErr w:type="gramStart"/>
      <w:r w:rsidR="009908B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aureus</w:t>
      </w:r>
      <w:r w:rsidR="009908B1" w:rsidRPr="009908B1"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  <w:t xml:space="preserve">, 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08B1"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Streptococcus</w:t>
      </w:r>
      <w:proofErr w:type="spellEnd"/>
      <w:proofErr w:type="gramEnd"/>
      <w:r w:rsidR="009908B1" w:rsidRPr="009908B1"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  <w:t xml:space="preserve"> </w:t>
      </w:r>
      <w:proofErr w:type="spellStart"/>
      <w:r w:rsidR="009908B1" w:rsidRPr="00A347A1">
        <w:rPr>
          <w:rFonts w:ascii="Times New Roman" w:hAnsi="Times New Roman" w:cs="Times New Roman"/>
          <w:i/>
          <w:iCs/>
          <w:snapToGrid w:val="0"/>
          <w:sz w:val="24"/>
          <w:szCs w:val="24"/>
        </w:rPr>
        <w:t>dysgalactiae</w:t>
      </w:r>
      <w:proofErr w:type="spellEnd"/>
      <w:r w:rsidR="009908B1" w:rsidRPr="009908B1">
        <w:rPr>
          <w:rFonts w:ascii="Times New Roman" w:hAnsi="Times New Roman" w:cs="Times New Roman"/>
          <w:i/>
          <w:iCs/>
          <w:snapToGrid w:val="0"/>
          <w:sz w:val="24"/>
          <w:szCs w:val="24"/>
          <w:lang w:val="ru-RU"/>
        </w:rPr>
        <w:t xml:space="preserve">, </w:t>
      </w:r>
      <w:proofErr w:type="spellStart"/>
      <w:r w:rsidR="009908B1" w:rsidRPr="00A347A1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Streptococcus</w:t>
      </w:r>
      <w:proofErr w:type="spellEnd"/>
      <w:r w:rsidR="009908B1" w:rsidRPr="009908B1"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  <w:t xml:space="preserve"> </w:t>
      </w:r>
      <w:proofErr w:type="spellStart"/>
      <w:r w:rsidR="009908B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uberis</w:t>
      </w:r>
      <w:proofErr w:type="spellEnd"/>
      <w:r w:rsidR="009908B1" w:rsidRPr="009908B1"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  <w:t xml:space="preserve"> </w:t>
      </w:r>
      <w:r w:rsidR="009908B1" w:rsidRPr="009908B1">
        <w:rPr>
          <w:rFonts w:ascii="Times New Roman" w:hAnsi="Times New Roman" w:cs="Times New Roman"/>
          <w:sz w:val="24"/>
          <w:szCs w:val="24"/>
          <w:lang w:val="ru-RU" w:eastAsia="ar-SA"/>
        </w:rPr>
        <w:t>та</w:t>
      </w:r>
      <w:r w:rsidR="009908B1"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  <w:t xml:space="preserve"> </w:t>
      </w:r>
      <w:r w:rsidR="009908B1" w:rsidRPr="00706AF2"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r w:rsidR="009908B1" w:rsidRPr="00A347A1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r w:rsidR="009908B1" w:rsidRPr="00706A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908B1" w:rsidRPr="00A347A1">
        <w:rPr>
          <w:rFonts w:ascii="Times New Roman" w:hAnsi="Times New Roman" w:cs="Times New Roman"/>
          <w:i/>
          <w:iCs/>
          <w:sz w:val="24"/>
          <w:szCs w:val="24"/>
        </w:rPr>
        <w:t>coli</w:t>
      </w:r>
      <w:r w:rsidR="009908B1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чутливими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9908B1">
        <w:rPr>
          <w:rFonts w:ascii="Times New Roman" w:hAnsi="Times New Roman" w:cs="Times New Roman"/>
          <w:sz w:val="24"/>
          <w:szCs w:val="24"/>
          <w:lang w:val="ru-RU"/>
        </w:rPr>
        <w:t>цефалексину</w:t>
      </w:r>
      <w:proofErr w:type="spellEnd"/>
      <w:r w:rsidR="009908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9908B1">
        <w:rPr>
          <w:rFonts w:ascii="Times New Roman" w:hAnsi="Times New Roman" w:cs="Times New Roman"/>
          <w:sz w:val="24"/>
          <w:szCs w:val="24"/>
          <w:lang w:val="ru-RU"/>
        </w:rPr>
        <w:t>канаміцину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041A" w:rsidRPr="00706AF2" w:rsidRDefault="008E041A" w:rsidP="001A5175">
      <w:pPr>
        <w:pStyle w:val="a9"/>
        <w:tabs>
          <w:tab w:val="left" w:pos="0"/>
          <w:tab w:val="left" w:pos="284"/>
        </w:tabs>
        <w:ind w:firstLine="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5.3.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Протипоказання</w:t>
      </w:r>
      <w:proofErr w:type="spellEnd"/>
    </w:p>
    <w:p w:rsidR="008E041A" w:rsidRPr="00706AF2" w:rsidRDefault="008E041A" w:rsidP="001A5175">
      <w:pPr>
        <w:pStyle w:val="a9"/>
        <w:tabs>
          <w:tab w:val="left" w:pos="0"/>
          <w:tab w:val="left" w:pos="284"/>
        </w:tabs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Підвищена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індивідуальн</w:t>
      </w:r>
      <w:r w:rsidR="00C7280F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чутливість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C7280F">
        <w:rPr>
          <w:rFonts w:ascii="Times New Roman" w:hAnsi="Times New Roman" w:cs="Times New Roman"/>
          <w:sz w:val="24"/>
          <w:szCs w:val="24"/>
          <w:lang w:val="ru-RU"/>
        </w:rPr>
        <w:t>цефалексину</w:t>
      </w:r>
      <w:proofErr w:type="spellEnd"/>
      <w:r w:rsidR="00C7280F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7280F">
        <w:rPr>
          <w:rFonts w:ascii="Times New Roman" w:hAnsi="Times New Roman" w:cs="Times New Roman"/>
          <w:sz w:val="24"/>
          <w:szCs w:val="24"/>
          <w:lang w:val="ru-RU"/>
        </w:rPr>
        <w:t>канаміцину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7280F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C7280F">
        <w:rPr>
          <w:rFonts w:ascii="Times New Roman" w:hAnsi="Times New Roman" w:cs="Times New Roman"/>
          <w:sz w:val="24"/>
          <w:szCs w:val="24"/>
          <w:lang w:val="ru-RU"/>
        </w:rPr>
        <w:t xml:space="preserve"> до будь-</w:t>
      </w:r>
      <w:proofErr w:type="spellStart"/>
      <w:r w:rsidR="00C7280F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="00C7280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C7280F">
        <w:rPr>
          <w:rFonts w:ascii="Times New Roman" w:hAnsi="Times New Roman" w:cs="Times New Roman"/>
          <w:sz w:val="24"/>
          <w:szCs w:val="24"/>
          <w:lang w:val="ru-RU"/>
        </w:rPr>
        <w:t>допоміжних</w:t>
      </w:r>
      <w:proofErr w:type="spellEnd"/>
      <w:r w:rsidR="00C72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280F">
        <w:rPr>
          <w:rFonts w:ascii="Times New Roman" w:hAnsi="Times New Roman" w:cs="Times New Roman"/>
          <w:sz w:val="24"/>
          <w:szCs w:val="24"/>
          <w:lang w:val="ru-RU"/>
        </w:rPr>
        <w:t>речовин</w:t>
      </w:r>
      <w:proofErr w:type="spellEnd"/>
      <w:r w:rsidR="00C728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застосовувати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тваринам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сухостою. Не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застосовувати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відомої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резистентності</w:t>
      </w:r>
      <w:proofErr w:type="spellEnd"/>
      <w:r w:rsidR="00C72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280F">
        <w:rPr>
          <w:rFonts w:ascii="Times New Roman" w:hAnsi="Times New Roman" w:cs="Times New Roman"/>
          <w:sz w:val="24"/>
          <w:szCs w:val="24"/>
          <w:lang w:val="ru-RU"/>
        </w:rPr>
        <w:t>мікроорганізмів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цефалексину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канаміцину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041A" w:rsidRPr="00A347A1" w:rsidRDefault="008E041A" w:rsidP="009B51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2544" w:rsidRPr="007B6EB4" w:rsidRDefault="00012544" w:rsidP="00012544">
      <w:pPr>
        <w:pStyle w:val="2"/>
        <w:ind w:left="6237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Продовження додатку</w:t>
      </w:r>
      <w:r w:rsidRPr="007B6EB4">
        <w:rPr>
          <w:rFonts w:ascii="Times New Roman" w:hAnsi="Times New Roman" w:cs="Times New Roman"/>
          <w:b w:val="0"/>
          <w:bCs w:val="0"/>
        </w:rPr>
        <w:t xml:space="preserve"> 1</w:t>
      </w:r>
    </w:p>
    <w:p w:rsidR="00012544" w:rsidRDefault="00012544" w:rsidP="00012544">
      <w:pPr>
        <w:spacing w:after="0" w:line="240" w:lineRule="auto"/>
        <w:ind w:left="4678" w:hanging="42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B6EB4">
        <w:rPr>
          <w:rFonts w:ascii="Times New Roman" w:hAnsi="Times New Roman" w:cs="Times New Roman"/>
          <w:sz w:val="24"/>
          <w:szCs w:val="24"/>
          <w:lang w:val="uk-UA"/>
        </w:rPr>
        <w:t>до реєстраційного посвідчення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АА-09418-01-20</w:t>
      </w:r>
    </w:p>
    <w:p w:rsidR="00C7280F" w:rsidRPr="00706AF2" w:rsidRDefault="00C7280F" w:rsidP="00C7280F">
      <w:pPr>
        <w:pStyle w:val="a9"/>
        <w:tabs>
          <w:tab w:val="left" w:pos="0"/>
          <w:tab w:val="left" w:pos="284"/>
        </w:tabs>
        <w:ind w:firstLine="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5.4.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Побічна</w:t>
      </w:r>
      <w:proofErr w:type="spellEnd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дія</w:t>
      </w:r>
      <w:proofErr w:type="spellEnd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12544" w:rsidRPr="00C7280F" w:rsidRDefault="00C7280F" w:rsidP="00C728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Іноді при використанні можливе виникнення алергічних реакцій у тварин з підвищеною індивідуальною чутливістю до діючих компонентів препарату. У цих випадках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застосування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препарату слід припинити та застосувати симптоматичну терапію з використанням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антигістамінних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засобів.</w:t>
      </w:r>
    </w:p>
    <w:p w:rsidR="008E041A" w:rsidRPr="00A347A1" w:rsidRDefault="008E041A" w:rsidP="009B51C4">
      <w:pPr>
        <w:tabs>
          <w:tab w:val="left" w:pos="284"/>
          <w:tab w:val="left" w:pos="567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5.5. Особливі застереження при використанні</w:t>
      </w:r>
    </w:p>
    <w:p w:rsidR="008E041A" w:rsidRPr="00C7280F" w:rsidRDefault="00C7280F" w:rsidP="009B51C4">
      <w:pPr>
        <w:tabs>
          <w:tab w:val="left" w:pos="284"/>
          <w:tab w:val="left" w:pos="567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Застосування ветеринарного лікарського засобу повинно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грунтуватись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результатах тесту на чутливість бактерій, виділених від хворих тварин, до діючих речовин препарату</w:t>
      </w:r>
      <w:r w:rsidR="008E041A" w:rsidRPr="00A347A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Якщо це неможливо, терапію проводять, враховуючи місцеву (регіональну, на рівні ферми) епізоотичну інформацію про чутливість цільових бактерій. Використання препарату з відхиленням від інструкцій, наведених у короткій характеристиці препарату (</w:t>
      </w:r>
      <w:r>
        <w:rPr>
          <w:rFonts w:ascii="Times New Roman" w:hAnsi="Times New Roman" w:cs="Times New Roman"/>
          <w:sz w:val="24"/>
          <w:szCs w:val="24"/>
        </w:rPr>
        <w:t>SPC</w:t>
      </w:r>
      <w:r w:rsidRPr="00C7280F">
        <w:rPr>
          <w:rFonts w:ascii="Times New Roman" w:hAnsi="Times New Roman" w:cs="Times New Roman"/>
          <w:sz w:val="24"/>
          <w:szCs w:val="24"/>
          <w:lang w:val="uk-UA"/>
        </w:rPr>
        <w:t>), може збільшити поширеність бактерій, стійк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их до цефалексину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канаміцину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а також знизити ефективність препарату.</w:t>
      </w:r>
    </w:p>
    <w:p w:rsidR="008E041A" w:rsidRPr="00C7280F" w:rsidRDefault="008E041A" w:rsidP="009B51C4">
      <w:pPr>
        <w:pStyle w:val="21"/>
        <w:tabs>
          <w:tab w:val="left" w:pos="0"/>
          <w:tab w:val="left" w:pos="284"/>
          <w:tab w:val="left" w:pos="2520"/>
        </w:tabs>
        <w:ind w:firstLine="42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7280F">
        <w:rPr>
          <w:rFonts w:ascii="Times New Roman" w:hAnsi="Times New Roman" w:cs="Times New Roman"/>
          <w:b/>
          <w:bCs/>
          <w:sz w:val="24"/>
          <w:szCs w:val="24"/>
          <w:lang w:val="uk-UA"/>
        </w:rPr>
        <w:t>5.6. Використання під час вагітності, лактації, несучості</w:t>
      </w:r>
    </w:p>
    <w:p w:rsidR="008E041A" w:rsidRPr="00A347A1" w:rsidRDefault="008E041A" w:rsidP="009B51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Препарат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призначений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ru-RU"/>
        </w:rPr>
        <w:t>лактації</w:t>
      </w:r>
      <w:proofErr w:type="spellEnd"/>
      <w:r w:rsidR="00C7280F">
        <w:rPr>
          <w:rFonts w:ascii="Times New Roman" w:hAnsi="Times New Roman" w:cs="Times New Roman"/>
          <w:sz w:val="24"/>
          <w:szCs w:val="24"/>
          <w:lang w:val="ru-RU"/>
        </w:rPr>
        <w:t xml:space="preserve">. Препарат </w:t>
      </w:r>
      <w:proofErr w:type="spellStart"/>
      <w:r w:rsidR="00C7280F">
        <w:rPr>
          <w:rFonts w:ascii="Times New Roman" w:hAnsi="Times New Roman" w:cs="Times New Roman"/>
          <w:sz w:val="24"/>
          <w:szCs w:val="24"/>
          <w:lang w:val="ru-RU"/>
        </w:rPr>
        <w:t>можнга</w:t>
      </w:r>
      <w:proofErr w:type="spellEnd"/>
      <w:r w:rsidR="00C72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280F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="00C72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280F">
        <w:rPr>
          <w:rFonts w:ascii="Times New Roman" w:hAnsi="Times New Roman" w:cs="Times New Roman"/>
          <w:sz w:val="24"/>
          <w:szCs w:val="24"/>
          <w:lang w:val="ru-RU"/>
        </w:rPr>
        <w:t>тільним</w:t>
      </w:r>
      <w:proofErr w:type="spellEnd"/>
      <w:r w:rsidR="00C7280F">
        <w:rPr>
          <w:rFonts w:ascii="Times New Roman" w:hAnsi="Times New Roman" w:cs="Times New Roman"/>
          <w:sz w:val="24"/>
          <w:szCs w:val="24"/>
          <w:lang w:val="ru-RU"/>
        </w:rPr>
        <w:t xml:space="preserve"> коровам.</w:t>
      </w:r>
    </w:p>
    <w:p w:rsidR="008E041A" w:rsidRPr="00A347A1" w:rsidRDefault="008E041A" w:rsidP="00F51A92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5.7. Взаємодія з іншими засобами або інші форми взаємодії</w:t>
      </w:r>
    </w:p>
    <w:p w:rsidR="008E041A" w:rsidRPr="00A347A1" w:rsidRDefault="008E041A" w:rsidP="00F51A92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Цефалоспорини та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аміноглікозиди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проявляють антагоністичну дію з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тетрациклінами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хлорамфеніколами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макролідами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поліміксинами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. Синергічна дія проявляється з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хінолонами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, пеніцилінами,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карбеніциліном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тикарциліном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. У разі виявленої резистентності до цефалексину ризик перехресної дії з іншими цефалоспоринами високий. У разі виявленої резистентності до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канаміцину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виникає перехресна резистентність між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канаміцином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неоміцином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паромоміцином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та одностороння зі стрептоміцином.</w:t>
      </w:r>
    </w:p>
    <w:p w:rsidR="008E041A" w:rsidRPr="00A347A1" w:rsidRDefault="008E041A" w:rsidP="001A51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5.8. Дози і способи введення тваринам різного віку</w:t>
      </w:r>
    </w:p>
    <w:p w:rsidR="008E041A" w:rsidRPr="0037318A" w:rsidRDefault="008E041A" w:rsidP="001A5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18A">
        <w:rPr>
          <w:rFonts w:ascii="Times New Roman" w:hAnsi="Times New Roman" w:cs="Times New Roman"/>
          <w:sz w:val="24"/>
          <w:szCs w:val="24"/>
          <w:lang w:val="uk-UA"/>
        </w:rPr>
        <w:t xml:space="preserve">Перед використанням уражену чверть </w:t>
      </w:r>
      <w:proofErr w:type="spellStart"/>
      <w:r w:rsidRPr="0037318A">
        <w:rPr>
          <w:rFonts w:ascii="Times New Roman" w:hAnsi="Times New Roman" w:cs="Times New Roman"/>
          <w:sz w:val="24"/>
          <w:szCs w:val="24"/>
          <w:lang w:val="uk-UA"/>
        </w:rPr>
        <w:t>вимені</w:t>
      </w:r>
      <w:proofErr w:type="spellEnd"/>
      <w:r w:rsidRPr="0037318A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здоїти та провести антисептичну обробку рук та дійок. Одна шприц-туба використовується для лікування однієї чверті </w:t>
      </w:r>
      <w:proofErr w:type="spellStart"/>
      <w:r w:rsidRPr="0037318A">
        <w:rPr>
          <w:rFonts w:ascii="Times New Roman" w:hAnsi="Times New Roman" w:cs="Times New Roman"/>
          <w:sz w:val="24"/>
          <w:szCs w:val="24"/>
          <w:lang w:val="uk-UA"/>
        </w:rPr>
        <w:t>вимені</w:t>
      </w:r>
      <w:proofErr w:type="spellEnd"/>
      <w:r w:rsidRPr="0037318A">
        <w:rPr>
          <w:rFonts w:ascii="Times New Roman" w:hAnsi="Times New Roman" w:cs="Times New Roman"/>
          <w:sz w:val="24"/>
          <w:szCs w:val="24"/>
          <w:lang w:val="uk-UA"/>
        </w:rPr>
        <w:t xml:space="preserve">. Перед застосуванням ретельно струсити вміст шприц-туби. З </w:t>
      </w:r>
      <w:proofErr w:type="spellStart"/>
      <w:r w:rsidRPr="0037318A">
        <w:rPr>
          <w:rFonts w:ascii="Times New Roman" w:hAnsi="Times New Roman" w:cs="Times New Roman"/>
          <w:sz w:val="24"/>
          <w:szCs w:val="24"/>
          <w:lang w:val="uk-UA"/>
        </w:rPr>
        <w:t>канюлі</w:t>
      </w:r>
      <w:proofErr w:type="spellEnd"/>
      <w:r w:rsidRPr="0037318A">
        <w:rPr>
          <w:rFonts w:ascii="Times New Roman" w:hAnsi="Times New Roman" w:cs="Times New Roman"/>
          <w:sz w:val="24"/>
          <w:szCs w:val="24"/>
          <w:lang w:val="uk-UA"/>
        </w:rPr>
        <w:t xml:space="preserve"> знімають ковпачок, обережно вводять </w:t>
      </w:r>
      <w:proofErr w:type="spellStart"/>
      <w:r w:rsidRPr="0037318A">
        <w:rPr>
          <w:rFonts w:ascii="Times New Roman" w:hAnsi="Times New Roman" w:cs="Times New Roman"/>
          <w:sz w:val="24"/>
          <w:szCs w:val="24"/>
          <w:lang w:val="uk-UA"/>
        </w:rPr>
        <w:t>канюлю</w:t>
      </w:r>
      <w:proofErr w:type="spellEnd"/>
      <w:r w:rsidRPr="0037318A">
        <w:rPr>
          <w:rFonts w:ascii="Times New Roman" w:hAnsi="Times New Roman" w:cs="Times New Roman"/>
          <w:sz w:val="24"/>
          <w:szCs w:val="24"/>
          <w:lang w:val="uk-UA"/>
        </w:rPr>
        <w:t xml:space="preserve"> в канал дійки і натисканням на поршень вводять вміст шприц-туби в </w:t>
      </w:r>
      <w:proofErr w:type="spellStart"/>
      <w:r w:rsidRPr="0037318A">
        <w:rPr>
          <w:rFonts w:ascii="Times New Roman" w:hAnsi="Times New Roman" w:cs="Times New Roman"/>
          <w:sz w:val="24"/>
          <w:szCs w:val="24"/>
          <w:lang w:val="uk-UA"/>
        </w:rPr>
        <w:t>дійковий</w:t>
      </w:r>
      <w:proofErr w:type="spellEnd"/>
      <w:r w:rsidRPr="0037318A">
        <w:rPr>
          <w:rFonts w:ascii="Times New Roman" w:hAnsi="Times New Roman" w:cs="Times New Roman"/>
          <w:sz w:val="24"/>
          <w:szCs w:val="24"/>
          <w:lang w:val="uk-UA"/>
        </w:rPr>
        <w:t xml:space="preserve"> канал. Після чого шприц-тубу вилучають, пережимають верхівку дійки, масажують долю </w:t>
      </w:r>
      <w:proofErr w:type="spellStart"/>
      <w:r w:rsidRPr="0037318A">
        <w:rPr>
          <w:rFonts w:ascii="Times New Roman" w:hAnsi="Times New Roman" w:cs="Times New Roman"/>
          <w:sz w:val="24"/>
          <w:szCs w:val="24"/>
          <w:lang w:val="uk-UA"/>
        </w:rPr>
        <w:t>вимені</w:t>
      </w:r>
      <w:proofErr w:type="spellEnd"/>
      <w:r w:rsidRPr="0037318A">
        <w:rPr>
          <w:rFonts w:ascii="Times New Roman" w:hAnsi="Times New Roman" w:cs="Times New Roman"/>
          <w:sz w:val="24"/>
          <w:szCs w:val="24"/>
          <w:lang w:val="uk-UA"/>
        </w:rPr>
        <w:t xml:space="preserve"> знизу вверх для рівномірного розподілу препарату по всій цистерні. </w:t>
      </w:r>
    </w:p>
    <w:p w:rsidR="008E041A" w:rsidRPr="0037318A" w:rsidRDefault="008E041A" w:rsidP="001A5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7318A">
        <w:rPr>
          <w:rFonts w:ascii="Times New Roman" w:hAnsi="Times New Roman" w:cs="Times New Roman"/>
          <w:sz w:val="24"/>
          <w:szCs w:val="24"/>
          <w:lang w:val="ru-RU"/>
        </w:rPr>
        <w:t>Лікування</w:t>
      </w:r>
      <w:proofErr w:type="spellEnd"/>
      <w:r w:rsidRPr="003731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7318A">
        <w:rPr>
          <w:rFonts w:ascii="Times New Roman" w:hAnsi="Times New Roman" w:cs="Times New Roman"/>
          <w:sz w:val="24"/>
          <w:szCs w:val="24"/>
          <w:lang w:val="ru-RU"/>
        </w:rPr>
        <w:t>продовжують</w:t>
      </w:r>
      <w:proofErr w:type="spellEnd"/>
      <w:r w:rsidRPr="003731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7318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7318A">
        <w:rPr>
          <w:rFonts w:ascii="Times New Roman" w:hAnsi="Times New Roman" w:cs="Times New Roman"/>
          <w:sz w:val="24"/>
          <w:szCs w:val="24"/>
          <w:lang w:val="ru-RU"/>
        </w:rPr>
        <w:t xml:space="preserve"> 2 – 5 </w:t>
      </w:r>
      <w:r w:rsidRPr="0037318A">
        <w:rPr>
          <w:rFonts w:ascii="Times New Roman" w:hAnsi="Times New Roman" w:cs="Times New Roman"/>
          <w:sz w:val="24"/>
          <w:szCs w:val="24"/>
          <w:lang w:val="uk-UA"/>
        </w:rPr>
        <w:t>діб. Інтервал між введенням 24 години.</w:t>
      </w:r>
    </w:p>
    <w:p w:rsidR="008E041A" w:rsidRPr="00A347A1" w:rsidRDefault="008E041A" w:rsidP="002D04C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5.9. Передозування (симптоми, невідкладні заходи, антидоти)</w:t>
      </w:r>
    </w:p>
    <w:p w:rsidR="008E041A" w:rsidRPr="00A347A1" w:rsidRDefault="008E041A" w:rsidP="002D04C6">
      <w:pPr>
        <w:tabs>
          <w:tab w:val="left" w:pos="0"/>
          <w:tab w:val="left" w:pos="284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>Не виявлено.</w:t>
      </w:r>
    </w:p>
    <w:p w:rsidR="008E041A" w:rsidRPr="00A347A1" w:rsidRDefault="008E041A" w:rsidP="002D04C6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5.10. Спеціальні застереження</w:t>
      </w:r>
    </w:p>
    <w:p w:rsidR="008E041A" w:rsidRPr="00A347A1" w:rsidRDefault="008E041A" w:rsidP="002D04C6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>Відсутні.</w:t>
      </w:r>
    </w:p>
    <w:p w:rsidR="008E041A" w:rsidRPr="00F214D9" w:rsidRDefault="008E041A" w:rsidP="00706AF2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5.11. Період виведення (</w:t>
      </w:r>
      <w:proofErr w:type="spellStart"/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каренції</w:t>
      </w:r>
      <w:proofErr w:type="spellEnd"/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</w:p>
    <w:p w:rsidR="008E041A" w:rsidRPr="00A347A1" w:rsidRDefault="008E041A" w:rsidP="00706AF2">
      <w:pPr>
        <w:tabs>
          <w:tab w:val="left" w:pos="0"/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Забій тварин на м'ясо дозволяється не раніше 10 </w:t>
      </w:r>
      <w:r w:rsidR="00A43167">
        <w:rPr>
          <w:rFonts w:ascii="Times New Roman" w:hAnsi="Times New Roman" w:cs="Times New Roman"/>
          <w:sz w:val="24"/>
          <w:szCs w:val="24"/>
          <w:lang w:val="uk-UA"/>
        </w:rPr>
        <w:t>діб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після застосування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Сефкамізін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ЛС. Молоко придатне до вживання через 5 діб після останнього застосування.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 xml:space="preserve"> До зазначеного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терміну молоко та м</w:t>
      </w:r>
      <w:r w:rsidR="00A4316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ясо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згодовують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непродуктивним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тваринам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утилізують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залежно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лікаря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ветеринарної</w:t>
      </w: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AF2">
        <w:rPr>
          <w:rFonts w:ascii="Times New Roman" w:hAnsi="Times New Roman" w:cs="Times New Roman"/>
          <w:sz w:val="24"/>
          <w:szCs w:val="24"/>
          <w:lang w:val="uk-UA"/>
        </w:rPr>
        <w:t>медицини.</w:t>
      </w:r>
    </w:p>
    <w:p w:rsidR="008E041A" w:rsidRPr="00706AF2" w:rsidRDefault="008E041A" w:rsidP="004175F2">
      <w:pPr>
        <w:pStyle w:val="ab"/>
        <w:tabs>
          <w:tab w:val="left" w:pos="0"/>
          <w:tab w:val="left" w:pos="284"/>
        </w:tabs>
        <w:ind w:firstLine="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5.12.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Спеціальні</w:t>
      </w:r>
      <w:proofErr w:type="spellEnd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застереження</w:t>
      </w:r>
      <w:proofErr w:type="spellEnd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осіб</w:t>
      </w:r>
      <w:proofErr w:type="spellEnd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обслуговуючого</w:t>
      </w:r>
      <w:proofErr w:type="spellEnd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персоналу,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котрі</w:t>
      </w:r>
      <w:proofErr w:type="spellEnd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вводять</w:t>
      </w:r>
      <w:proofErr w:type="spellEnd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препарат </w:t>
      </w:r>
      <w:proofErr w:type="spellStart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тваринам</w:t>
      </w:r>
      <w:proofErr w:type="spellEnd"/>
      <w:r w:rsidRPr="00706AF2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8E041A" w:rsidRPr="00706AF2" w:rsidRDefault="008E041A" w:rsidP="004175F2">
      <w:pPr>
        <w:pStyle w:val="ab"/>
        <w:tabs>
          <w:tab w:val="left" w:pos="0"/>
          <w:tab w:val="left" w:pos="284"/>
        </w:tabs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Особам,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чутливим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цефалексину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канаміцину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слід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уникати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контакту з препаратом.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Цефалоспорини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викликати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надмірну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чутливість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алергічну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реакцію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) при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ін'єкції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вдиханні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потраплянні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ротову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порожнину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контакті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AF2">
        <w:rPr>
          <w:rFonts w:ascii="Times New Roman" w:hAnsi="Times New Roman" w:cs="Times New Roman"/>
          <w:sz w:val="24"/>
          <w:szCs w:val="24"/>
          <w:lang w:val="ru-RU"/>
        </w:rPr>
        <w:t>шкірою</w:t>
      </w:r>
      <w:proofErr w:type="spellEnd"/>
      <w:r w:rsidRPr="00706AF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43167" w:rsidRDefault="008E041A" w:rsidP="004175F2">
      <w:pPr>
        <w:tabs>
          <w:tab w:val="left" w:pos="0"/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Гіперчутливість до пеніцилінів може призводити до виникнення перехресних реакцій з цефалоспоринами та навпаки. Алергічні реакції на ці речовини можуть бути серйозними. Застосовуйте препарат з обережністю. Якщо відбувся контакт з препаратом і у вас з’явились </w:t>
      </w:r>
    </w:p>
    <w:p w:rsidR="00A43167" w:rsidRPr="007B6EB4" w:rsidRDefault="00A43167" w:rsidP="00A43167">
      <w:pPr>
        <w:pStyle w:val="2"/>
        <w:ind w:left="6237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Продовження додатку</w:t>
      </w:r>
      <w:r w:rsidRPr="007B6EB4">
        <w:rPr>
          <w:rFonts w:ascii="Times New Roman" w:hAnsi="Times New Roman" w:cs="Times New Roman"/>
          <w:b w:val="0"/>
          <w:bCs w:val="0"/>
        </w:rPr>
        <w:t xml:space="preserve"> 1</w:t>
      </w:r>
    </w:p>
    <w:p w:rsidR="00A43167" w:rsidRDefault="00A43167" w:rsidP="00A43167">
      <w:pPr>
        <w:tabs>
          <w:tab w:val="left" w:pos="0"/>
          <w:tab w:val="left" w:pos="284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B6EB4">
        <w:rPr>
          <w:rFonts w:ascii="Times New Roman" w:hAnsi="Times New Roman" w:cs="Times New Roman"/>
          <w:sz w:val="24"/>
          <w:szCs w:val="24"/>
          <w:lang w:val="uk-UA"/>
        </w:rPr>
        <w:t>до реєстраційного посвідчення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АА-09418-01-20</w:t>
      </w:r>
    </w:p>
    <w:p w:rsidR="00A43167" w:rsidRDefault="00A43167" w:rsidP="00A43167">
      <w:pPr>
        <w:tabs>
          <w:tab w:val="left" w:pos="0"/>
          <w:tab w:val="left" w:pos="284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E041A" w:rsidRPr="00A347A1" w:rsidRDefault="008E041A" w:rsidP="004175F2">
      <w:pPr>
        <w:tabs>
          <w:tab w:val="left" w:pos="0"/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>симптоми алергії (почервоніння шкіри) зверніться за консультацією до лікаря. Свербіж обличчя, очей чи губ, важке дихання є більш серйозними симптомами і потребують негайної медичної допомоги. Після роботи з препаратом необхідно вимити руки.</w:t>
      </w:r>
    </w:p>
    <w:p w:rsidR="008E041A" w:rsidRPr="00A347A1" w:rsidRDefault="008E041A" w:rsidP="004175F2">
      <w:pPr>
        <w:tabs>
          <w:tab w:val="left" w:pos="0"/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6. Фармацевтичні особливості</w:t>
      </w:r>
    </w:p>
    <w:p w:rsidR="008E041A" w:rsidRPr="00A347A1" w:rsidRDefault="008E041A" w:rsidP="004175F2">
      <w:pPr>
        <w:tabs>
          <w:tab w:val="left" w:pos="0"/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6.1. Форми несумісності (основні)</w:t>
      </w:r>
    </w:p>
    <w:p w:rsidR="008E041A" w:rsidRPr="00A347A1" w:rsidRDefault="008E041A" w:rsidP="004175F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Цефалоспорини та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аміноглікозиди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проявляють антагоністичну дію з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тетрациклінами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хлорамфеніколами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макролідами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A347A1">
        <w:rPr>
          <w:rFonts w:ascii="Times New Roman" w:hAnsi="Times New Roman" w:cs="Times New Roman"/>
          <w:sz w:val="24"/>
          <w:szCs w:val="24"/>
          <w:lang w:val="uk-UA"/>
        </w:rPr>
        <w:t>поліміксинами</w:t>
      </w:r>
      <w:proofErr w:type="spellEnd"/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E041A" w:rsidRPr="00A347A1" w:rsidRDefault="008E041A" w:rsidP="00C5212A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6.2 Термін придатності</w:t>
      </w:r>
    </w:p>
    <w:p w:rsidR="008E041A" w:rsidRPr="00A347A1" w:rsidRDefault="008E041A" w:rsidP="00C5212A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>24 місяці.</w:t>
      </w:r>
    </w:p>
    <w:p w:rsidR="008E041A" w:rsidRPr="00A347A1" w:rsidRDefault="008E041A" w:rsidP="00C5212A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6.3. Особливі заходи зберігання</w:t>
      </w:r>
    </w:p>
    <w:p w:rsidR="00012544" w:rsidRPr="00A43167" w:rsidRDefault="008E041A" w:rsidP="00A43167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>Сухе, темне, недоступне для дітей місце при температурі від 4 до 25˚С.</w:t>
      </w:r>
    </w:p>
    <w:p w:rsidR="008E041A" w:rsidRPr="00A347A1" w:rsidRDefault="008E041A" w:rsidP="00C5212A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>6.4. Природа і склад контейнера первинного пакування</w:t>
      </w:r>
    </w:p>
    <w:p w:rsidR="008E041A" w:rsidRPr="00A347A1" w:rsidRDefault="008E041A" w:rsidP="00C5212A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>Білі поліпропіленові шприц-туби по 8 г, упаковані в картонні коробки по 1, 4 та 50 штук, або по 48 та 120 штук в поліпропіленові відра.</w:t>
      </w:r>
    </w:p>
    <w:p w:rsidR="008E041A" w:rsidRPr="00A347A1" w:rsidRDefault="008E041A" w:rsidP="00E024A3">
      <w:pPr>
        <w:pStyle w:val="23"/>
        <w:tabs>
          <w:tab w:val="left" w:pos="0"/>
          <w:tab w:val="left" w:pos="284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</w:rPr>
        <w:t>6.5. Особливі заходи безпеки при поводженні з невикористаним препаратом або із його залишками.</w:t>
      </w:r>
    </w:p>
    <w:p w:rsidR="008E041A" w:rsidRPr="00A347A1" w:rsidRDefault="008E041A" w:rsidP="00E024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sz w:val="24"/>
          <w:szCs w:val="24"/>
          <w:lang w:val="uk-UA"/>
        </w:rPr>
        <w:t>Усі невикористані матеріали та залишки препарату повинні бути знешкоджені</w:t>
      </w:r>
      <w:r w:rsidR="00A431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>відповідн</w:t>
      </w:r>
      <w:r w:rsidR="00A4316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3167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національни</w:t>
      </w:r>
      <w:r w:rsidR="00A43167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347A1">
        <w:rPr>
          <w:rFonts w:ascii="Times New Roman" w:hAnsi="Times New Roman" w:cs="Times New Roman"/>
          <w:sz w:val="24"/>
          <w:szCs w:val="24"/>
          <w:lang w:val="uk-UA"/>
        </w:rPr>
        <w:t xml:space="preserve"> вимог.</w:t>
      </w:r>
    </w:p>
    <w:p w:rsidR="008E041A" w:rsidRPr="00A347A1" w:rsidRDefault="008E041A" w:rsidP="00E024A3">
      <w:pPr>
        <w:pStyle w:val="23"/>
        <w:tabs>
          <w:tab w:val="left" w:pos="0"/>
          <w:tab w:val="left" w:pos="284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</w:rPr>
        <w:t xml:space="preserve">7. Назва та місцезнаходження власника реєстраційного посвідчення </w:t>
      </w:r>
    </w:p>
    <w:p w:rsidR="008E041A" w:rsidRPr="00A347A1" w:rsidRDefault="008E041A" w:rsidP="00E024A3">
      <w:pPr>
        <w:pStyle w:val="23"/>
        <w:tabs>
          <w:tab w:val="left" w:pos="0"/>
          <w:tab w:val="left" w:pos="284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43" w:type="dxa"/>
        <w:jc w:val="center"/>
        <w:tblLook w:val="01E0" w:firstRow="1" w:lastRow="1" w:firstColumn="1" w:lastColumn="1" w:noHBand="0" w:noVBand="0"/>
      </w:tblPr>
      <w:tblGrid>
        <w:gridCol w:w="4863"/>
        <w:gridCol w:w="4680"/>
      </w:tblGrid>
      <w:tr w:rsidR="008E041A" w:rsidRPr="00A347A1">
        <w:trPr>
          <w:jc w:val="center"/>
        </w:trPr>
        <w:tc>
          <w:tcPr>
            <w:tcW w:w="2548" w:type="pct"/>
          </w:tcPr>
          <w:p w:rsidR="008E041A" w:rsidRPr="00A347A1" w:rsidRDefault="008E041A" w:rsidP="00E0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БАВЕТ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Ілач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Сан.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веТідж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А.Ш.</w:t>
            </w:r>
          </w:p>
          <w:p w:rsidR="008E041A" w:rsidRPr="00A347A1" w:rsidRDefault="008E041A" w:rsidP="00E02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ІТОСБ 12.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Джад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№8 34959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ТепеоренТузла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-Стамбул, ТУРЕЧЧИНА</w:t>
            </w:r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452" w:type="pct"/>
          </w:tcPr>
          <w:p w:rsidR="008E041A" w:rsidRPr="00A347A1" w:rsidRDefault="008E041A" w:rsidP="00E024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7A1">
              <w:rPr>
                <w:rFonts w:ascii="Times New Roman" w:hAnsi="Times New Roman" w:cs="Times New Roman"/>
                <w:sz w:val="24"/>
                <w:szCs w:val="24"/>
              </w:rPr>
              <w:t xml:space="preserve">BAVET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</w:rPr>
              <w:t>İlaç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</w:rPr>
              <w:t xml:space="preserve"> San.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</w:rPr>
              <w:t xml:space="preserve"> Tic. A.S.</w:t>
            </w:r>
          </w:p>
          <w:p w:rsidR="008E041A" w:rsidRPr="00A347A1" w:rsidRDefault="008E041A" w:rsidP="00E024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47A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ITOSB 12. Cad No8 34959 Tepeören Tuzla-</w:t>
            </w:r>
          </w:p>
          <w:p w:rsidR="008E041A" w:rsidRPr="00A347A1" w:rsidRDefault="008E041A" w:rsidP="00E0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7A1">
              <w:rPr>
                <w:rFonts w:ascii="Times New Roman" w:hAnsi="Times New Roman" w:cs="Times New Roman"/>
                <w:sz w:val="24"/>
                <w:szCs w:val="24"/>
              </w:rPr>
              <w:t>Istanbul, TURKEY</w:t>
            </w:r>
          </w:p>
        </w:tc>
      </w:tr>
    </w:tbl>
    <w:p w:rsidR="008E041A" w:rsidRPr="00A347A1" w:rsidRDefault="008E041A" w:rsidP="00E024A3">
      <w:pPr>
        <w:pStyle w:val="23"/>
        <w:tabs>
          <w:tab w:val="left" w:pos="0"/>
          <w:tab w:val="left" w:pos="284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41A" w:rsidRPr="00A347A1" w:rsidRDefault="008E041A" w:rsidP="00E024A3">
      <w:pPr>
        <w:spacing w:after="0" w:line="240" w:lineRule="auto"/>
        <w:ind w:firstLine="54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47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8. Назва та місцезнаходження виробника </w:t>
      </w:r>
    </w:p>
    <w:tbl>
      <w:tblPr>
        <w:tblW w:w="9543" w:type="dxa"/>
        <w:jc w:val="center"/>
        <w:tblLook w:val="01E0" w:firstRow="1" w:lastRow="1" w:firstColumn="1" w:lastColumn="1" w:noHBand="0" w:noVBand="0"/>
      </w:tblPr>
      <w:tblGrid>
        <w:gridCol w:w="4863"/>
        <w:gridCol w:w="4680"/>
      </w:tblGrid>
      <w:tr w:rsidR="008E041A" w:rsidRPr="007B6EB4">
        <w:trPr>
          <w:jc w:val="center"/>
        </w:trPr>
        <w:tc>
          <w:tcPr>
            <w:tcW w:w="2548" w:type="pct"/>
          </w:tcPr>
          <w:p w:rsidR="008E041A" w:rsidRPr="00A347A1" w:rsidRDefault="008E041A" w:rsidP="00E0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212727226"/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Аріон</w:t>
            </w:r>
            <w:proofErr w:type="spellEnd"/>
            <w:r w:rsidR="009E2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Ілач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Сан.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веТідж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А.Ш.</w:t>
            </w:r>
          </w:p>
          <w:p w:rsidR="008E041A" w:rsidRPr="00A347A1" w:rsidRDefault="008E041A" w:rsidP="00E02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ІТОСБ 12.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Джад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№8 34959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ТепеоренТузла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-Стамбул, ТУРЕЧЧИНА</w:t>
            </w:r>
            <w:bookmarkEnd w:id="0"/>
          </w:p>
        </w:tc>
        <w:tc>
          <w:tcPr>
            <w:tcW w:w="2452" w:type="pct"/>
          </w:tcPr>
          <w:p w:rsidR="008E041A" w:rsidRPr="00A347A1" w:rsidRDefault="008E041A" w:rsidP="00E0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Arion</w:t>
            </w:r>
            <w:proofErr w:type="spellEnd"/>
            <w:r w:rsidR="009E2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İlaçSan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veTic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A.Ş.</w:t>
            </w:r>
          </w:p>
          <w:p w:rsidR="008E041A" w:rsidRPr="00A347A1" w:rsidRDefault="008E041A" w:rsidP="00E02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ITOSB 12.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Cad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No8 34959 </w:t>
            </w:r>
            <w:proofErr w:type="spellStart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TepeörenTuzla-Istanbul</w:t>
            </w:r>
            <w:proofErr w:type="spellEnd"/>
            <w:r w:rsidRPr="00A34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TURKEY</w:t>
            </w:r>
          </w:p>
        </w:tc>
      </w:tr>
    </w:tbl>
    <w:p w:rsidR="008E041A" w:rsidRPr="00A347A1" w:rsidRDefault="008E041A" w:rsidP="00E024A3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041A" w:rsidRPr="00A347A1" w:rsidRDefault="008E041A" w:rsidP="00E024A3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041A" w:rsidRPr="00A347A1" w:rsidRDefault="008E041A" w:rsidP="00C5212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sectPr w:rsidR="008E041A" w:rsidRPr="00A347A1" w:rsidSect="00C7280F">
      <w:pgSz w:w="12240" w:h="15840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93CBF"/>
    <w:multiLevelType w:val="hybridMultilevel"/>
    <w:tmpl w:val="8252EE44"/>
    <w:lvl w:ilvl="0" w:tplc="C0B466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6A47"/>
    <w:multiLevelType w:val="multilevel"/>
    <w:tmpl w:val="0AB64C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8D3E30"/>
    <w:multiLevelType w:val="hybridMultilevel"/>
    <w:tmpl w:val="9ACAC108"/>
    <w:lvl w:ilvl="0" w:tplc="84E6F14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ECE"/>
    <w:multiLevelType w:val="multilevel"/>
    <w:tmpl w:val="09987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C27185C"/>
    <w:multiLevelType w:val="hybridMultilevel"/>
    <w:tmpl w:val="59127D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46BD4"/>
    <w:multiLevelType w:val="hybridMultilevel"/>
    <w:tmpl w:val="BD40BC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5364"/>
    <w:multiLevelType w:val="hybridMultilevel"/>
    <w:tmpl w:val="930E2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4467C"/>
    <w:multiLevelType w:val="hybridMultilevel"/>
    <w:tmpl w:val="B3A2047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BB00C30"/>
    <w:multiLevelType w:val="hybridMultilevel"/>
    <w:tmpl w:val="6B48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0C5CCE"/>
    <w:multiLevelType w:val="multilevel"/>
    <w:tmpl w:val="3AFC24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7"/>
    <w:rsid w:val="00012544"/>
    <w:rsid w:val="0001421C"/>
    <w:rsid w:val="00052EED"/>
    <w:rsid w:val="000667FD"/>
    <w:rsid w:val="000A2BEF"/>
    <w:rsid w:val="000F1304"/>
    <w:rsid w:val="00112D5C"/>
    <w:rsid w:val="001243DF"/>
    <w:rsid w:val="001546BE"/>
    <w:rsid w:val="00155ECE"/>
    <w:rsid w:val="001A5175"/>
    <w:rsid w:val="001F3C08"/>
    <w:rsid w:val="0024508C"/>
    <w:rsid w:val="00253D68"/>
    <w:rsid w:val="00271AA3"/>
    <w:rsid w:val="00286C31"/>
    <w:rsid w:val="002B3596"/>
    <w:rsid w:val="002D04C6"/>
    <w:rsid w:val="002E7B58"/>
    <w:rsid w:val="00357D41"/>
    <w:rsid w:val="0037318A"/>
    <w:rsid w:val="00395666"/>
    <w:rsid w:val="003959DE"/>
    <w:rsid w:val="003B6336"/>
    <w:rsid w:val="003C5D0B"/>
    <w:rsid w:val="003D2C24"/>
    <w:rsid w:val="003D4B80"/>
    <w:rsid w:val="004016E8"/>
    <w:rsid w:val="004175F2"/>
    <w:rsid w:val="00434D47"/>
    <w:rsid w:val="00441857"/>
    <w:rsid w:val="00471A78"/>
    <w:rsid w:val="004E0896"/>
    <w:rsid w:val="00530659"/>
    <w:rsid w:val="00534D23"/>
    <w:rsid w:val="00613237"/>
    <w:rsid w:val="006150AE"/>
    <w:rsid w:val="006171B2"/>
    <w:rsid w:val="00620913"/>
    <w:rsid w:val="006427A1"/>
    <w:rsid w:val="00665B7F"/>
    <w:rsid w:val="006D401C"/>
    <w:rsid w:val="006E3281"/>
    <w:rsid w:val="006E3AF5"/>
    <w:rsid w:val="00706AF2"/>
    <w:rsid w:val="00717803"/>
    <w:rsid w:val="00796356"/>
    <w:rsid w:val="007B6EB4"/>
    <w:rsid w:val="007C33E2"/>
    <w:rsid w:val="008378C9"/>
    <w:rsid w:val="00851BE9"/>
    <w:rsid w:val="008C35E2"/>
    <w:rsid w:val="008E041A"/>
    <w:rsid w:val="008F7452"/>
    <w:rsid w:val="00916F41"/>
    <w:rsid w:val="009340DE"/>
    <w:rsid w:val="00975E1E"/>
    <w:rsid w:val="00987321"/>
    <w:rsid w:val="009908B1"/>
    <w:rsid w:val="009A29EB"/>
    <w:rsid w:val="009A515A"/>
    <w:rsid w:val="009B3F35"/>
    <w:rsid w:val="009B4651"/>
    <w:rsid w:val="009B495E"/>
    <w:rsid w:val="009B51C4"/>
    <w:rsid w:val="009B58D8"/>
    <w:rsid w:val="009C199E"/>
    <w:rsid w:val="009C3B8B"/>
    <w:rsid w:val="009D55C6"/>
    <w:rsid w:val="009E2B94"/>
    <w:rsid w:val="009F5D07"/>
    <w:rsid w:val="00A347A1"/>
    <w:rsid w:val="00A43167"/>
    <w:rsid w:val="00A9547D"/>
    <w:rsid w:val="00A95933"/>
    <w:rsid w:val="00AE471B"/>
    <w:rsid w:val="00B02E5B"/>
    <w:rsid w:val="00B03704"/>
    <w:rsid w:val="00B2394A"/>
    <w:rsid w:val="00B52AB3"/>
    <w:rsid w:val="00B70DC9"/>
    <w:rsid w:val="00B94B97"/>
    <w:rsid w:val="00BE264E"/>
    <w:rsid w:val="00BF4269"/>
    <w:rsid w:val="00BF690D"/>
    <w:rsid w:val="00BF6B18"/>
    <w:rsid w:val="00C11BC3"/>
    <w:rsid w:val="00C12E88"/>
    <w:rsid w:val="00C22982"/>
    <w:rsid w:val="00C25BAE"/>
    <w:rsid w:val="00C5212A"/>
    <w:rsid w:val="00C7280F"/>
    <w:rsid w:val="00C93D2F"/>
    <w:rsid w:val="00CB2714"/>
    <w:rsid w:val="00CB282A"/>
    <w:rsid w:val="00D13822"/>
    <w:rsid w:val="00D1520A"/>
    <w:rsid w:val="00D201AC"/>
    <w:rsid w:val="00D35C59"/>
    <w:rsid w:val="00D52CEA"/>
    <w:rsid w:val="00D53040"/>
    <w:rsid w:val="00D74823"/>
    <w:rsid w:val="00DA599B"/>
    <w:rsid w:val="00DC0EEF"/>
    <w:rsid w:val="00DC481C"/>
    <w:rsid w:val="00DE1D25"/>
    <w:rsid w:val="00DF09F1"/>
    <w:rsid w:val="00E024A3"/>
    <w:rsid w:val="00E15F86"/>
    <w:rsid w:val="00E90A2B"/>
    <w:rsid w:val="00EB3C2A"/>
    <w:rsid w:val="00EF35F3"/>
    <w:rsid w:val="00F14D26"/>
    <w:rsid w:val="00F214D9"/>
    <w:rsid w:val="00F433EF"/>
    <w:rsid w:val="00F51A92"/>
    <w:rsid w:val="00F70298"/>
    <w:rsid w:val="00F907D9"/>
    <w:rsid w:val="00FA04BA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8906A"/>
  <w15:docId w15:val="{9BB7ACA2-4558-44BB-841C-D97EEB36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AA3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CB2714"/>
    <w:pPr>
      <w:keepNext/>
      <w:spacing w:after="0" w:line="240" w:lineRule="auto"/>
      <w:jc w:val="center"/>
      <w:outlineLvl w:val="1"/>
    </w:pPr>
    <w:rPr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B2714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3">
    <w:name w:val="Table Grid"/>
    <w:basedOn w:val="a1"/>
    <w:uiPriority w:val="99"/>
    <w:rsid w:val="00286C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A599B"/>
    <w:pPr>
      <w:ind w:left="720"/>
    </w:pPr>
  </w:style>
  <w:style w:type="paragraph" w:styleId="a5">
    <w:name w:val="Balloon Text"/>
    <w:basedOn w:val="a"/>
    <w:link w:val="a6"/>
    <w:uiPriority w:val="99"/>
    <w:semiHidden/>
    <w:rsid w:val="008F7452"/>
    <w:pPr>
      <w:spacing w:after="0" w:line="240" w:lineRule="auto"/>
    </w:pPr>
    <w:rPr>
      <w:rFonts w:ascii="Segoe UI" w:hAnsi="Segoe UI" w:cs="Segoe UI"/>
      <w:sz w:val="18"/>
      <w:szCs w:val="18"/>
      <w:lang w:val="uk-UA" w:eastAsia="uk-UA"/>
    </w:rPr>
  </w:style>
  <w:style w:type="character" w:customStyle="1" w:styleId="a6">
    <w:name w:val="Текст у виносці Знак"/>
    <w:link w:val="a5"/>
    <w:uiPriority w:val="99"/>
    <w:semiHidden/>
    <w:locked/>
    <w:rsid w:val="008F7452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1"/>
    <w:uiPriority w:val="99"/>
    <w:locked/>
    <w:rsid w:val="00B02E5B"/>
    <w:rPr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02E5B"/>
    <w:pPr>
      <w:shd w:val="clear" w:color="auto" w:fill="FFFFFF"/>
      <w:spacing w:before="240" w:after="720" w:line="240" w:lineRule="atLeast"/>
    </w:pPr>
    <w:rPr>
      <w:sz w:val="20"/>
      <w:szCs w:val="20"/>
      <w:lang w:val="uk-UA" w:eastAsia="uk-UA"/>
    </w:rPr>
  </w:style>
  <w:style w:type="paragraph" w:customStyle="1" w:styleId="a7">
    <w:name w:val="Знак Знак"/>
    <w:basedOn w:val="a"/>
    <w:uiPriority w:val="99"/>
    <w:rsid w:val="007C33E2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styleId="a8">
    <w:name w:val="Emphasis"/>
    <w:uiPriority w:val="99"/>
    <w:qFormat/>
    <w:locked/>
    <w:rsid w:val="00BF4269"/>
    <w:rPr>
      <w:i/>
      <w:iCs/>
    </w:rPr>
  </w:style>
  <w:style w:type="paragraph" w:styleId="a9">
    <w:name w:val="Body Text"/>
    <w:basedOn w:val="a"/>
    <w:link w:val="aa"/>
    <w:uiPriority w:val="99"/>
    <w:rsid w:val="009B51C4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Основний текст Знак"/>
    <w:link w:val="a9"/>
    <w:uiPriority w:val="99"/>
    <w:semiHidden/>
    <w:locked/>
    <w:rsid w:val="009D55C6"/>
    <w:rPr>
      <w:lang w:val="en-US" w:eastAsia="en-US"/>
    </w:rPr>
  </w:style>
  <w:style w:type="paragraph" w:styleId="ab">
    <w:name w:val="Body Text Indent"/>
    <w:basedOn w:val="a"/>
    <w:link w:val="ac"/>
    <w:uiPriority w:val="99"/>
    <w:rsid w:val="009B51C4"/>
    <w:pPr>
      <w:spacing w:after="0" w:line="240" w:lineRule="auto"/>
      <w:ind w:firstLine="360"/>
      <w:jc w:val="both"/>
    </w:pPr>
    <w:rPr>
      <w:sz w:val="20"/>
      <w:szCs w:val="20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9D55C6"/>
    <w:rPr>
      <w:lang w:val="en-US" w:eastAsia="en-US"/>
    </w:rPr>
  </w:style>
  <w:style w:type="paragraph" w:styleId="21">
    <w:name w:val="Body Text 2"/>
    <w:basedOn w:val="a"/>
    <w:link w:val="22"/>
    <w:uiPriority w:val="99"/>
    <w:rsid w:val="009B51C4"/>
    <w:pPr>
      <w:spacing w:after="0" w:line="240" w:lineRule="auto"/>
      <w:jc w:val="both"/>
    </w:pPr>
    <w:rPr>
      <w:sz w:val="20"/>
      <w:szCs w:val="20"/>
    </w:rPr>
  </w:style>
  <w:style w:type="character" w:customStyle="1" w:styleId="22">
    <w:name w:val="Основний текст 2 Знак"/>
    <w:link w:val="21"/>
    <w:uiPriority w:val="99"/>
    <w:semiHidden/>
    <w:locked/>
    <w:rsid w:val="009D55C6"/>
    <w:rPr>
      <w:lang w:val="en-US" w:eastAsia="en-US"/>
    </w:rPr>
  </w:style>
  <w:style w:type="paragraph" w:styleId="HTML">
    <w:name w:val="HTML Preformatted"/>
    <w:basedOn w:val="a"/>
    <w:link w:val="HTML0"/>
    <w:uiPriority w:val="99"/>
    <w:rsid w:val="00E02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uiPriority w:val="99"/>
    <w:semiHidden/>
    <w:locked/>
    <w:rsid w:val="009D55C6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23">
    <w:name w:val="Основной текст2"/>
    <w:basedOn w:val="a"/>
    <w:uiPriority w:val="99"/>
    <w:rsid w:val="00E024A3"/>
    <w:pPr>
      <w:shd w:val="clear" w:color="auto" w:fill="FFFFFF"/>
      <w:spacing w:before="240" w:after="720" w:line="240" w:lineRule="atLeast"/>
    </w:pPr>
    <w:rPr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locked/>
    <w:rsid w:val="00E024A3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4988</Words>
  <Characters>2844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2025-10-30T12:17:00Z</cp:lastPrinted>
  <dcterms:created xsi:type="dcterms:W3CDTF">2025-10-30T12:17:00Z</dcterms:created>
  <dcterms:modified xsi:type="dcterms:W3CDTF">2025-10-30T12:44:00Z</dcterms:modified>
</cp:coreProperties>
</file>