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3423BE" w14:textId="77777777" w:rsidR="00086D11" w:rsidRPr="002F304E" w:rsidRDefault="00086D11" w:rsidP="00431FF4">
      <w:pPr>
        <w:tabs>
          <w:tab w:val="left" w:pos="0"/>
        </w:tabs>
        <w:rPr>
          <w:b/>
          <w:bCs/>
          <w:lang w:val="uk-UA"/>
        </w:rPr>
      </w:pPr>
    </w:p>
    <w:p w14:paraId="1C4C2597" w14:textId="77777777" w:rsidR="00B328E6" w:rsidRPr="00351850" w:rsidRDefault="00B328E6" w:rsidP="00B328E6">
      <w:pPr>
        <w:tabs>
          <w:tab w:val="left" w:pos="0"/>
        </w:tabs>
        <w:jc w:val="center"/>
        <w:rPr>
          <w:b/>
          <w:bCs/>
          <w:lang w:val="uk-UA"/>
        </w:rPr>
      </w:pPr>
      <w:r w:rsidRPr="00351850">
        <w:rPr>
          <w:b/>
          <w:bCs/>
          <w:lang w:val="uk-UA"/>
        </w:rPr>
        <w:t>Коротка характеристика препарату</w:t>
      </w:r>
    </w:p>
    <w:p w14:paraId="304AC51C" w14:textId="77777777" w:rsidR="00B328E6" w:rsidRPr="00351850" w:rsidRDefault="00B328E6" w:rsidP="00B328E6">
      <w:pPr>
        <w:jc w:val="both"/>
        <w:rPr>
          <w:lang w:val="uk-UA"/>
        </w:rPr>
      </w:pPr>
    </w:p>
    <w:p w14:paraId="3F787FF0" w14:textId="77777777" w:rsidR="00B328E6" w:rsidRPr="00351850" w:rsidRDefault="00B328E6" w:rsidP="00B328E6">
      <w:pPr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 xml:space="preserve">1. Назва </w:t>
      </w:r>
    </w:p>
    <w:p w14:paraId="0CD0FFF2" w14:textId="498268A9" w:rsidR="00B328E6" w:rsidRPr="00351850" w:rsidRDefault="00131D89" w:rsidP="00B328E6">
      <w:pPr>
        <w:ind w:firstLine="567"/>
        <w:jc w:val="both"/>
        <w:rPr>
          <w:bCs/>
        </w:rPr>
      </w:pPr>
      <w:r w:rsidRPr="00351850">
        <w:rPr>
          <w:bCs/>
          <w:lang w:val="uk-UA"/>
        </w:rPr>
        <w:t xml:space="preserve">АМОКСИКРІД </w:t>
      </w:r>
      <w:r w:rsidRPr="00351850">
        <w:rPr>
          <w:bCs/>
        </w:rPr>
        <w:t xml:space="preserve"> </w:t>
      </w:r>
      <w:r w:rsidRPr="00351850">
        <w:rPr>
          <w:bCs/>
          <w:lang w:val="en-US"/>
        </w:rPr>
        <w:t>L</w:t>
      </w:r>
      <w:r w:rsidRPr="00351850">
        <w:rPr>
          <w:bCs/>
        </w:rPr>
        <w:t>.</w:t>
      </w:r>
      <w:r w:rsidRPr="00351850">
        <w:rPr>
          <w:bCs/>
          <w:lang w:val="en-US"/>
        </w:rPr>
        <w:t>A</w:t>
      </w:r>
      <w:r w:rsidRPr="00351850">
        <w:rPr>
          <w:bCs/>
        </w:rPr>
        <w:t>.</w:t>
      </w:r>
    </w:p>
    <w:p w14:paraId="48F78DA7" w14:textId="77777777" w:rsidR="00B328E6" w:rsidRPr="00351850" w:rsidRDefault="00B328E6" w:rsidP="00B328E6">
      <w:pPr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 xml:space="preserve">2. Склад </w:t>
      </w:r>
    </w:p>
    <w:p w14:paraId="5C0215FC" w14:textId="77777777" w:rsidR="00B328E6" w:rsidRPr="00351850" w:rsidRDefault="00B328E6" w:rsidP="00B328E6">
      <w:pPr>
        <w:tabs>
          <w:tab w:val="decimal" w:leader="dot" w:pos="6804"/>
        </w:tabs>
        <w:ind w:firstLine="567"/>
        <w:rPr>
          <w:lang w:val="uk-UA"/>
        </w:rPr>
      </w:pPr>
      <w:r w:rsidRPr="00351850">
        <w:rPr>
          <w:lang w:val="uk-UA"/>
        </w:rPr>
        <w:t>1 мл препарату містить діючу речовину:</w:t>
      </w:r>
    </w:p>
    <w:p w14:paraId="571247FA" w14:textId="025A9B07" w:rsidR="00B328E6" w:rsidRPr="00351850" w:rsidRDefault="00B328E6" w:rsidP="00B328E6">
      <w:pPr>
        <w:ind w:firstLine="567"/>
        <w:jc w:val="both"/>
        <w:rPr>
          <w:lang w:val="uk-UA"/>
        </w:rPr>
      </w:pPr>
      <w:r w:rsidRPr="00351850">
        <w:rPr>
          <w:lang w:val="uk-UA"/>
        </w:rPr>
        <w:t>амоксицилін (у формі тригідрату)</w:t>
      </w:r>
      <w:r w:rsidR="008D39D1" w:rsidRPr="00351850">
        <w:t xml:space="preserve"> </w:t>
      </w:r>
      <w:r w:rsidR="008D39D1" w:rsidRPr="00351850">
        <w:rPr>
          <w:lang w:val="uk-UA"/>
        </w:rPr>
        <w:t>–</w:t>
      </w:r>
      <w:r w:rsidRPr="00351850">
        <w:rPr>
          <w:lang w:val="uk-UA"/>
        </w:rPr>
        <w:t xml:space="preserve"> 150 мг.</w:t>
      </w:r>
    </w:p>
    <w:p w14:paraId="73601D15" w14:textId="6C403413" w:rsidR="00B328E6" w:rsidRPr="00351850" w:rsidRDefault="00131D89" w:rsidP="00B328E6">
      <w:pPr>
        <w:ind w:firstLine="567"/>
        <w:jc w:val="both"/>
        <w:rPr>
          <w:lang w:val="uk-UA"/>
        </w:rPr>
      </w:pPr>
      <w:r w:rsidRPr="00351850">
        <w:rPr>
          <w:lang w:val="uk-UA"/>
        </w:rPr>
        <w:t>Допоміжні речовини: метилпарагідрооксибензоат, пропіл</w:t>
      </w:r>
      <w:r w:rsidR="00B328E6" w:rsidRPr="00351850">
        <w:rPr>
          <w:lang w:val="uk-UA"/>
        </w:rPr>
        <w:t xml:space="preserve">парагідрооксибензоат, безводний колоїдний діоксид кремнію, сорбітану </w:t>
      </w:r>
      <w:r w:rsidRPr="00351850">
        <w:rPr>
          <w:lang w:val="uk-UA"/>
        </w:rPr>
        <w:t>моноолеат, пропіленгліколю диефір</w:t>
      </w:r>
      <w:r w:rsidR="00B328E6" w:rsidRPr="00351850">
        <w:rPr>
          <w:lang w:val="uk-UA"/>
        </w:rPr>
        <w:t>.</w:t>
      </w:r>
    </w:p>
    <w:p w14:paraId="4948919C" w14:textId="77777777" w:rsidR="00B328E6" w:rsidRPr="00351850" w:rsidRDefault="00B328E6" w:rsidP="00B328E6">
      <w:pPr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3. Фармацевтична форма</w:t>
      </w:r>
    </w:p>
    <w:p w14:paraId="0006E591" w14:textId="77777777" w:rsidR="00B328E6" w:rsidRPr="00351850" w:rsidRDefault="00B328E6" w:rsidP="00B328E6">
      <w:pPr>
        <w:ind w:firstLine="567"/>
        <w:jc w:val="both"/>
        <w:rPr>
          <w:lang w:val="uk-UA"/>
        </w:rPr>
      </w:pPr>
      <w:r w:rsidRPr="00351850">
        <w:rPr>
          <w:lang w:val="uk-UA"/>
        </w:rPr>
        <w:t>Суспензія для ін’єкцій.</w:t>
      </w:r>
    </w:p>
    <w:p w14:paraId="23A1A1A0" w14:textId="77777777" w:rsidR="00B328E6" w:rsidRPr="00351850" w:rsidRDefault="00B328E6" w:rsidP="00B328E6">
      <w:pPr>
        <w:widowControl w:val="0"/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4. Фармакологічні властивості</w:t>
      </w:r>
    </w:p>
    <w:p w14:paraId="0AC24894" w14:textId="5C97BF0F" w:rsidR="00B328E6" w:rsidRPr="00351850" w:rsidRDefault="00B328E6" w:rsidP="00B328E6">
      <w:pPr>
        <w:ind w:firstLine="567"/>
        <w:jc w:val="both"/>
        <w:rPr>
          <w:b/>
          <w:i/>
          <w:lang w:val="uk-UA"/>
        </w:rPr>
      </w:pPr>
      <w:r w:rsidRPr="00351850">
        <w:rPr>
          <w:b/>
          <w:i/>
          <w:lang w:val="uk-UA"/>
        </w:rPr>
        <w:t>ATC vet класифікаційний код  QJ01</w:t>
      </w:r>
      <w:r w:rsidR="008D39D1" w:rsidRPr="00351850">
        <w:rPr>
          <w:b/>
          <w:i/>
        </w:rPr>
        <w:t xml:space="preserve"> </w:t>
      </w:r>
      <w:r w:rsidR="008D39D1" w:rsidRPr="00351850">
        <w:rPr>
          <w:b/>
          <w:i/>
          <w:lang w:val="uk-UA"/>
        </w:rPr>
        <w:t>–</w:t>
      </w:r>
      <w:r w:rsidRPr="00351850">
        <w:rPr>
          <w:b/>
          <w:i/>
          <w:lang w:val="uk-UA"/>
        </w:rPr>
        <w:t xml:space="preserve"> антибактеріальні ветеринарні препарати для системного застосування.</w:t>
      </w:r>
      <w:r w:rsidR="00CF7EF6" w:rsidRPr="00351850">
        <w:rPr>
          <w:b/>
          <w:i/>
        </w:rPr>
        <w:t xml:space="preserve"> </w:t>
      </w:r>
      <w:r w:rsidRPr="00351850">
        <w:rPr>
          <w:rFonts w:eastAsia="Calibri"/>
          <w:b/>
          <w:i/>
          <w:lang w:val="uk-UA"/>
        </w:rPr>
        <w:t>QJ01CA04</w:t>
      </w:r>
      <w:r w:rsidR="008D39D1" w:rsidRPr="00351850">
        <w:rPr>
          <w:b/>
          <w:i/>
        </w:rPr>
        <w:t xml:space="preserve"> </w:t>
      </w:r>
      <w:r w:rsidR="008D39D1" w:rsidRPr="00351850">
        <w:rPr>
          <w:b/>
          <w:i/>
          <w:lang w:val="uk-UA"/>
        </w:rPr>
        <w:t>–</w:t>
      </w:r>
      <w:r w:rsidRPr="00351850">
        <w:rPr>
          <w:b/>
          <w:i/>
          <w:lang w:val="uk-UA"/>
        </w:rPr>
        <w:t xml:space="preserve"> Амоксицилін.</w:t>
      </w:r>
    </w:p>
    <w:p w14:paraId="5A670186" w14:textId="16BC5603" w:rsidR="00B328E6" w:rsidRPr="00351850" w:rsidRDefault="00131D89" w:rsidP="00545975">
      <w:pPr>
        <w:ind w:firstLine="567"/>
        <w:jc w:val="both"/>
        <w:rPr>
          <w:lang w:val="uk-UA"/>
        </w:rPr>
      </w:pPr>
      <w:r w:rsidRPr="00351850">
        <w:rPr>
          <w:lang w:val="uk-UA"/>
        </w:rPr>
        <w:t xml:space="preserve">Амоксикрід </w:t>
      </w:r>
      <w:r w:rsidRPr="00351850">
        <w:rPr>
          <w:lang w:val="en-US"/>
        </w:rPr>
        <w:t>L</w:t>
      </w:r>
      <w:r w:rsidRPr="00351850">
        <w:rPr>
          <w:lang w:val="uk-UA"/>
        </w:rPr>
        <w:t>.А</w:t>
      </w:r>
      <w:r w:rsidR="00B328E6" w:rsidRPr="00351850">
        <w:rPr>
          <w:lang w:val="uk-UA"/>
        </w:rPr>
        <w:t xml:space="preserve">. є антибактеріальним препаратом з пролонгованою дією, що містить амоксицилін. </w:t>
      </w:r>
      <w:r w:rsidRPr="00351850">
        <w:rPr>
          <w:lang w:val="uk-UA"/>
        </w:rPr>
        <w:t xml:space="preserve">Амоксицилін належить до групи бета-лактамних антибактеріальних засобів, а точніше до групи амінопеніцилінів. </w:t>
      </w:r>
      <w:r w:rsidR="00545975" w:rsidRPr="00351850">
        <w:rPr>
          <w:lang w:val="uk-UA"/>
        </w:rPr>
        <w:t>До структури амоксициліну входить цикл бета-лактаму та тиазолідиновий цикл, загальний для всіх пеніцилінів. Бета-лактами перешкоджають утворенню клітинної стінки бактерій, перешкоджаючи останній стадії синтезу пептидоглікану. Він пригнічує активність транспептидаз, які каталізують полімеризацію глікопептидних одиниць, що утворюють клітинну стінку бактерій. Амоксицилін діє бактерицидно</w:t>
      </w:r>
      <w:r w:rsidR="00545975" w:rsidRPr="00351850">
        <w:rPr>
          <w:color w:val="FF0000"/>
          <w:lang w:val="uk-UA"/>
        </w:rPr>
        <w:t xml:space="preserve"> </w:t>
      </w:r>
      <w:r w:rsidR="00545975" w:rsidRPr="00351850">
        <w:rPr>
          <w:lang w:val="uk-UA"/>
        </w:rPr>
        <w:t>виключно на мікроорганізми в стадії росту.</w:t>
      </w:r>
      <w:r w:rsidR="009D26B9" w:rsidRPr="00351850">
        <w:rPr>
          <w:lang w:val="uk-UA"/>
        </w:rPr>
        <w:t xml:space="preserve"> Амоксицилін </w:t>
      </w:r>
      <w:r w:rsidR="00B328E6" w:rsidRPr="00351850">
        <w:rPr>
          <w:lang w:val="uk-UA"/>
        </w:rPr>
        <w:t xml:space="preserve">активний </w:t>
      </w:r>
      <w:r w:rsidR="00A0165B" w:rsidRPr="00351850">
        <w:rPr>
          <w:lang w:val="uk-UA"/>
        </w:rPr>
        <w:t>щодо</w:t>
      </w:r>
      <w:r w:rsidR="00B328E6" w:rsidRPr="00351850">
        <w:rPr>
          <w:lang w:val="uk-UA"/>
        </w:rPr>
        <w:t xml:space="preserve"> широкого спектру грампозитивних (</w:t>
      </w:r>
      <w:r w:rsidR="00B328E6" w:rsidRPr="00351850">
        <w:rPr>
          <w:i/>
          <w:lang w:val="uk-UA"/>
        </w:rPr>
        <w:t>Corynebacterium spp., Streptococcus spp., Erysipelothrix spp., Clostridium spp.</w:t>
      </w:r>
      <w:r w:rsidR="00B328E6" w:rsidRPr="00351850">
        <w:rPr>
          <w:lang w:val="uk-UA"/>
        </w:rPr>
        <w:t>)</w:t>
      </w:r>
      <w:r w:rsidR="00B328E6" w:rsidRPr="00351850">
        <w:rPr>
          <w:i/>
          <w:lang w:val="uk-UA"/>
        </w:rPr>
        <w:t xml:space="preserve"> </w:t>
      </w:r>
      <w:r w:rsidR="00B328E6" w:rsidRPr="00351850">
        <w:rPr>
          <w:lang w:val="uk-UA"/>
        </w:rPr>
        <w:t>та грамнегативних (</w:t>
      </w:r>
      <w:r w:rsidR="00B328E6" w:rsidRPr="00351850">
        <w:rPr>
          <w:i/>
          <w:lang w:val="uk-UA"/>
        </w:rPr>
        <w:t xml:space="preserve">Pasteurella spp., Salmonella spp., Haemophilus spp., Actinobacillus spp., Bordetella spp., Proteus spp., E. coli, </w:t>
      </w:r>
      <w:r w:rsidR="00B328E6" w:rsidRPr="00351850">
        <w:rPr>
          <w:i/>
          <w:iCs/>
          <w:szCs w:val="22"/>
          <w:lang w:val="uk-UA"/>
        </w:rPr>
        <w:t xml:space="preserve">Mannheimia </w:t>
      </w:r>
      <w:r w:rsidR="00B328E6" w:rsidRPr="00351850">
        <w:rPr>
          <w:i/>
          <w:lang w:val="uk-UA"/>
        </w:rPr>
        <w:t xml:space="preserve">spp.) </w:t>
      </w:r>
      <w:r w:rsidR="00B328E6" w:rsidRPr="00351850">
        <w:rPr>
          <w:lang w:val="uk-UA"/>
        </w:rPr>
        <w:t>мікроорганізмів.</w:t>
      </w:r>
      <w:r w:rsidR="009D26B9" w:rsidRPr="00351850">
        <w:rPr>
          <w:lang w:val="uk-UA"/>
        </w:rPr>
        <w:t xml:space="preserve"> Так, наприклад його мінімальні інгібуючи концентрації проти </w:t>
      </w:r>
      <w:r w:rsidR="009D26B9" w:rsidRPr="00351850">
        <w:rPr>
          <w:i/>
          <w:lang w:val="uk-UA"/>
        </w:rPr>
        <w:t>Pasteurella</w:t>
      </w:r>
      <w:r w:rsidR="009D26B9" w:rsidRPr="00351850">
        <w:rPr>
          <w:lang w:val="uk-UA"/>
        </w:rPr>
        <w:t xml:space="preserve"> складають:</w:t>
      </w:r>
    </w:p>
    <w:p w14:paraId="753604A5" w14:textId="1677AF1C" w:rsidR="009D26B9" w:rsidRPr="00351850" w:rsidRDefault="009D26B9" w:rsidP="009D26B9">
      <w:pPr>
        <w:ind w:firstLine="567"/>
        <w:jc w:val="both"/>
        <w:rPr>
          <w:lang w:val="uk-UA"/>
        </w:rPr>
      </w:pPr>
      <w:r w:rsidRPr="00351850">
        <w:rPr>
          <w:lang w:val="uk-UA"/>
        </w:rPr>
        <w:t xml:space="preserve">- </w:t>
      </w:r>
      <w:r w:rsidRPr="00351850">
        <w:rPr>
          <w:i/>
          <w:lang w:val="uk-UA"/>
        </w:rPr>
        <w:t>Pasteurella haemolytica</w:t>
      </w:r>
      <w:r w:rsidRPr="00351850">
        <w:rPr>
          <w:lang w:val="uk-UA"/>
        </w:rPr>
        <w:t>, ВРХ  (МІК 90 = 0,165 мкг/мл)</w:t>
      </w:r>
    </w:p>
    <w:p w14:paraId="345D27A0" w14:textId="0885791A" w:rsidR="009D26B9" w:rsidRPr="00351850" w:rsidRDefault="009D26B9" w:rsidP="009D26B9">
      <w:pPr>
        <w:ind w:firstLine="567"/>
        <w:jc w:val="both"/>
        <w:rPr>
          <w:lang w:val="uk-UA"/>
        </w:rPr>
      </w:pPr>
      <w:r w:rsidRPr="00351850">
        <w:rPr>
          <w:lang w:val="uk-UA"/>
        </w:rPr>
        <w:t xml:space="preserve">- </w:t>
      </w:r>
      <w:r w:rsidRPr="00351850">
        <w:rPr>
          <w:i/>
          <w:lang w:val="uk-UA"/>
        </w:rPr>
        <w:t>Pasteurella multocida</w:t>
      </w:r>
      <w:r w:rsidRPr="00351850">
        <w:rPr>
          <w:lang w:val="uk-UA"/>
        </w:rPr>
        <w:t>, ВРХ (МІК 90 = 0,203 мкг/мл)</w:t>
      </w:r>
    </w:p>
    <w:p w14:paraId="25CC8656" w14:textId="6833508D" w:rsidR="009D26B9" w:rsidRPr="00351850" w:rsidRDefault="009D26B9" w:rsidP="009D26B9">
      <w:pPr>
        <w:ind w:firstLine="567"/>
        <w:jc w:val="both"/>
        <w:rPr>
          <w:lang w:val="uk-UA"/>
        </w:rPr>
      </w:pPr>
      <w:r w:rsidRPr="00351850">
        <w:rPr>
          <w:lang w:val="uk-UA"/>
        </w:rPr>
        <w:t xml:space="preserve">- </w:t>
      </w:r>
      <w:r w:rsidRPr="00351850">
        <w:rPr>
          <w:i/>
          <w:lang w:val="uk-UA"/>
        </w:rPr>
        <w:t>Pasteurella multocida</w:t>
      </w:r>
      <w:r w:rsidRPr="00351850">
        <w:rPr>
          <w:lang w:val="uk-UA"/>
        </w:rPr>
        <w:t>, свин</w:t>
      </w:r>
      <w:r w:rsidR="00431FF4" w:rsidRPr="00351850">
        <w:rPr>
          <w:lang w:val="uk-UA"/>
        </w:rPr>
        <w:t xml:space="preserve">і </w:t>
      </w:r>
      <w:r w:rsidRPr="00351850">
        <w:rPr>
          <w:lang w:val="uk-UA"/>
        </w:rPr>
        <w:t>(МІК 90 = 0,115 мкг/мл).</w:t>
      </w:r>
    </w:p>
    <w:p w14:paraId="6420D885" w14:textId="6AE88F80" w:rsidR="009D26B9" w:rsidRPr="00351850" w:rsidRDefault="009D26B9" w:rsidP="009D26B9">
      <w:pPr>
        <w:ind w:firstLine="567"/>
        <w:jc w:val="both"/>
        <w:rPr>
          <w:lang w:val="uk-UA"/>
        </w:rPr>
      </w:pPr>
      <w:r w:rsidRPr="00351850">
        <w:rPr>
          <w:lang w:val="uk-UA"/>
        </w:rPr>
        <w:t>Механізм резистентності відомий і пояснюється продукцією бета-лактамаз на бактеріальному рівні, які гідролізують бета-лактамний цикл, в результаті чого утворюється неактивна пеніцилоєва кислота.</w:t>
      </w:r>
    </w:p>
    <w:p w14:paraId="3CB24E84" w14:textId="132ADBE9" w:rsidR="00B328E6" w:rsidRPr="00351850" w:rsidRDefault="00B328E6" w:rsidP="0083212A">
      <w:pPr>
        <w:ind w:firstLine="567"/>
        <w:jc w:val="both"/>
        <w:rPr>
          <w:lang w:val="uk-UA"/>
        </w:rPr>
      </w:pPr>
      <w:r w:rsidRPr="00351850">
        <w:rPr>
          <w:lang w:val="uk-UA"/>
        </w:rPr>
        <w:t xml:space="preserve">Амоксицилін швидко абсорбується з місця ін'єкції та розподіляється по всіх тканинах організму, підтримуючи терапевтичну концентрацію тривалий час (48-72 години), внаслідок чого концентрація </w:t>
      </w:r>
      <w:r w:rsidR="0083212A" w:rsidRPr="00351850">
        <w:rPr>
          <w:lang w:val="uk-UA"/>
        </w:rPr>
        <w:t>його</w:t>
      </w:r>
      <w:r w:rsidRPr="00351850">
        <w:rPr>
          <w:lang w:val="uk-UA"/>
        </w:rPr>
        <w:t xml:space="preserve"> в тканинах перевищує концентрацію інших антибіотиків </w:t>
      </w:r>
      <w:r w:rsidR="0083212A" w:rsidRPr="00351850">
        <w:rPr>
          <w:lang w:val="uk-UA"/>
        </w:rPr>
        <w:t>бета-лактамної</w:t>
      </w:r>
      <w:r w:rsidRPr="00351850">
        <w:rPr>
          <w:lang w:val="uk-UA"/>
        </w:rPr>
        <w:t xml:space="preserve"> групи. </w:t>
      </w:r>
      <w:r w:rsidR="00A0165B" w:rsidRPr="00351850">
        <w:rPr>
          <w:lang w:val="uk-UA"/>
        </w:rPr>
        <w:t>Максимальна концентрація амоксициліну в плазмі крові досягається протягом 2-3 годин після введення.</w:t>
      </w:r>
      <w:r w:rsidRPr="00351850">
        <w:rPr>
          <w:lang w:val="uk-UA"/>
        </w:rPr>
        <w:t xml:space="preserve"> </w:t>
      </w:r>
      <w:r w:rsidR="0083212A" w:rsidRPr="00351850">
        <w:rPr>
          <w:lang w:val="uk-UA"/>
        </w:rPr>
        <w:t>Розподіл амоксициліну в тканинах сприяє його низькому рівню зв'язування на рівні плазми, проте він є однорідним, з перевагою для таких органів, таких як печінка та нирки.</w:t>
      </w:r>
    </w:p>
    <w:p w14:paraId="4F34254F" w14:textId="76892DD8" w:rsidR="00B328E6" w:rsidRPr="00351850" w:rsidRDefault="00B328E6" w:rsidP="00B328E6">
      <w:pPr>
        <w:ind w:firstLine="567"/>
        <w:jc w:val="both"/>
        <w:rPr>
          <w:lang w:val="uk-UA"/>
        </w:rPr>
      </w:pPr>
      <w:r w:rsidRPr="00351850">
        <w:rPr>
          <w:lang w:val="uk-UA"/>
        </w:rPr>
        <w:t>Після внутрішньом’язового введення в дозі 15 мг</w:t>
      </w:r>
      <w:r w:rsidR="003B73D5" w:rsidRPr="00351850">
        <w:rPr>
          <w:lang w:val="uk-UA"/>
        </w:rPr>
        <w:t xml:space="preserve"> амоксициліну на 1 </w:t>
      </w:r>
      <w:r w:rsidRPr="00351850">
        <w:rPr>
          <w:lang w:val="uk-UA"/>
        </w:rPr>
        <w:t xml:space="preserve">кг </w:t>
      </w:r>
      <w:r w:rsidR="003B73D5" w:rsidRPr="00351850">
        <w:rPr>
          <w:lang w:val="uk-UA"/>
        </w:rPr>
        <w:t xml:space="preserve">маси тіла тварини </w:t>
      </w:r>
      <w:r w:rsidRPr="00351850">
        <w:rPr>
          <w:lang w:val="uk-UA"/>
        </w:rPr>
        <w:t>біодоступн</w:t>
      </w:r>
      <w:r w:rsidR="0099791A">
        <w:rPr>
          <w:lang w:val="uk-UA"/>
        </w:rPr>
        <w:t>і</w:t>
      </w:r>
      <w:r w:rsidRPr="00351850">
        <w:rPr>
          <w:lang w:val="uk-UA"/>
        </w:rPr>
        <w:t>ст</w:t>
      </w:r>
      <w:r w:rsidR="00577317" w:rsidRPr="00351850">
        <w:rPr>
          <w:lang w:val="uk-UA"/>
        </w:rPr>
        <w:t>ь його становить</w:t>
      </w:r>
      <w:r w:rsidRPr="00351850">
        <w:rPr>
          <w:lang w:val="uk-UA"/>
        </w:rPr>
        <w:t xml:space="preserve"> 60 - 100%. </w:t>
      </w:r>
      <w:r w:rsidR="00A67137" w:rsidRPr="00351850">
        <w:rPr>
          <w:lang w:val="uk-UA"/>
        </w:rPr>
        <w:t xml:space="preserve">Максимальна концентрація </w:t>
      </w:r>
      <w:r w:rsidR="00577317" w:rsidRPr="00351850">
        <w:rPr>
          <w:lang w:val="uk-UA"/>
        </w:rPr>
        <w:t>амоксициліну</w:t>
      </w:r>
      <w:r w:rsidR="00A67137" w:rsidRPr="00351850">
        <w:rPr>
          <w:lang w:val="uk-UA"/>
        </w:rPr>
        <w:t xml:space="preserve"> в плазмі крові становить</w:t>
      </w:r>
      <w:r w:rsidRPr="00351850">
        <w:rPr>
          <w:lang w:val="uk-UA"/>
        </w:rPr>
        <w:t xml:space="preserve"> 1,5 - 4,5 мкг/мл, залежно від виду, спостерігається через 1,5-3 години після введення.</w:t>
      </w:r>
    </w:p>
    <w:p w14:paraId="776140D9" w14:textId="133F304B" w:rsidR="009D26B9" w:rsidRPr="00351850" w:rsidRDefault="00B328E6" w:rsidP="000B76A3">
      <w:pPr>
        <w:ind w:firstLine="567"/>
        <w:jc w:val="both"/>
        <w:rPr>
          <w:lang w:val="uk-UA"/>
        </w:rPr>
      </w:pPr>
      <w:r w:rsidRPr="00351850">
        <w:rPr>
          <w:lang w:val="uk-UA"/>
        </w:rPr>
        <w:t>Після повторного введення (2 ін’єкції з 48-годинними інтервалами) фармакокінетичні параметри залишаються стабільними, явища накопичення не спостерігаються. Концентрації</w:t>
      </w:r>
      <w:r w:rsidR="00A0165B" w:rsidRPr="00351850">
        <w:rPr>
          <w:color w:val="FF0000"/>
          <w:lang w:val="uk-UA"/>
        </w:rPr>
        <w:t xml:space="preserve"> </w:t>
      </w:r>
      <w:r w:rsidR="00A0165B" w:rsidRPr="00351850">
        <w:rPr>
          <w:lang w:val="uk-UA"/>
        </w:rPr>
        <w:t>амоксициліну</w:t>
      </w:r>
      <w:r w:rsidRPr="00351850">
        <w:rPr>
          <w:lang w:val="uk-UA"/>
        </w:rPr>
        <w:t xml:space="preserve"> в плазмі </w:t>
      </w:r>
      <w:r w:rsidR="00A67137" w:rsidRPr="00351850">
        <w:rPr>
          <w:lang w:val="uk-UA"/>
        </w:rPr>
        <w:t xml:space="preserve">крові </w:t>
      </w:r>
      <w:r w:rsidRPr="00351850">
        <w:rPr>
          <w:lang w:val="uk-UA"/>
        </w:rPr>
        <w:t xml:space="preserve">підтримуються протягом більш, ніж 32 годин після першої ін'єкції та до 36 годин – після другої ін'єкції. Швидкому поширенню амоксициліну в тканинах сприяє його низький ступінь зв'язування з білками плазми крові. </w:t>
      </w:r>
    </w:p>
    <w:p w14:paraId="33DE44E7" w14:textId="77777777" w:rsidR="009D26B9" w:rsidRPr="00351850" w:rsidRDefault="009D26B9" w:rsidP="009D26B9">
      <w:pPr>
        <w:ind w:firstLine="567"/>
        <w:jc w:val="both"/>
        <w:rPr>
          <w:lang w:val="uk-UA"/>
        </w:rPr>
      </w:pPr>
      <w:r w:rsidRPr="00351850">
        <w:rPr>
          <w:lang w:val="uk-UA"/>
        </w:rPr>
        <w:t>Метаболізм амоксициліну знижений. Активного метаболіту не виявлено, лише гідроліз бета-лактамного кільця in vivo призводить до утворення пеніцилоєвої кислоти.</w:t>
      </w:r>
    </w:p>
    <w:p w14:paraId="6901C5EE" w14:textId="150E800C" w:rsidR="009D26B9" w:rsidRPr="00351850" w:rsidRDefault="009D26B9" w:rsidP="009D26B9">
      <w:pPr>
        <w:ind w:firstLine="567"/>
        <w:jc w:val="both"/>
        <w:rPr>
          <w:lang w:val="uk-UA"/>
        </w:rPr>
      </w:pPr>
      <w:r w:rsidRPr="00351850">
        <w:rPr>
          <w:lang w:val="uk-UA"/>
        </w:rPr>
        <w:lastRenderedPageBreak/>
        <w:t>Ниркова екскреція в активній формі є основним шляхом виведення (від 50 до 80% перорально прийнятої дози) шляхом клубочкової фільтрації та вторинно шляхом канальцевої секреції. Біліарна екскреція та екскреція молока у годуючих самок є другорядними шляхами виведення порівняно з сечею.</w:t>
      </w:r>
    </w:p>
    <w:p w14:paraId="6741FF64" w14:textId="77777777" w:rsidR="00B328E6" w:rsidRPr="00351850" w:rsidRDefault="00B328E6" w:rsidP="00B328E6">
      <w:pPr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5. Клінічні особливості</w:t>
      </w:r>
    </w:p>
    <w:p w14:paraId="69EF7E69" w14:textId="77777777" w:rsidR="00B328E6" w:rsidRPr="00351850" w:rsidRDefault="00B328E6" w:rsidP="00B328E6">
      <w:pPr>
        <w:widowControl w:val="0"/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5.1 Вид тварин</w:t>
      </w:r>
    </w:p>
    <w:p w14:paraId="23D16F3E" w14:textId="7F6C1DA3" w:rsidR="00B328E6" w:rsidRPr="00351850" w:rsidRDefault="00B328E6" w:rsidP="00B328E6">
      <w:pPr>
        <w:ind w:firstLine="567"/>
        <w:jc w:val="both"/>
        <w:rPr>
          <w:lang w:val="uk-UA"/>
        </w:rPr>
      </w:pPr>
      <w:r w:rsidRPr="00351850">
        <w:rPr>
          <w:lang w:val="uk-UA"/>
        </w:rPr>
        <w:t>Велика рогата худоба, свині</w:t>
      </w:r>
      <w:r w:rsidR="000B76A3" w:rsidRPr="00351850">
        <w:rPr>
          <w:lang w:val="uk-UA"/>
        </w:rPr>
        <w:t>.</w:t>
      </w:r>
    </w:p>
    <w:p w14:paraId="34A562FC" w14:textId="77777777" w:rsidR="00B328E6" w:rsidRPr="00351850" w:rsidRDefault="00B328E6" w:rsidP="00B328E6">
      <w:pPr>
        <w:pStyle w:val="31"/>
        <w:ind w:firstLine="567"/>
        <w:rPr>
          <w:szCs w:val="24"/>
        </w:rPr>
      </w:pPr>
      <w:r w:rsidRPr="00351850">
        <w:rPr>
          <w:szCs w:val="24"/>
        </w:rPr>
        <w:t>5.2 Показання до застосування</w:t>
      </w:r>
    </w:p>
    <w:p w14:paraId="75AC5841" w14:textId="7AD7133F" w:rsidR="00086D11" w:rsidRPr="00351850" w:rsidRDefault="00577317" w:rsidP="003577F1">
      <w:pPr>
        <w:pStyle w:val="31"/>
        <w:tabs>
          <w:tab w:val="left" w:pos="709"/>
        </w:tabs>
        <w:ind w:firstLine="567"/>
        <w:rPr>
          <w:b w:val="0"/>
          <w:szCs w:val="24"/>
        </w:rPr>
      </w:pPr>
      <w:r w:rsidRPr="00351850">
        <w:rPr>
          <w:b w:val="0"/>
          <w:lang w:val="ru-RU"/>
        </w:rPr>
        <w:t>Лікування великої рогатої худоби та  свиней за захворювань  органів дихання, травного каналу  та сечостатевої системи, що спричинені мікроорганізмами, чутливими до амоксициліну.</w:t>
      </w:r>
    </w:p>
    <w:p w14:paraId="6FC2AB8C" w14:textId="77777777" w:rsidR="00B328E6" w:rsidRPr="00351850" w:rsidRDefault="00B328E6" w:rsidP="00B328E6">
      <w:pPr>
        <w:pStyle w:val="31"/>
        <w:tabs>
          <w:tab w:val="left" w:pos="709"/>
        </w:tabs>
        <w:ind w:firstLine="567"/>
        <w:rPr>
          <w:szCs w:val="24"/>
        </w:rPr>
      </w:pPr>
      <w:r w:rsidRPr="00351850">
        <w:rPr>
          <w:szCs w:val="24"/>
        </w:rPr>
        <w:t>5.3 Протипоказання</w:t>
      </w:r>
    </w:p>
    <w:p w14:paraId="44E9F569" w14:textId="77777777" w:rsidR="00C67105" w:rsidRPr="00351850" w:rsidRDefault="00C67105" w:rsidP="00C67105">
      <w:pPr>
        <w:ind w:firstLine="567"/>
        <w:jc w:val="both"/>
        <w:rPr>
          <w:lang w:val="uk-UA"/>
        </w:rPr>
      </w:pPr>
      <w:r w:rsidRPr="00351850">
        <w:rPr>
          <w:lang w:val="uk-UA"/>
        </w:rPr>
        <w:t>Не застосовувати у разі гіперчутливості до активної речовини або до будь-якої з допоміжних речовин.</w:t>
      </w:r>
    </w:p>
    <w:p w14:paraId="1A3C1678" w14:textId="2C7B76A5" w:rsidR="00B328E6" w:rsidRPr="00351850" w:rsidRDefault="00577317" w:rsidP="00C67105">
      <w:pPr>
        <w:ind w:firstLine="567"/>
        <w:jc w:val="both"/>
        <w:rPr>
          <w:lang w:val="uk-UA"/>
        </w:rPr>
      </w:pPr>
      <w:r w:rsidRPr="00351850">
        <w:rPr>
          <w:lang w:val="uk-UA"/>
        </w:rPr>
        <w:t>Не застосовувати коням, кролям, хом’якам, шиншилам та мурчакам</w:t>
      </w:r>
      <w:r w:rsidR="00C67105" w:rsidRPr="00351850">
        <w:rPr>
          <w:lang w:val="uk-UA"/>
        </w:rPr>
        <w:t xml:space="preserve">. </w:t>
      </w:r>
    </w:p>
    <w:p w14:paraId="6301D88E" w14:textId="51FE9320" w:rsidR="00B328E6" w:rsidRPr="00351850" w:rsidRDefault="00B328E6" w:rsidP="00B328E6">
      <w:pPr>
        <w:ind w:firstLine="567"/>
        <w:jc w:val="both"/>
        <w:rPr>
          <w:bCs/>
          <w:lang w:val="uk-UA"/>
        </w:rPr>
      </w:pPr>
      <w:r w:rsidRPr="00351850">
        <w:rPr>
          <w:lang w:val="uk-UA"/>
        </w:rPr>
        <w:t>Не застосовувати тваринам із порушеною функцією нирок (анурія/олігурія).</w:t>
      </w:r>
      <w:r w:rsidRPr="00351850">
        <w:rPr>
          <w:b/>
          <w:lang w:val="uk-UA"/>
        </w:rPr>
        <w:t xml:space="preserve"> </w:t>
      </w:r>
    </w:p>
    <w:p w14:paraId="2942327E" w14:textId="453DE567" w:rsidR="004570BB" w:rsidRPr="00351850" w:rsidRDefault="004570BB" w:rsidP="00B328E6">
      <w:pPr>
        <w:ind w:firstLine="567"/>
        <w:jc w:val="both"/>
        <w:rPr>
          <w:bCs/>
          <w:lang w:val="uk-UA"/>
        </w:rPr>
      </w:pPr>
      <w:r w:rsidRPr="00351850">
        <w:rPr>
          <w:bCs/>
          <w:lang w:val="uk-UA"/>
        </w:rPr>
        <w:t xml:space="preserve">Не застосовувати </w:t>
      </w:r>
      <w:r w:rsidR="000E5500" w:rsidRPr="00351850">
        <w:rPr>
          <w:bCs/>
          <w:lang w:val="uk-UA"/>
        </w:rPr>
        <w:t>за</w:t>
      </w:r>
      <w:r w:rsidRPr="00351850">
        <w:rPr>
          <w:bCs/>
          <w:lang w:val="uk-UA"/>
        </w:rPr>
        <w:t xml:space="preserve"> відом</w:t>
      </w:r>
      <w:r w:rsidR="000E5500" w:rsidRPr="00351850">
        <w:rPr>
          <w:bCs/>
          <w:lang w:val="uk-UA"/>
        </w:rPr>
        <w:t>ої</w:t>
      </w:r>
      <w:r w:rsidRPr="00351850">
        <w:rPr>
          <w:bCs/>
          <w:lang w:val="uk-UA"/>
        </w:rPr>
        <w:t xml:space="preserve"> стійкості збудника до амоксициліну.</w:t>
      </w:r>
    </w:p>
    <w:p w14:paraId="0FB0CF4E" w14:textId="77777777" w:rsidR="00C30403" w:rsidRPr="00351850" w:rsidRDefault="00B328E6" w:rsidP="00C30403">
      <w:pPr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 xml:space="preserve">5.4 Побічна дія </w:t>
      </w:r>
    </w:p>
    <w:p w14:paraId="79B5CD47" w14:textId="247CFEDC" w:rsidR="00C67105" w:rsidRPr="00351850" w:rsidRDefault="00C67105" w:rsidP="00C67105">
      <w:pPr>
        <w:ind w:firstLine="567"/>
        <w:jc w:val="both"/>
        <w:rPr>
          <w:lang w:val="uk-UA"/>
        </w:rPr>
      </w:pPr>
      <w:r w:rsidRPr="00351850">
        <w:rPr>
          <w:lang w:val="uk-UA"/>
        </w:rPr>
        <w:t xml:space="preserve">У жуйних тварин може виникнути місцева реакція в місці ін'єкції. Ця реакція минає протягом короткого часу. </w:t>
      </w:r>
      <w:r w:rsidR="00D44877" w:rsidRPr="00351850">
        <w:rPr>
          <w:lang w:val="uk-UA"/>
        </w:rPr>
        <w:t xml:space="preserve">Алергічні реакції на ці речовини іноді можуть бути важкими (анафілаксія). </w:t>
      </w:r>
      <w:r w:rsidRPr="00351850">
        <w:rPr>
          <w:lang w:val="uk-UA"/>
        </w:rPr>
        <w:t>У свиней побічні реакції трапляються рідко.</w:t>
      </w:r>
    </w:p>
    <w:p w14:paraId="4E91162D" w14:textId="77777777" w:rsidR="00C67105" w:rsidRPr="00351850" w:rsidRDefault="00C67105" w:rsidP="00C67105">
      <w:pPr>
        <w:ind w:firstLine="567"/>
        <w:jc w:val="both"/>
        <w:rPr>
          <w:lang w:val="uk-UA"/>
        </w:rPr>
      </w:pPr>
      <w:r w:rsidRPr="00351850">
        <w:rPr>
          <w:lang w:val="uk-UA"/>
        </w:rPr>
        <w:t>Частота побічних реакцій визначається за такою схемою:</w:t>
      </w:r>
    </w:p>
    <w:p w14:paraId="1265F00B" w14:textId="335A32DA" w:rsidR="00C67105" w:rsidRPr="00351850" w:rsidRDefault="00C67105" w:rsidP="00C67105">
      <w:pPr>
        <w:ind w:firstLine="567"/>
        <w:jc w:val="both"/>
        <w:rPr>
          <w:lang w:val="uk-UA"/>
        </w:rPr>
      </w:pPr>
      <w:r w:rsidRPr="00351850">
        <w:rPr>
          <w:lang w:val="uk-UA"/>
        </w:rPr>
        <w:t>- Дуже часто (побічні реакції спостерігаються у більш</w:t>
      </w:r>
      <w:r w:rsidR="0099791A">
        <w:rPr>
          <w:lang w:val="uk-UA"/>
        </w:rPr>
        <w:t>е</w:t>
      </w:r>
      <w:r w:rsidRPr="00351850">
        <w:rPr>
          <w:lang w:val="uk-UA"/>
        </w:rPr>
        <w:t xml:space="preserve"> ніж 1 з 10 тварин, що пройшли лікування)</w:t>
      </w:r>
    </w:p>
    <w:p w14:paraId="6BB68220" w14:textId="690A96DE" w:rsidR="00C67105" w:rsidRPr="00351850" w:rsidRDefault="00C67105" w:rsidP="00C67105">
      <w:pPr>
        <w:ind w:firstLine="567"/>
        <w:jc w:val="both"/>
        <w:rPr>
          <w:lang w:val="uk-UA"/>
        </w:rPr>
      </w:pPr>
      <w:r w:rsidRPr="00351850">
        <w:rPr>
          <w:lang w:val="uk-UA"/>
        </w:rPr>
        <w:t>- Часто (у більш</w:t>
      </w:r>
      <w:r w:rsidR="0099791A">
        <w:rPr>
          <w:lang w:val="uk-UA"/>
        </w:rPr>
        <w:t>е</w:t>
      </w:r>
      <w:r w:rsidRPr="00351850">
        <w:rPr>
          <w:lang w:val="uk-UA"/>
        </w:rPr>
        <w:t xml:space="preserve"> ніж 1, але менше ніж 10 тварин </w:t>
      </w:r>
      <w:r w:rsidR="0099791A">
        <w:rPr>
          <w:lang w:val="uk-UA"/>
        </w:rPr>
        <w:t>із</w:t>
      </w:r>
      <w:r w:rsidRPr="00351850">
        <w:rPr>
          <w:lang w:val="uk-UA"/>
        </w:rPr>
        <w:t xml:space="preserve"> 100 тварин, що пройшли лікування)</w:t>
      </w:r>
    </w:p>
    <w:p w14:paraId="53AB054D" w14:textId="42FB4C6C" w:rsidR="00C67105" w:rsidRPr="00351850" w:rsidRDefault="00C67105" w:rsidP="00C67105">
      <w:pPr>
        <w:ind w:firstLine="567"/>
        <w:jc w:val="both"/>
        <w:rPr>
          <w:lang w:val="uk-UA"/>
        </w:rPr>
      </w:pPr>
      <w:r w:rsidRPr="00351850">
        <w:rPr>
          <w:lang w:val="uk-UA"/>
        </w:rPr>
        <w:t>- Нечасто (у більш</w:t>
      </w:r>
      <w:r w:rsidR="0099791A">
        <w:rPr>
          <w:lang w:val="uk-UA"/>
        </w:rPr>
        <w:t>е</w:t>
      </w:r>
      <w:r w:rsidRPr="00351850">
        <w:rPr>
          <w:lang w:val="uk-UA"/>
        </w:rPr>
        <w:t xml:space="preserve"> ніж 1, але менше ніж 10 тварин </w:t>
      </w:r>
      <w:r w:rsidR="0099791A">
        <w:rPr>
          <w:lang w:val="uk-UA"/>
        </w:rPr>
        <w:t>із</w:t>
      </w:r>
      <w:r w:rsidRPr="00351850">
        <w:rPr>
          <w:lang w:val="uk-UA"/>
        </w:rPr>
        <w:t xml:space="preserve"> 1000 тварин, що пройшли лікування)</w:t>
      </w:r>
    </w:p>
    <w:p w14:paraId="62F74897" w14:textId="721B6610" w:rsidR="00C67105" w:rsidRPr="00351850" w:rsidRDefault="00C67105" w:rsidP="00C67105">
      <w:pPr>
        <w:ind w:firstLine="567"/>
        <w:jc w:val="both"/>
        <w:rPr>
          <w:lang w:val="uk-UA"/>
        </w:rPr>
      </w:pPr>
      <w:r w:rsidRPr="00351850">
        <w:rPr>
          <w:lang w:val="uk-UA"/>
        </w:rPr>
        <w:t>- Рідко (у більш</w:t>
      </w:r>
      <w:r w:rsidR="0099791A">
        <w:rPr>
          <w:lang w:val="uk-UA"/>
        </w:rPr>
        <w:t>е</w:t>
      </w:r>
      <w:r w:rsidRPr="00351850">
        <w:rPr>
          <w:lang w:val="uk-UA"/>
        </w:rPr>
        <w:t xml:space="preserve"> ніж 1, але менше ніж 10 тварин </w:t>
      </w:r>
      <w:r w:rsidR="0099791A">
        <w:rPr>
          <w:lang w:val="uk-UA"/>
        </w:rPr>
        <w:t>із</w:t>
      </w:r>
      <w:r w:rsidRPr="00351850">
        <w:rPr>
          <w:lang w:val="uk-UA"/>
        </w:rPr>
        <w:t xml:space="preserve"> 10000 тварин, що пройшли лікування)</w:t>
      </w:r>
    </w:p>
    <w:p w14:paraId="6E1DBC4B" w14:textId="3A156C64" w:rsidR="00C67105" w:rsidRPr="00351850" w:rsidRDefault="00C67105" w:rsidP="00C67105">
      <w:pPr>
        <w:ind w:firstLine="567"/>
        <w:jc w:val="both"/>
        <w:rPr>
          <w:lang w:val="uk-UA"/>
        </w:rPr>
      </w:pPr>
      <w:r w:rsidRPr="00351850">
        <w:rPr>
          <w:lang w:val="uk-UA"/>
        </w:rPr>
        <w:t>- Дуже рідко (у менш</w:t>
      </w:r>
      <w:r w:rsidR="0099791A">
        <w:rPr>
          <w:lang w:val="uk-UA"/>
        </w:rPr>
        <w:t>е</w:t>
      </w:r>
      <w:r w:rsidRPr="00351850">
        <w:rPr>
          <w:lang w:val="uk-UA"/>
        </w:rPr>
        <w:t xml:space="preserve"> ніж 1 тварини </w:t>
      </w:r>
      <w:r w:rsidR="0099791A">
        <w:rPr>
          <w:lang w:val="uk-UA"/>
        </w:rPr>
        <w:t>із</w:t>
      </w:r>
      <w:r w:rsidRPr="00351850">
        <w:rPr>
          <w:lang w:val="uk-UA"/>
        </w:rPr>
        <w:t xml:space="preserve"> 10000 тварин, що пройшли лікування, включаючи поодинокі випадки) .</w:t>
      </w:r>
    </w:p>
    <w:p w14:paraId="5D093F1D" w14:textId="77777777" w:rsidR="00B328E6" w:rsidRPr="00351850" w:rsidRDefault="00B328E6" w:rsidP="00B328E6">
      <w:pPr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5.5 Особливі застереження при використанні</w:t>
      </w:r>
    </w:p>
    <w:p w14:paraId="18CED5D2" w14:textId="77777777" w:rsidR="00632D7B" w:rsidRPr="00351850" w:rsidRDefault="00C67105" w:rsidP="00632D7B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351850">
        <w:rPr>
          <w:lang w:val="uk-UA"/>
        </w:rPr>
        <w:t>Застосування препарату повинно базуватися на результатах тестів на чутливість бактерій, виділених від тварини</w:t>
      </w:r>
      <w:r w:rsidR="00D44877" w:rsidRPr="00351850">
        <w:rPr>
          <w:lang w:val="uk-UA"/>
        </w:rPr>
        <w:t>, до амоксициліну</w:t>
      </w:r>
      <w:r w:rsidRPr="00351850">
        <w:rPr>
          <w:lang w:val="uk-UA"/>
        </w:rPr>
        <w:t xml:space="preserve">. </w:t>
      </w:r>
      <w:r w:rsidR="00632D7B" w:rsidRPr="00351850">
        <w:rPr>
          <w:lang w:val="uk-UA"/>
        </w:rPr>
        <w:t>За відсутності даних про чутливість збудника/збудників до амоксициліну, застосування препарату повинно ґрунтуватися на регіональній епізоотичній ситуації щодо антимікробної чутливості.</w:t>
      </w:r>
    </w:p>
    <w:p w14:paraId="35BAA93E" w14:textId="77777777" w:rsidR="00C67105" w:rsidRPr="00351850" w:rsidRDefault="00C67105" w:rsidP="00C67105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351850">
        <w:rPr>
          <w:lang w:val="uk-UA"/>
        </w:rPr>
        <w:t>Під час використання препарату слід враховувати офіційну, національну та регіональну політику щодо антимікробних препаратів.</w:t>
      </w:r>
    </w:p>
    <w:p w14:paraId="0CF790E3" w14:textId="77777777" w:rsidR="00C67105" w:rsidRPr="00351850" w:rsidRDefault="00C67105" w:rsidP="00C67105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351850">
        <w:rPr>
          <w:lang w:val="uk-UA"/>
        </w:rPr>
        <w:t>Використання препарату з відхиленням від інструкцій, наведених у КХП, може збільшити поширеність бактерій, стійких до амоксициліну, та знизити ефективність лікування через потенційну перехресну резистентність.</w:t>
      </w:r>
    </w:p>
    <w:p w14:paraId="43157C60" w14:textId="77777777" w:rsidR="00B328E6" w:rsidRPr="00351850" w:rsidRDefault="00B328E6" w:rsidP="00B328E6">
      <w:pPr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5.6 Застосування під час вагітності, лактації, несучості</w:t>
      </w:r>
    </w:p>
    <w:p w14:paraId="2A513DED" w14:textId="6E1D17BB" w:rsidR="00B328E6" w:rsidRPr="00351850" w:rsidRDefault="00B328E6" w:rsidP="00B328E6">
      <w:pPr>
        <w:ind w:firstLine="567"/>
        <w:jc w:val="both"/>
        <w:rPr>
          <w:lang w:val="uk-UA"/>
        </w:rPr>
      </w:pPr>
      <w:r w:rsidRPr="00351850">
        <w:rPr>
          <w:lang w:val="uk-UA"/>
        </w:rPr>
        <w:t xml:space="preserve">Під час дослідження на лабораторних тваринах не було виявлено </w:t>
      </w:r>
      <w:r w:rsidR="00A0165B" w:rsidRPr="00351850">
        <w:rPr>
          <w:lang w:val="uk-UA"/>
        </w:rPr>
        <w:t>тератогенної та ембріотоксичної дії</w:t>
      </w:r>
      <w:r w:rsidRPr="00351850">
        <w:rPr>
          <w:lang w:val="uk-UA"/>
        </w:rPr>
        <w:t xml:space="preserve"> чи </w:t>
      </w:r>
      <w:r w:rsidR="007B64FD" w:rsidRPr="00351850">
        <w:rPr>
          <w:lang w:val="uk-UA"/>
        </w:rPr>
        <w:t>токсичного</w:t>
      </w:r>
      <w:r w:rsidRPr="00351850">
        <w:rPr>
          <w:lang w:val="uk-UA"/>
        </w:rPr>
        <w:t xml:space="preserve"> впливу амоксициліну</w:t>
      </w:r>
      <w:r w:rsidR="008B779B" w:rsidRPr="00351850">
        <w:rPr>
          <w:lang w:val="uk-UA"/>
        </w:rPr>
        <w:t xml:space="preserve"> на материнський організм</w:t>
      </w:r>
      <w:r w:rsidRPr="00351850">
        <w:rPr>
          <w:lang w:val="uk-UA"/>
        </w:rPr>
        <w:t>.</w:t>
      </w:r>
    </w:p>
    <w:p w14:paraId="2071F60F" w14:textId="77777777" w:rsidR="00632D7B" w:rsidRPr="00351850" w:rsidRDefault="00632D7B" w:rsidP="00632D7B">
      <w:pPr>
        <w:ind w:firstLine="567"/>
        <w:jc w:val="both"/>
        <w:rPr>
          <w:lang w:val="uk-UA"/>
        </w:rPr>
      </w:pPr>
      <w:r w:rsidRPr="00351850">
        <w:rPr>
          <w:lang w:val="uk-UA"/>
        </w:rPr>
        <w:t>Однак нешкідливість застосування амоксициліну для цільових видів тварин під час вагітності не досліджували. Застосування препарату вагітним тваринам повинно залежати від оцінки співвідношення ризик/користь лікарем ветеринарної медицини.</w:t>
      </w:r>
    </w:p>
    <w:p w14:paraId="2939056E" w14:textId="38299982" w:rsidR="00C83886" w:rsidRPr="00351850" w:rsidRDefault="00C83886" w:rsidP="00C83886">
      <w:pPr>
        <w:ind w:firstLine="567"/>
        <w:jc w:val="both"/>
        <w:rPr>
          <w:lang w:val="uk-UA"/>
        </w:rPr>
      </w:pPr>
      <w:r w:rsidRPr="00351850">
        <w:rPr>
          <w:lang w:val="uk-UA"/>
        </w:rPr>
        <w:t>Враховуючи низьку екскрецію амоксициліну з молоком, молоко, отримане від тварин, що пройшли лікування, можна давати молодим тваринам під час лікування цим препаратом.</w:t>
      </w:r>
    </w:p>
    <w:p w14:paraId="5E432F4D" w14:textId="77777777" w:rsidR="00B328E6" w:rsidRPr="00351850" w:rsidRDefault="00B328E6" w:rsidP="00B328E6">
      <w:pPr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5.7 Взаємодія з іншими засобами та інші форми взаємодії</w:t>
      </w:r>
    </w:p>
    <w:p w14:paraId="527A81FA" w14:textId="3582FCF9" w:rsidR="00B328E6" w:rsidRPr="00351850" w:rsidRDefault="00C83886" w:rsidP="00C83886">
      <w:pPr>
        <w:ind w:firstLine="567"/>
        <w:jc w:val="both"/>
        <w:rPr>
          <w:lang w:val="uk-UA"/>
        </w:rPr>
      </w:pPr>
      <w:r w:rsidRPr="00351850">
        <w:rPr>
          <w:lang w:val="uk-UA"/>
        </w:rPr>
        <w:t xml:space="preserve">Не поєднувати </w:t>
      </w:r>
      <w:r w:rsidR="0099791A" w:rsidRPr="0099791A">
        <w:rPr>
          <w:lang w:val="uk-UA"/>
        </w:rPr>
        <w:t>з антибіотиками бактеріостатичної дії</w:t>
      </w:r>
      <w:r w:rsidRPr="00351850">
        <w:rPr>
          <w:lang w:val="uk-UA"/>
        </w:rPr>
        <w:t xml:space="preserve">. </w:t>
      </w:r>
      <w:r w:rsidR="00B328E6" w:rsidRPr="00351850">
        <w:rPr>
          <w:lang w:val="uk-UA"/>
        </w:rPr>
        <w:t xml:space="preserve">Бактерицидний ефект амоксициліну нейтралізується </w:t>
      </w:r>
      <w:r w:rsidR="00A67137" w:rsidRPr="00351850">
        <w:rPr>
          <w:lang w:val="uk-UA"/>
        </w:rPr>
        <w:t>за</w:t>
      </w:r>
      <w:r w:rsidR="00B328E6" w:rsidRPr="00351850">
        <w:rPr>
          <w:lang w:val="uk-UA"/>
        </w:rPr>
        <w:t xml:space="preserve"> одночасно</w:t>
      </w:r>
      <w:r w:rsidR="00A67137" w:rsidRPr="00351850">
        <w:rPr>
          <w:lang w:val="uk-UA"/>
        </w:rPr>
        <w:t>го</w:t>
      </w:r>
      <w:r w:rsidR="00B328E6" w:rsidRPr="00351850">
        <w:rPr>
          <w:lang w:val="uk-UA"/>
        </w:rPr>
        <w:t xml:space="preserve"> застосуванн</w:t>
      </w:r>
      <w:r w:rsidR="00A67137" w:rsidRPr="00351850">
        <w:rPr>
          <w:lang w:val="uk-UA"/>
        </w:rPr>
        <w:t>я</w:t>
      </w:r>
      <w:r w:rsidR="00B328E6" w:rsidRPr="00351850">
        <w:rPr>
          <w:lang w:val="uk-UA"/>
        </w:rPr>
        <w:t xml:space="preserve"> з речовинами, що діють бактеріостатично </w:t>
      </w:r>
      <w:r w:rsidR="00B328E6" w:rsidRPr="00351850">
        <w:rPr>
          <w:lang w:val="uk-UA"/>
        </w:rPr>
        <w:lastRenderedPageBreak/>
        <w:t xml:space="preserve">(макроліди, тетрациклін та </w:t>
      </w:r>
      <w:r w:rsidR="0099791A" w:rsidRPr="00351850">
        <w:rPr>
          <w:lang w:val="uk-UA"/>
        </w:rPr>
        <w:t>сульфа</w:t>
      </w:r>
      <w:r w:rsidR="0099791A">
        <w:rPr>
          <w:lang w:val="uk-UA"/>
        </w:rPr>
        <w:t>ніла</w:t>
      </w:r>
      <w:r w:rsidR="0099791A" w:rsidRPr="00351850">
        <w:rPr>
          <w:lang w:val="uk-UA"/>
        </w:rPr>
        <w:t>міди</w:t>
      </w:r>
      <w:r w:rsidR="00B328E6" w:rsidRPr="00351850">
        <w:rPr>
          <w:lang w:val="uk-UA"/>
        </w:rPr>
        <w:t>).</w:t>
      </w:r>
      <w:r w:rsidR="00C30403" w:rsidRPr="00351850">
        <w:rPr>
          <w:lang w:val="uk-UA"/>
        </w:rPr>
        <w:t xml:space="preserve"> Така взаємодія, тим не менш, матиме бактеріостатичний ефект.</w:t>
      </w:r>
    </w:p>
    <w:p w14:paraId="40D927F7" w14:textId="77777777" w:rsidR="00B328E6" w:rsidRPr="00351850" w:rsidRDefault="00B328E6" w:rsidP="00B328E6">
      <w:pPr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5.8 Дози і способи введення тваринам різного віку</w:t>
      </w:r>
    </w:p>
    <w:p w14:paraId="1C9CF7FB" w14:textId="77777777" w:rsidR="00CB0682" w:rsidRPr="00351850" w:rsidRDefault="00CB0682" w:rsidP="00CB0682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351850">
        <w:rPr>
          <w:lang w:val="uk-UA"/>
        </w:rPr>
        <w:t xml:space="preserve">Внутрішньом’язово в дозі 15 мг амоксициліну на 1 кг маси тіла тварини або 1 мл препарату на 10 кг маси тіла тварини, двічі з інтервалом 48 год.   </w:t>
      </w:r>
    </w:p>
    <w:p w14:paraId="4CE21B8B" w14:textId="77777777" w:rsidR="00CB0682" w:rsidRPr="00351850" w:rsidRDefault="00CB0682" w:rsidP="00CB0682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351850">
        <w:rPr>
          <w:lang w:val="uk-UA"/>
        </w:rPr>
        <w:t>Щоб забезпечити правильне дозування та уникнути передозування, необхідно якомога точніше визначити масу тіла тварини.</w:t>
      </w:r>
    </w:p>
    <w:p w14:paraId="194788A7" w14:textId="77777777" w:rsidR="00CB0682" w:rsidRPr="00351850" w:rsidRDefault="00CB0682" w:rsidP="00CB0682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351850">
        <w:rPr>
          <w:lang w:val="uk-UA"/>
        </w:rPr>
        <w:t xml:space="preserve">Якщо об'єм дози перевищує 20 мл для великої рогатої худоби та 6 мл – для свиней, його необхідно розділити та ввести в різні ділянки тіла. </w:t>
      </w:r>
    </w:p>
    <w:p w14:paraId="68522A62" w14:textId="77777777" w:rsidR="00CB0682" w:rsidRPr="00351850" w:rsidRDefault="00CB0682" w:rsidP="00CB0682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351850">
        <w:rPr>
          <w:lang w:val="uk-UA"/>
        </w:rPr>
        <w:t xml:space="preserve">Перед застосуванням флакон ретельно струшують. </w:t>
      </w:r>
    </w:p>
    <w:p w14:paraId="0787C3D7" w14:textId="3330E8E3" w:rsidR="00C83886" w:rsidRPr="00351850" w:rsidRDefault="00CB0682" w:rsidP="00CB0682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351850">
        <w:rPr>
          <w:lang w:val="uk-UA"/>
        </w:rPr>
        <w:t>При кожному наступному введенні слід використовувати інше місце ін'єкції.</w:t>
      </w:r>
    </w:p>
    <w:p w14:paraId="025054A8" w14:textId="491066D7" w:rsidR="00C83886" w:rsidRPr="00351850" w:rsidRDefault="00C83886" w:rsidP="00C83886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351850">
        <w:rPr>
          <w:lang w:val="uk-UA"/>
        </w:rPr>
        <w:t>Для забезпечення правильної дози слід точно визначити масу тіла тварин, коли це можливо, щоб уникнути недостатнього дозування.</w:t>
      </w:r>
    </w:p>
    <w:p w14:paraId="50C5C203" w14:textId="77777777" w:rsidR="00B328E6" w:rsidRPr="00351850" w:rsidRDefault="00B328E6" w:rsidP="00B328E6">
      <w:pPr>
        <w:widowControl w:val="0"/>
        <w:tabs>
          <w:tab w:val="left" w:pos="0"/>
        </w:tabs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5.9 Передозування (симптоми, невідкладні заходи, антидоти)</w:t>
      </w:r>
    </w:p>
    <w:p w14:paraId="4DB0BD1D" w14:textId="68C2CE1A" w:rsidR="00B328E6" w:rsidRPr="00351850" w:rsidRDefault="00B328E6" w:rsidP="00B328E6">
      <w:pPr>
        <w:ind w:firstLine="567"/>
        <w:jc w:val="both"/>
        <w:rPr>
          <w:lang w:val="uk-UA"/>
        </w:rPr>
      </w:pPr>
      <w:r w:rsidRPr="00351850">
        <w:rPr>
          <w:lang w:val="uk-UA"/>
        </w:rPr>
        <w:t>У рекомендованих дозах застосування препарату є безпечним. Введення 5-кратної дози не спричин</w:t>
      </w:r>
      <w:r w:rsidR="0099791A">
        <w:rPr>
          <w:lang w:val="uk-UA"/>
        </w:rPr>
        <w:t>яє</w:t>
      </w:r>
      <w:bookmarkStart w:id="0" w:name="_GoBack"/>
      <w:bookmarkEnd w:id="0"/>
      <w:r w:rsidRPr="00351850">
        <w:rPr>
          <w:lang w:val="uk-UA"/>
        </w:rPr>
        <w:t xml:space="preserve"> появу побічних ефектів. У деяких тварин можлива поява місцевої реакції у місці введення, що зникає без спеціального лікування чи наслідків для тварин.</w:t>
      </w:r>
    </w:p>
    <w:p w14:paraId="1053DB14" w14:textId="77777777" w:rsidR="00B328E6" w:rsidRPr="00351850" w:rsidRDefault="00B328E6" w:rsidP="00B328E6">
      <w:pPr>
        <w:widowControl w:val="0"/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5.10 Спеціальні застереження</w:t>
      </w:r>
    </w:p>
    <w:p w14:paraId="7C084410" w14:textId="77777777" w:rsidR="00B328E6" w:rsidRPr="00351850" w:rsidRDefault="000060F7" w:rsidP="00B328E6">
      <w:pPr>
        <w:widowControl w:val="0"/>
        <w:ind w:firstLine="567"/>
        <w:jc w:val="both"/>
        <w:rPr>
          <w:lang w:val="uk-UA"/>
        </w:rPr>
      </w:pPr>
      <w:r w:rsidRPr="00351850">
        <w:rPr>
          <w:lang w:val="uk-UA"/>
        </w:rPr>
        <w:t>Відсутні</w:t>
      </w:r>
      <w:r w:rsidR="00B328E6" w:rsidRPr="00351850">
        <w:rPr>
          <w:lang w:val="uk-UA"/>
        </w:rPr>
        <w:t xml:space="preserve">. </w:t>
      </w:r>
    </w:p>
    <w:p w14:paraId="642803AF" w14:textId="77777777" w:rsidR="00B328E6" w:rsidRPr="00351850" w:rsidRDefault="00B328E6" w:rsidP="00B328E6">
      <w:pPr>
        <w:widowControl w:val="0"/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5.11 Період виведення (каренції)</w:t>
      </w:r>
    </w:p>
    <w:p w14:paraId="684BE29A" w14:textId="77777777" w:rsidR="00C83886" w:rsidRPr="00351850" w:rsidRDefault="00C83886" w:rsidP="00C83886">
      <w:pPr>
        <w:widowControl w:val="0"/>
        <w:ind w:firstLine="567"/>
        <w:jc w:val="both"/>
        <w:rPr>
          <w:i/>
          <w:lang w:val="uk-UA"/>
        </w:rPr>
      </w:pPr>
      <w:r w:rsidRPr="00351850">
        <w:rPr>
          <w:i/>
          <w:lang w:val="uk-UA"/>
        </w:rPr>
        <w:t>Свині.</w:t>
      </w:r>
    </w:p>
    <w:p w14:paraId="424110B3" w14:textId="64BC6613" w:rsidR="00C83886" w:rsidRPr="00351850" w:rsidRDefault="00C83886" w:rsidP="00C83886">
      <w:pPr>
        <w:widowControl w:val="0"/>
        <w:ind w:firstLine="567"/>
        <w:jc w:val="both"/>
        <w:rPr>
          <w:lang w:val="uk-UA"/>
        </w:rPr>
      </w:pPr>
      <w:r w:rsidRPr="00351850">
        <w:rPr>
          <w:lang w:val="uk-UA"/>
        </w:rPr>
        <w:t>М'ясо та субпродукти: 16 д</w:t>
      </w:r>
      <w:r w:rsidR="00C0157E" w:rsidRPr="00351850">
        <w:rPr>
          <w:lang w:val="uk-UA"/>
        </w:rPr>
        <w:t>іб</w:t>
      </w:r>
      <w:r w:rsidRPr="00351850">
        <w:rPr>
          <w:lang w:val="uk-UA"/>
        </w:rPr>
        <w:t>.</w:t>
      </w:r>
    </w:p>
    <w:p w14:paraId="552A8C4D" w14:textId="77777777" w:rsidR="00C83886" w:rsidRPr="00351850" w:rsidRDefault="00C83886" w:rsidP="00C83886">
      <w:pPr>
        <w:widowControl w:val="0"/>
        <w:ind w:firstLine="567"/>
        <w:jc w:val="both"/>
        <w:rPr>
          <w:i/>
          <w:lang w:val="uk-UA"/>
        </w:rPr>
      </w:pPr>
      <w:r w:rsidRPr="00351850">
        <w:rPr>
          <w:i/>
          <w:lang w:val="uk-UA"/>
        </w:rPr>
        <w:t>Велика рогата худоба.</w:t>
      </w:r>
    </w:p>
    <w:p w14:paraId="5C5547AE" w14:textId="6B2F91B7" w:rsidR="00C83886" w:rsidRPr="00351850" w:rsidRDefault="00C83886" w:rsidP="00C83886">
      <w:pPr>
        <w:widowControl w:val="0"/>
        <w:ind w:firstLine="567"/>
        <w:jc w:val="both"/>
        <w:rPr>
          <w:lang w:val="uk-UA"/>
        </w:rPr>
      </w:pPr>
      <w:r w:rsidRPr="00351850">
        <w:rPr>
          <w:lang w:val="uk-UA"/>
        </w:rPr>
        <w:t xml:space="preserve">М'ясо та субпродукти: </w:t>
      </w:r>
      <w:r w:rsidR="008A02E3" w:rsidRPr="00351850">
        <w:rPr>
          <w:lang w:val="uk-UA"/>
        </w:rPr>
        <w:t>18</w:t>
      </w:r>
      <w:r w:rsidRPr="00351850">
        <w:rPr>
          <w:lang w:val="uk-UA"/>
        </w:rPr>
        <w:t xml:space="preserve"> д</w:t>
      </w:r>
      <w:r w:rsidR="00C0157E" w:rsidRPr="00351850">
        <w:rPr>
          <w:lang w:val="uk-UA"/>
        </w:rPr>
        <w:t>іб</w:t>
      </w:r>
      <w:r w:rsidRPr="00351850">
        <w:rPr>
          <w:lang w:val="uk-UA"/>
        </w:rPr>
        <w:t>.</w:t>
      </w:r>
    </w:p>
    <w:p w14:paraId="4EABB2A8" w14:textId="24197361" w:rsidR="00C83886" w:rsidRPr="00351850" w:rsidRDefault="00C83886" w:rsidP="00C83886">
      <w:pPr>
        <w:widowControl w:val="0"/>
        <w:ind w:firstLine="567"/>
        <w:jc w:val="both"/>
        <w:rPr>
          <w:lang w:val="uk-UA"/>
        </w:rPr>
      </w:pPr>
      <w:r w:rsidRPr="00351850">
        <w:rPr>
          <w:lang w:val="uk-UA"/>
        </w:rPr>
        <w:t xml:space="preserve">Молоко: </w:t>
      </w:r>
      <w:r w:rsidR="008A02E3" w:rsidRPr="00351850">
        <w:rPr>
          <w:lang w:val="uk-UA"/>
        </w:rPr>
        <w:t>3 доби</w:t>
      </w:r>
      <w:r w:rsidRPr="00351850">
        <w:rPr>
          <w:lang w:val="uk-UA"/>
        </w:rPr>
        <w:t>.</w:t>
      </w:r>
    </w:p>
    <w:p w14:paraId="6E2243BD" w14:textId="4AE9A702" w:rsidR="00B328E6" w:rsidRPr="00351850" w:rsidRDefault="00B328E6" w:rsidP="00B328E6">
      <w:pPr>
        <w:widowControl w:val="0"/>
        <w:ind w:firstLine="567"/>
        <w:jc w:val="both"/>
        <w:rPr>
          <w:lang w:val="uk-UA"/>
        </w:rPr>
      </w:pPr>
      <w:r w:rsidRPr="00351850">
        <w:rPr>
          <w:lang w:val="uk-UA"/>
        </w:rPr>
        <w:t>Отримане до зазначеного терміну м'ясо та молоко утилізують або згодовують непродуктивним тваринам залежно від висновку лікаря ветеринарної медицини.</w:t>
      </w:r>
    </w:p>
    <w:p w14:paraId="338D8A78" w14:textId="77777777" w:rsidR="00B328E6" w:rsidRPr="00351850" w:rsidRDefault="00B328E6" w:rsidP="00B328E6">
      <w:pPr>
        <w:widowControl w:val="0"/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5.12 Спеціальні застереження для осіб і обслуговуючого персоналу</w:t>
      </w:r>
    </w:p>
    <w:p w14:paraId="5805EB25" w14:textId="2CC1C225" w:rsidR="00086D11" w:rsidRPr="00351850" w:rsidRDefault="00C83886" w:rsidP="00C83886">
      <w:pPr>
        <w:shd w:val="clear" w:color="auto" w:fill="FFFFFF"/>
        <w:tabs>
          <w:tab w:val="left" w:pos="480"/>
        </w:tabs>
        <w:spacing w:before="10" w:line="277" w:lineRule="exact"/>
        <w:ind w:firstLine="567"/>
        <w:jc w:val="both"/>
        <w:rPr>
          <w:lang w:val="uk-UA"/>
        </w:rPr>
      </w:pPr>
      <w:r w:rsidRPr="00351850">
        <w:rPr>
          <w:lang w:val="uk-UA"/>
        </w:rPr>
        <w:t>Людям з відомою гіперчутливістю до амоксициліну слід уникати контакту з ветеринарним лікарським засобом.</w:t>
      </w:r>
    </w:p>
    <w:p w14:paraId="366502D9" w14:textId="76C4526B" w:rsidR="00C30403" w:rsidRPr="00351850" w:rsidRDefault="00C83886" w:rsidP="00C83886">
      <w:pPr>
        <w:shd w:val="clear" w:color="auto" w:fill="FFFFFF"/>
        <w:tabs>
          <w:tab w:val="left" w:pos="480"/>
        </w:tabs>
        <w:spacing w:before="10" w:line="277" w:lineRule="exact"/>
        <w:jc w:val="both"/>
        <w:rPr>
          <w:lang w:val="uk-UA"/>
        </w:rPr>
      </w:pPr>
      <w:r w:rsidRPr="00351850">
        <w:rPr>
          <w:lang w:val="uk-UA"/>
        </w:rPr>
        <w:tab/>
        <w:t xml:space="preserve"> </w:t>
      </w:r>
      <w:r w:rsidR="00C30403" w:rsidRPr="00351850">
        <w:rPr>
          <w:lang w:val="uk-UA"/>
        </w:rPr>
        <w:t>У разі випадкового потрапляння на шкіру або в очі негайно промийте їх великою кількістю води.</w:t>
      </w:r>
    </w:p>
    <w:p w14:paraId="2300FFDD" w14:textId="78648ECC" w:rsidR="00C83886" w:rsidRPr="00351850" w:rsidRDefault="00C30403" w:rsidP="00C83886">
      <w:pPr>
        <w:shd w:val="clear" w:color="auto" w:fill="FFFFFF"/>
        <w:tabs>
          <w:tab w:val="left" w:pos="480"/>
        </w:tabs>
        <w:spacing w:before="10" w:line="277" w:lineRule="exact"/>
        <w:ind w:firstLine="567"/>
        <w:jc w:val="both"/>
        <w:rPr>
          <w:lang w:val="uk-UA"/>
        </w:rPr>
      </w:pPr>
      <w:r w:rsidRPr="00351850">
        <w:rPr>
          <w:lang w:val="uk-UA"/>
        </w:rPr>
        <w:t>Якщо після контакту з'явилися симптоми (почервоніння шкіри), зверніться за медичною допомогою. Набряк обличчя, губ чи очей або проблеми з диханням є серйозними ознаками, які потребують негайного медичного втручання.</w:t>
      </w:r>
      <w:r w:rsidR="00C83886" w:rsidRPr="00351850">
        <w:rPr>
          <w:lang w:val="uk-UA"/>
        </w:rPr>
        <w:t xml:space="preserve"> У разі випадкової самоін'єкції негайно зверніться за медичною допомогою та покажіть лікарю листівку-вкладку або етикетку.</w:t>
      </w:r>
    </w:p>
    <w:p w14:paraId="7CABECA9" w14:textId="77777777" w:rsidR="00B328E6" w:rsidRPr="00351850" w:rsidRDefault="00B328E6" w:rsidP="00B328E6">
      <w:pPr>
        <w:widowControl w:val="0"/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6. Фармацевтичні особливості</w:t>
      </w:r>
    </w:p>
    <w:p w14:paraId="6AA312F7" w14:textId="77777777" w:rsidR="00B328E6" w:rsidRPr="00351850" w:rsidRDefault="00B328E6" w:rsidP="00B328E6">
      <w:pPr>
        <w:widowControl w:val="0"/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6.1 Форми несумісності</w:t>
      </w:r>
    </w:p>
    <w:p w14:paraId="7DE2F6CE" w14:textId="77777777" w:rsidR="00260E26" w:rsidRPr="00351850" w:rsidRDefault="00260E26" w:rsidP="00B328E6">
      <w:pPr>
        <w:widowControl w:val="0"/>
        <w:ind w:firstLine="567"/>
        <w:jc w:val="both"/>
        <w:rPr>
          <w:lang w:val="uk-UA"/>
        </w:rPr>
      </w:pPr>
      <w:r w:rsidRPr="00351850">
        <w:rPr>
          <w:lang w:val="uk-UA"/>
        </w:rPr>
        <w:t>За відсутності досліджень сумісності цей ветеринарний лікарський засіб не слід змішувати з іншими ветеринарними лікарськими засобами.</w:t>
      </w:r>
    </w:p>
    <w:p w14:paraId="74E75E14" w14:textId="072343C9" w:rsidR="00B328E6" w:rsidRPr="00351850" w:rsidRDefault="00B328E6" w:rsidP="00B328E6">
      <w:pPr>
        <w:widowControl w:val="0"/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6.2 Термін придатності</w:t>
      </w:r>
    </w:p>
    <w:p w14:paraId="6B112AB6" w14:textId="75C9F5C1" w:rsidR="00B328E6" w:rsidRPr="00351850" w:rsidRDefault="00260E26" w:rsidP="00B328E6">
      <w:pPr>
        <w:widowControl w:val="0"/>
        <w:ind w:firstLine="567"/>
        <w:jc w:val="both"/>
        <w:rPr>
          <w:lang w:val="uk-UA"/>
        </w:rPr>
      </w:pPr>
      <w:r w:rsidRPr="00351850">
        <w:rPr>
          <w:lang w:val="uk-UA"/>
        </w:rPr>
        <w:t xml:space="preserve">2 </w:t>
      </w:r>
      <w:r w:rsidR="00B328E6" w:rsidRPr="00351850">
        <w:rPr>
          <w:lang w:val="uk-UA"/>
        </w:rPr>
        <w:t xml:space="preserve"> роки.</w:t>
      </w:r>
    </w:p>
    <w:p w14:paraId="0CA0754B" w14:textId="257C9564" w:rsidR="00B328E6" w:rsidRPr="00351850" w:rsidRDefault="00260E26" w:rsidP="00260E26">
      <w:pPr>
        <w:ind w:firstLine="567"/>
        <w:rPr>
          <w:lang w:val="uk-UA"/>
        </w:rPr>
      </w:pPr>
      <w:r w:rsidRPr="00351850">
        <w:rPr>
          <w:lang w:val="uk-UA"/>
        </w:rPr>
        <w:t xml:space="preserve">Термін придатності після першого відкриття первинної упаковки:  28 днів </w:t>
      </w:r>
      <w:r w:rsidR="00B328E6" w:rsidRPr="00351850">
        <w:rPr>
          <w:lang w:val="uk-UA"/>
        </w:rPr>
        <w:t>за умов зберігання в тем</w:t>
      </w:r>
      <w:r w:rsidRPr="00351850">
        <w:rPr>
          <w:lang w:val="uk-UA"/>
        </w:rPr>
        <w:t>ному місці за температури від 5</w:t>
      </w:r>
      <w:r w:rsidR="00B328E6" w:rsidRPr="00351850">
        <w:rPr>
          <w:lang w:val="uk-UA"/>
        </w:rPr>
        <w:t xml:space="preserve"> до 25</w:t>
      </w:r>
      <w:r w:rsidR="005B2C14" w:rsidRPr="00351850">
        <w:rPr>
          <w:lang w:val="uk-UA"/>
        </w:rPr>
        <w:t xml:space="preserve"> </w:t>
      </w:r>
      <w:r w:rsidR="000958CC" w:rsidRPr="00351850">
        <w:t>°С</w:t>
      </w:r>
      <w:r w:rsidR="00B328E6" w:rsidRPr="00351850">
        <w:rPr>
          <w:lang w:val="uk-UA"/>
        </w:rPr>
        <w:t>.</w:t>
      </w:r>
    </w:p>
    <w:p w14:paraId="02C06463" w14:textId="77777777" w:rsidR="00B328E6" w:rsidRPr="00351850" w:rsidRDefault="00B328E6" w:rsidP="00B328E6">
      <w:pPr>
        <w:widowControl w:val="0"/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6.3 Особливі заходи зберігання</w:t>
      </w:r>
    </w:p>
    <w:p w14:paraId="29D7EEE7" w14:textId="256210DC" w:rsidR="00B328E6" w:rsidRPr="00351850" w:rsidRDefault="00B328E6" w:rsidP="00B328E6">
      <w:pPr>
        <w:widowControl w:val="0"/>
        <w:ind w:firstLine="567"/>
        <w:jc w:val="both"/>
        <w:rPr>
          <w:lang w:val="uk-UA"/>
        </w:rPr>
      </w:pPr>
      <w:r w:rsidRPr="00351850">
        <w:rPr>
          <w:lang w:val="uk-UA"/>
        </w:rPr>
        <w:t>Сухе темне</w:t>
      </w:r>
      <w:r w:rsidR="00817614" w:rsidRPr="00351850">
        <w:rPr>
          <w:lang w:val="uk-UA"/>
        </w:rPr>
        <w:t>,</w:t>
      </w:r>
      <w:r w:rsidRPr="00351850">
        <w:rPr>
          <w:lang w:val="uk-UA"/>
        </w:rPr>
        <w:t xml:space="preserve"> недоступне для дітей місце за температури від </w:t>
      </w:r>
      <w:r w:rsidR="00260E26" w:rsidRPr="00351850">
        <w:rPr>
          <w:lang w:val="uk-UA"/>
        </w:rPr>
        <w:t>5</w:t>
      </w:r>
      <w:r w:rsidRPr="00351850">
        <w:rPr>
          <w:lang w:val="uk-UA"/>
        </w:rPr>
        <w:t xml:space="preserve"> до 25 °С.</w:t>
      </w:r>
    </w:p>
    <w:p w14:paraId="5BF4CB97" w14:textId="77777777" w:rsidR="00B328E6" w:rsidRPr="00351850" w:rsidRDefault="00B328E6" w:rsidP="00B328E6">
      <w:pPr>
        <w:widowControl w:val="0"/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6.4 Природа і склад контейнера первинного пакування</w:t>
      </w:r>
    </w:p>
    <w:p w14:paraId="25A0A77F" w14:textId="77777777" w:rsidR="00260E26" w:rsidRPr="00351850" w:rsidRDefault="00260E26" w:rsidP="00260E26">
      <w:pPr>
        <w:widowControl w:val="0"/>
        <w:ind w:firstLine="567"/>
        <w:jc w:val="both"/>
        <w:rPr>
          <w:lang w:val="uk-UA"/>
        </w:rPr>
      </w:pPr>
      <w:r w:rsidRPr="00351850">
        <w:rPr>
          <w:lang w:val="uk-UA"/>
        </w:rPr>
        <w:t>Прозорі поліпропіленові флакони об'ємом 50 мл, 100 мл, 250 мл та 500 мл, закриті бромбутиловою гумовою пробкою типу I, алюмінієвою кришкою та відкидною плівкою з поліпропілену високої щільності.</w:t>
      </w:r>
    </w:p>
    <w:p w14:paraId="24E88DF0" w14:textId="1F96B0B5" w:rsidR="00260E26" w:rsidRPr="00351850" w:rsidRDefault="00260E26" w:rsidP="00260E26">
      <w:pPr>
        <w:widowControl w:val="0"/>
        <w:ind w:firstLine="567"/>
        <w:jc w:val="both"/>
        <w:rPr>
          <w:b/>
          <w:lang w:val="uk-UA"/>
        </w:rPr>
      </w:pPr>
      <w:r w:rsidRPr="00351850">
        <w:rPr>
          <w:lang w:val="uk-UA"/>
        </w:rPr>
        <w:lastRenderedPageBreak/>
        <w:t>Прозорі скляні флакони об'ємом 100 мл та 250 мл типу II, закриті бромбутиловою пробкою типу I, алюмінієвою кришкою та відкидною плівкою з поліпропілену високої щільності.</w:t>
      </w:r>
      <w:r w:rsidR="00B328E6" w:rsidRPr="00351850">
        <w:rPr>
          <w:b/>
          <w:lang w:val="uk-UA"/>
        </w:rPr>
        <w:t xml:space="preserve"> </w:t>
      </w:r>
    </w:p>
    <w:p w14:paraId="2AC076D2" w14:textId="3C7D626E" w:rsidR="00260E26" w:rsidRPr="00351850" w:rsidRDefault="00260E26" w:rsidP="00260E26">
      <w:pPr>
        <w:widowControl w:val="0"/>
        <w:ind w:firstLine="567"/>
        <w:jc w:val="both"/>
        <w:rPr>
          <w:lang w:val="uk-UA"/>
        </w:rPr>
      </w:pPr>
      <w:r w:rsidRPr="00351850">
        <w:rPr>
          <w:lang w:val="uk-UA"/>
        </w:rPr>
        <w:t>Вторинна упаковка - індивідуальна картонна коробка, що містить:</w:t>
      </w:r>
    </w:p>
    <w:p w14:paraId="349B1C6C" w14:textId="77777777" w:rsidR="00260E26" w:rsidRPr="00351850" w:rsidRDefault="00260E26" w:rsidP="00260E26">
      <w:pPr>
        <w:widowControl w:val="0"/>
        <w:ind w:firstLine="567"/>
        <w:jc w:val="both"/>
        <w:rPr>
          <w:lang w:val="uk-UA"/>
        </w:rPr>
      </w:pPr>
      <w:r w:rsidRPr="00351850">
        <w:rPr>
          <w:lang w:val="uk-UA"/>
        </w:rPr>
        <w:t>1 флакон x 50 мл</w:t>
      </w:r>
    </w:p>
    <w:p w14:paraId="3D9E35AC" w14:textId="77777777" w:rsidR="00260E26" w:rsidRPr="00351850" w:rsidRDefault="00260E26" w:rsidP="00260E26">
      <w:pPr>
        <w:widowControl w:val="0"/>
        <w:ind w:firstLine="567"/>
        <w:jc w:val="both"/>
        <w:rPr>
          <w:lang w:val="uk-UA"/>
        </w:rPr>
      </w:pPr>
      <w:r w:rsidRPr="00351850">
        <w:rPr>
          <w:lang w:val="uk-UA"/>
        </w:rPr>
        <w:t>1 флакон x 100 мл</w:t>
      </w:r>
    </w:p>
    <w:p w14:paraId="16FE518C" w14:textId="797DEA89" w:rsidR="00260E26" w:rsidRPr="00351850" w:rsidRDefault="00260E26" w:rsidP="00260E26">
      <w:pPr>
        <w:widowControl w:val="0"/>
        <w:ind w:firstLine="567"/>
        <w:jc w:val="both"/>
        <w:rPr>
          <w:lang w:val="uk-UA"/>
        </w:rPr>
      </w:pPr>
      <w:r w:rsidRPr="00351850">
        <w:rPr>
          <w:lang w:val="uk-UA"/>
        </w:rPr>
        <w:t>1 флакон x 250 мл</w:t>
      </w:r>
    </w:p>
    <w:p w14:paraId="206F4E5A" w14:textId="0899FFFD" w:rsidR="00B328E6" w:rsidRPr="00351850" w:rsidRDefault="00B328E6" w:rsidP="00260E26">
      <w:pPr>
        <w:widowControl w:val="0"/>
        <w:ind w:firstLine="567"/>
        <w:jc w:val="both"/>
        <w:rPr>
          <w:b/>
          <w:lang w:val="uk-UA"/>
        </w:rPr>
      </w:pPr>
      <w:r w:rsidRPr="00351850">
        <w:rPr>
          <w:b/>
          <w:lang w:val="uk-UA"/>
        </w:rPr>
        <w:t>6.5 Особливі заходи безпеки при поводженні з невикористаним препаратом або із його залишками</w:t>
      </w:r>
    </w:p>
    <w:p w14:paraId="474F3C9A" w14:textId="77777777" w:rsidR="00260E26" w:rsidRPr="00351850" w:rsidRDefault="00260E26" w:rsidP="00B328E6">
      <w:pPr>
        <w:ind w:firstLine="567"/>
        <w:jc w:val="both"/>
        <w:rPr>
          <w:spacing w:val="-1"/>
          <w:lang w:val="uk-UA"/>
        </w:rPr>
      </w:pPr>
      <w:r w:rsidRPr="00351850">
        <w:rPr>
          <w:spacing w:val="-1"/>
          <w:lang w:val="uk-UA"/>
        </w:rPr>
        <w:t>Будь-який невикористаний ветеринарний лікарський засіб або відходи, що утворюються в результаті використання таких препаратів, слід утилізувати відповідно до місцевих вимог.</w:t>
      </w:r>
    </w:p>
    <w:p w14:paraId="6E6E14D3" w14:textId="77777777" w:rsidR="00260E26" w:rsidRPr="00351850" w:rsidRDefault="00260E26" w:rsidP="00260E26">
      <w:pPr>
        <w:ind w:left="284" w:firstLine="283"/>
        <w:jc w:val="both"/>
        <w:rPr>
          <w:b/>
          <w:bCs/>
          <w:lang w:val="uk-UA" w:eastAsia="en-US"/>
        </w:rPr>
      </w:pPr>
      <w:r w:rsidRPr="00351850">
        <w:rPr>
          <w:b/>
          <w:bCs/>
          <w:lang w:val="uk-UA" w:eastAsia="en-US"/>
        </w:rPr>
        <w:t>7. Назва та місцезнаходження власника реєстраційного посвідчення</w:t>
      </w:r>
      <w:r w:rsidRPr="00351850">
        <w:rPr>
          <w:lang w:val="uk-UA" w:eastAsia="en-US"/>
        </w:rPr>
        <w:t xml:space="preserve">        </w:t>
      </w:r>
    </w:p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5040"/>
        <w:gridCol w:w="4870"/>
      </w:tblGrid>
      <w:tr w:rsidR="00260E26" w:rsidRPr="00351850" w14:paraId="1D9413B6" w14:textId="77777777" w:rsidTr="00545975">
        <w:tc>
          <w:tcPr>
            <w:tcW w:w="5040" w:type="dxa"/>
          </w:tcPr>
          <w:p w14:paraId="1021CD81" w14:textId="77777777" w:rsidR="00260E26" w:rsidRPr="00351850" w:rsidRDefault="00260E26" w:rsidP="00260E26">
            <w:pPr>
              <w:snapToGrid w:val="0"/>
              <w:jc w:val="both"/>
              <w:rPr>
                <w:lang w:val="uk-UA" w:eastAsia="en-US"/>
              </w:rPr>
            </w:pPr>
            <w:r w:rsidRPr="00351850">
              <w:rPr>
                <w:lang w:val="uk-UA" w:eastAsia="en-US"/>
              </w:rPr>
              <w:t>Кріда Фарм С.Р.Л.</w:t>
            </w:r>
          </w:p>
          <w:p w14:paraId="7BD5823C" w14:textId="77777777" w:rsidR="00260E26" w:rsidRPr="00351850" w:rsidRDefault="00260E26" w:rsidP="00260E26">
            <w:pPr>
              <w:jc w:val="both"/>
              <w:rPr>
                <w:lang w:val="uk-UA" w:eastAsia="en-US"/>
              </w:rPr>
            </w:pPr>
            <w:r w:rsidRPr="00351850">
              <w:rPr>
                <w:lang w:val="uk-UA" w:eastAsia="en-US"/>
              </w:rPr>
              <w:t>Вул. Інтрареа Вагонетулуі 2, сектор 6</w:t>
            </w:r>
          </w:p>
          <w:p w14:paraId="48F236BA" w14:textId="77777777" w:rsidR="00260E26" w:rsidRPr="00351850" w:rsidRDefault="00260E26" w:rsidP="00260E26">
            <w:pPr>
              <w:jc w:val="both"/>
              <w:rPr>
                <w:lang w:eastAsia="en-US"/>
              </w:rPr>
            </w:pPr>
            <w:r w:rsidRPr="00351850">
              <w:rPr>
                <w:lang w:val="uk-UA" w:eastAsia="en-US"/>
              </w:rPr>
              <w:t xml:space="preserve">Бухарест, Румунія </w:t>
            </w:r>
          </w:p>
          <w:p w14:paraId="64B33C79" w14:textId="58052F8D" w:rsidR="00260E26" w:rsidRPr="00351850" w:rsidRDefault="00260E26" w:rsidP="00260E26">
            <w:pPr>
              <w:jc w:val="both"/>
              <w:rPr>
                <w:lang w:val="uk-UA" w:eastAsia="en-US"/>
              </w:rPr>
            </w:pPr>
          </w:p>
        </w:tc>
        <w:tc>
          <w:tcPr>
            <w:tcW w:w="4870" w:type="dxa"/>
          </w:tcPr>
          <w:p w14:paraId="4B23D3EF" w14:textId="77777777" w:rsidR="00260E26" w:rsidRPr="00351850" w:rsidRDefault="00260E26" w:rsidP="00260E26">
            <w:pPr>
              <w:snapToGrid w:val="0"/>
              <w:jc w:val="both"/>
              <w:rPr>
                <w:lang w:val="uk-UA" w:eastAsia="en-US"/>
              </w:rPr>
            </w:pPr>
            <w:r w:rsidRPr="00351850">
              <w:rPr>
                <w:lang w:val="en-GB" w:eastAsia="en-US"/>
              </w:rPr>
              <w:t>Crida</w:t>
            </w:r>
            <w:r w:rsidRPr="00351850">
              <w:rPr>
                <w:lang w:val="uk-UA" w:eastAsia="en-US"/>
              </w:rPr>
              <w:t xml:space="preserve"> </w:t>
            </w:r>
            <w:r w:rsidRPr="00351850">
              <w:rPr>
                <w:lang w:val="en-GB" w:eastAsia="en-US"/>
              </w:rPr>
              <w:t>Pharm</w:t>
            </w:r>
            <w:r w:rsidRPr="00351850">
              <w:rPr>
                <w:lang w:val="uk-UA" w:eastAsia="en-US"/>
              </w:rPr>
              <w:t xml:space="preserve"> </w:t>
            </w:r>
            <w:r w:rsidRPr="00351850">
              <w:rPr>
                <w:lang w:val="en-GB" w:eastAsia="en-US"/>
              </w:rPr>
              <w:t>S</w:t>
            </w:r>
            <w:r w:rsidRPr="00351850">
              <w:rPr>
                <w:lang w:val="uk-UA" w:eastAsia="en-US"/>
              </w:rPr>
              <w:t>.</w:t>
            </w:r>
            <w:r w:rsidRPr="00351850">
              <w:rPr>
                <w:lang w:val="en-GB" w:eastAsia="en-US"/>
              </w:rPr>
              <w:t>R</w:t>
            </w:r>
            <w:r w:rsidRPr="00351850">
              <w:rPr>
                <w:lang w:val="uk-UA" w:eastAsia="en-US"/>
              </w:rPr>
              <w:t>.</w:t>
            </w:r>
            <w:r w:rsidRPr="00351850">
              <w:rPr>
                <w:lang w:val="en-GB" w:eastAsia="en-US"/>
              </w:rPr>
              <w:t>L</w:t>
            </w:r>
            <w:r w:rsidRPr="00351850">
              <w:rPr>
                <w:lang w:val="uk-UA" w:eastAsia="en-US"/>
              </w:rPr>
              <w:t>.</w:t>
            </w:r>
          </w:p>
          <w:p w14:paraId="388659D5" w14:textId="77777777" w:rsidR="00260E26" w:rsidRPr="00351850" w:rsidRDefault="00260E26" w:rsidP="00260E26">
            <w:pPr>
              <w:jc w:val="both"/>
              <w:rPr>
                <w:lang w:val="uk-UA" w:eastAsia="en-US"/>
              </w:rPr>
            </w:pPr>
            <w:r w:rsidRPr="00351850">
              <w:rPr>
                <w:lang w:val="en-GB" w:eastAsia="en-US"/>
              </w:rPr>
              <w:t>Str</w:t>
            </w:r>
            <w:r w:rsidRPr="00351850">
              <w:rPr>
                <w:lang w:val="uk-UA" w:eastAsia="en-US"/>
              </w:rPr>
              <w:t xml:space="preserve">. </w:t>
            </w:r>
            <w:r w:rsidRPr="00351850">
              <w:rPr>
                <w:lang w:val="en-GB" w:eastAsia="en-US"/>
              </w:rPr>
              <w:t>Intrarea</w:t>
            </w:r>
            <w:r w:rsidRPr="00351850">
              <w:rPr>
                <w:lang w:val="uk-UA" w:eastAsia="en-US"/>
              </w:rPr>
              <w:t xml:space="preserve"> </w:t>
            </w:r>
            <w:r w:rsidRPr="00351850">
              <w:rPr>
                <w:lang w:val="en-GB" w:eastAsia="en-US"/>
              </w:rPr>
              <w:t>Vagonetului</w:t>
            </w:r>
            <w:r w:rsidRPr="00351850">
              <w:rPr>
                <w:lang w:val="uk-UA" w:eastAsia="en-US"/>
              </w:rPr>
              <w:t xml:space="preserve">, 2, </w:t>
            </w:r>
            <w:r w:rsidRPr="00351850">
              <w:rPr>
                <w:lang w:val="en-GB" w:eastAsia="en-US"/>
              </w:rPr>
              <w:t>sector 6</w:t>
            </w:r>
          </w:p>
          <w:p w14:paraId="15310A56" w14:textId="77777777" w:rsidR="00260E26" w:rsidRPr="00351850" w:rsidRDefault="00260E26" w:rsidP="00260E26">
            <w:pPr>
              <w:jc w:val="both"/>
              <w:rPr>
                <w:lang w:val="en-GB" w:eastAsia="en-US"/>
              </w:rPr>
            </w:pPr>
            <w:r w:rsidRPr="00351850">
              <w:rPr>
                <w:lang w:val="en-GB" w:eastAsia="en-US"/>
              </w:rPr>
              <w:t>Bucharest, Romania</w:t>
            </w:r>
          </w:p>
          <w:p w14:paraId="0F35CA06" w14:textId="5E5E057B" w:rsidR="00260E26" w:rsidRPr="00351850" w:rsidRDefault="00260E26" w:rsidP="00260E26">
            <w:pPr>
              <w:jc w:val="both"/>
              <w:rPr>
                <w:lang w:val="en-US" w:eastAsia="en-US"/>
              </w:rPr>
            </w:pPr>
          </w:p>
        </w:tc>
      </w:tr>
    </w:tbl>
    <w:p w14:paraId="54C4E430" w14:textId="77777777" w:rsidR="00260E26" w:rsidRPr="00351850" w:rsidRDefault="00260E26" w:rsidP="00260E26">
      <w:pPr>
        <w:ind w:firstLine="567"/>
        <w:jc w:val="both"/>
        <w:rPr>
          <w:b/>
          <w:bCs/>
          <w:lang w:val="uk-UA" w:eastAsia="en-US"/>
        </w:rPr>
      </w:pPr>
      <w:r w:rsidRPr="00351850">
        <w:rPr>
          <w:b/>
          <w:bCs/>
          <w:lang w:val="uk-UA" w:eastAsia="en-US"/>
        </w:rPr>
        <w:t>8. Назва та місцезнаходження виробника (виробників)</w:t>
      </w:r>
    </w:p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5040"/>
        <w:gridCol w:w="4870"/>
      </w:tblGrid>
      <w:tr w:rsidR="00260E26" w:rsidRPr="00351850" w14:paraId="063AF2CA" w14:textId="77777777" w:rsidTr="00545975">
        <w:tc>
          <w:tcPr>
            <w:tcW w:w="5040" w:type="dxa"/>
          </w:tcPr>
          <w:p w14:paraId="2072F2AF" w14:textId="77777777" w:rsidR="00260E26" w:rsidRPr="00351850" w:rsidRDefault="00260E26" w:rsidP="00260E26">
            <w:pPr>
              <w:snapToGrid w:val="0"/>
              <w:jc w:val="both"/>
              <w:rPr>
                <w:lang w:val="uk-UA" w:eastAsia="en-US"/>
              </w:rPr>
            </w:pPr>
            <w:r w:rsidRPr="00351850">
              <w:rPr>
                <w:lang w:val="uk-UA" w:eastAsia="en-US"/>
              </w:rPr>
              <w:t>Кріда Фарм С.Р.Л.</w:t>
            </w:r>
          </w:p>
          <w:p w14:paraId="74D4F6F7" w14:textId="77777777" w:rsidR="00260E26" w:rsidRPr="00351850" w:rsidRDefault="00260E26" w:rsidP="00260E26">
            <w:pPr>
              <w:jc w:val="both"/>
              <w:rPr>
                <w:lang w:val="uk-UA" w:eastAsia="en-US"/>
              </w:rPr>
            </w:pPr>
            <w:r w:rsidRPr="00351850">
              <w:rPr>
                <w:lang w:val="uk-UA" w:eastAsia="en-US"/>
              </w:rPr>
              <w:t xml:space="preserve">Вул. Стадіонулуі, 1  Олтеніта, Джудетул </w:t>
            </w:r>
          </w:p>
          <w:p w14:paraId="2913684E" w14:textId="77777777" w:rsidR="00260E26" w:rsidRPr="00351850" w:rsidRDefault="00260E26" w:rsidP="00260E26">
            <w:pPr>
              <w:jc w:val="both"/>
              <w:rPr>
                <w:lang w:val="uk-UA" w:eastAsia="en-US"/>
              </w:rPr>
            </w:pPr>
            <w:r w:rsidRPr="00351850">
              <w:rPr>
                <w:lang w:val="uk-UA" w:eastAsia="en-US"/>
              </w:rPr>
              <w:t>Каларасі, 915400</w:t>
            </w:r>
          </w:p>
          <w:p w14:paraId="68953480" w14:textId="77777777" w:rsidR="00260E26" w:rsidRPr="00351850" w:rsidRDefault="00260E26" w:rsidP="00260E26">
            <w:pPr>
              <w:jc w:val="both"/>
              <w:rPr>
                <w:lang w:val="uk-UA" w:eastAsia="en-US"/>
              </w:rPr>
            </w:pPr>
            <w:r w:rsidRPr="00351850">
              <w:rPr>
                <w:lang w:val="uk-UA" w:eastAsia="en-US"/>
              </w:rPr>
              <w:t>Румунія</w:t>
            </w:r>
          </w:p>
          <w:p w14:paraId="4C647E81" w14:textId="038520F2" w:rsidR="00260E26" w:rsidRPr="00351850" w:rsidRDefault="00260E26" w:rsidP="00260E26">
            <w:pPr>
              <w:jc w:val="both"/>
              <w:rPr>
                <w:lang w:val="uk-UA" w:eastAsia="en-US"/>
              </w:rPr>
            </w:pPr>
          </w:p>
        </w:tc>
        <w:tc>
          <w:tcPr>
            <w:tcW w:w="4870" w:type="dxa"/>
          </w:tcPr>
          <w:p w14:paraId="4655EE2F" w14:textId="77777777" w:rsidR="00260E26" w:rsidRPr="00351850" w:rsidRDefault="00260E26" w:rsidP="00260E26">
            <w:pPr>
              <w:snapToGrid w:val="0"/>
              <w:jc w:val="both"/>
              <w:rPr>
                <w:lang w:val="uk-UA" w:eastAsia="en-US"/>
              </w:rPr>
            </w:pPr>
            <w:r w:rsidRPr="00351850">
              <w:rPr>
                <w:lang w:val="en-US" w:eastAsia="en-US"/>
              </w:rPr>
              <w:t>Crida</w:t>
            </w:r>
            <w:r w:rsidRPr="00351850">
              <w:rPr>
                <w:lang w:val="uk-UA" w:eastAsia="en-US"/>
              </w:rPr>
              <w:t xml:space="preserve"> </w:t>
            </w:r>
            <w:r w:rsidRPr="00351850">
              <w:rPr>
                <w:lang w:val="en-US" w:eastAsia="en-US"/>
              </w:rPr>
              <w:t>Pharm</w:t>
            </w:r>
            <w:r w:rsidRPr="00351850">
              <w:rPr>
                <w:lang w:val="uk-UA" w:eastAsia="en-US"/>
              </w:rPr>
              <w:t xml:space="preserve"> </w:t>
            </w:r>
            <w:r w:rsidRPr="00351850">
              <w:rPr>
                <w:lang w:val="en-US" w:eastAsia="en-US"/>
              </w:rPr>
              <w:t>S</w:t>
            </w:r>
            <w:r w:rsidRPr="00351850">
              <w:rPr>
                <w:lang w:val="uk-UA" w:eastAsia="en-US"/>
              </w:rPr>
              <w:t>.</w:t>
            </w:r>
            <w:r w:rsidRPr="00351850">
              <w:rPr>
                <w:lang w:val="en-US" w:eastAsia="en-US"/>
              </w:rPr>
              <w:t>R</w:t>
            </w:r>
            <w:r w:rsidRPr="00351850">
              <w:rPr>
                <w:lang w:val="uk-UA" w:eastAsia="en-US"/>
              </w:rPr>
              <w:t>.</w:t>
            </w:r>
            <w:r w:rsidRPr="00351850">
              <w:rPr>
                <w:lang w:val="en-US" w:eastAsia="en-US"/>
              </w:rPr>
              <w:t>L</w:t>
            </w:r>
            <w:r w:rsidRPr="00351850">
              <w:rPr>
                <w:lang w:val="uk-UA" w:eastAsia="en-US"/>
              </w:rPr>
              <w:t>.</w:t>
            </w:r>
          </w:p>
          <w:p w14:paraId="699F5A50" w14:textId="77777777" w:rsidR="00260E26" w:rsidRPr="00351850" w:rsidRDefault="00260E26" w:rsidP="00260E26">
            <w:pPr>
              <w:jc w:val="both"/>
              <w:rPr>
                <w:lang w:val="uk-UA" w:eastAsia="en-US"/>
              </w:rPr>
            </w:pPr>
            <w:r w:rsidRPr="0099791A">
              <w:rPr>
                <w:lang w:val="fr-FR" w:eastAsia="en-US"/>
              </w:rPr>
              <w:t>Str</w:t>
            </w:r>
            <w:r w:rsidRPr="00351850">
              <w:rPr>
                <w:lang w:val="uk-UA" w:eastAsia="en-US"/>
              </w:rPr>
              <w:t xml:space="preserve">. </w:t>
            </w:r>
            <w:r w:rsidRPr="0099791A">
              <w:rPr>
                <w:lang w:val="fr-FR" w:eastAsia="en-US"/>
              </w:rPr>
              <w:t>Stadionului</w:t>
            </w:r>
            <w:r w:rsidRPr="00351850">
              <w:rPr>
                <w:lang w:val="uk-UA" w:eastAsia="en-US"/>
              </w:rPr>
              <w:t xml:space="preserve"> 1 </w:t>
            </w:r>
            <w:r w:rsidRPr="0099791A">
              <w:rPr>
                <w:lang w:val="fr-FR" w:eastAsia="en-US"/>
              </w:rPr>
              <w:t>Oltenita</w:t>
            </w:r>
            <w:r w:rsidRPr="00351850">
              <w:rPr>
                <w:lang w:val="uk-UA" w:eastAsia="en-US"/>
              </w:rPr>
              <w:t xml:space="preserve">, </w:t>
            </w:r>
            <w:r w:rsidRPr="0099791A">
              <w:rPr>
                <w:lang w:val="fr-FR" w:eastAsia="en-US"/>
              </w:rPr>
              <w:t>Judetul</w:t>
            </w:r>
            <w:r w:rsidRPr="00351850">
              <w:rPr>
                <w:lang w:val="uk-UA" w:eastAsia="en-US"/>
              </w:rPr>
              <w:t xml:space="preserve"> </w:t>
            </w:r>
            <w:r w:rsidRPr="0099791A">
              <w:rPr>
                <w:lang w:val="fr-FR" w:eastAsia="en-US"/>
              </w:rPr>
              <w:t>Calarasi</w:t>
            </w:r>
            <w:r w:rsidRPr="00351850">
              <w:rPr>
                <w:lang w:val="uk-UA" w:eastAsia="en-US"/>
              </w:rPr>
              <w:t>, 915400</w:t>
            </w:r>
          </w:p>
          <w:p w14:paraId="215895B7" w14:textId="77777777" w:rsidR="00260E26" w:rsidRPr="00351850" w:rsidRDefault="00260E26" w:rsidP="00260E26">
            <w:pPr>
              <w:jc w:val="both"/>
              <w:rPr>
                <w:lang w:val="uk-UA" w:eastAsia="en-US"/>
              </w:rPr>
            </w:pPr>
            <w:r w:rsidRPr="00351850">
              <w:rPr>
                <w:lang w:val="en-US" w:eastAsia="en-US"/>
              </w:rPr>
              <w:t>Romania</w:t>
            </w:r>
          </w:p>
          <w:p w14:paraId="31CC508D" w14:textId="59FE1554" w:rsidR="00260E26" w:rsidRPr="00351850" w:rsidRDefault="00260E26" w:rsidP="00260E26">
            <w:pPr>
              <w:jc w:val="both"/>
              <w:rPr>
                <w:lang w:val="en-US" w:eastAsia="en-US"/>
              </w:rPr>
            </w:pPr>
          </w:p>
        </w:tc>
      </w:tr>
    </w:tbl>
    <w:p w14:paraId="1E80E063" w14:textId="77777777" w:rsidR="00260E26" w:rsidRPr="00260E26" w:rsidRDefault="00260E26" w:rsidP="00260E26">
      <w:pPr>
        <w:tabs>
          <w:tab w:val="left" w:pos="2130"/>
          <w:tab w:val="left" w:pos="9639"/>
          <w:tab w:val="left" w:pos="10065"/>
          <w:tab w:val="left" w:pos="10206"/>
        </w:tabs>
        <w:ind w:firstLine="567"/>
        <w:jc w:val="both"/>
      </w:pPr>
      <w:r w:rsidRPr="00351850">
        <w:rPr>
          <w:b/>
          <w:bCs/>
          <w:lang w:val="uk-UA" w:eastAsia="en-US"/>
        </w:rPr>
        <w:t>9. Додаткова інформація</w:t>
      </w:r>
    </w:p>
    <w:p w14:paraId="24A957AD" w14:textId="77777777" w:rsidR="00945451" w:rsidRPr="00C30403" w:rsidRDefault="00945451" w:rsidP="00B328E6">
      <w:pPr>
        <w:rPr>
          <w:lang w:val="uk-UA"/>
        </w:rPr>
      </w:pPr>
    </w:p>
    <w:sectPr w:rsidR="00945451" w:rsidRPr="00C30403" w:rsidSect="00260E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851" w:right="454" w:bottom="45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AB568" w14:textId="77777777" w:rsidR="00603384" w:rsidRDefault="00603384">
      <w:r>
        <w:separator/>
      </w:r>
    </w:p>
  </w:endnote>
  <w:endnote w:type="continuationSeparator" w:id="0">
    <w:p w14:paraId="0FC5C29D" w14:textId="77777777" w:rsidR="00603384" w:rsidRDefault="00603384">
      <w:r>
        <w:continuationSeparator/>
      </w:r>
    </w:p>
  </w:endnote>
  <w:endnote w:type="continuationNotice" w:id="1">
    <w:p w14:paraId="77148664" w14:textId="77777777" w:rsidR="00603384" w:rsidRDefault="00603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wiss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AE71B" w14:textId="77777777" w:rsidR="00545975" w:rsidRDefault="0054597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0ED4" w14:textId="6643D415" w:rsidR="00545975" w:rsidRDefault="0054597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9791A">
      <w:rPr>
        <w:noProof/>
      </w:rPr>
      <w:t>2</w:t>
    </w:r>
    <w:r>
      <w:fldChar w:fldCharType="end"/>
    </w:r>
  </w:p>
  <w:p w14:paraId="0A5A89C6" w14:textId="77777777" w:rsidR="00545975" w:rsidRDefault="00545975">
    <w:pPr>
      <w:pStyle w:val="a9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FFF9A" w14:textId="77777777" w:rsidR="00545975" w:rsidRDefault="005459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4BAED" w14:textId="77777777" w:rsidR="00603384" w:rsidRDefault="00603384">
      <w:r>
        <w:separator/>
      </w:r>
    </w:p>
  </w:footnote>
  <w:footnote w:type="continuationSeparator" w:id="0">
    <w:p w14:paraId="560CAC4D" w14:textId="77777777" w:rsidR="00603384" w:rsidRDefault="00603384">
      <w:r>
        <w:continuationSeparator/>
      </w:r>
    </w:p>
  </w:footnote>
  <w:footnote w:type="continuationNotice" w:id="1">
    <w:p w14:paraId="51415961" w14:textId="77777777" w:rsidR="00603384" w:rsidRDefault="00603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C0145" w14:textId="77777777" w:rsidR="00545975" w:rsidRDefault="0054597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FF8A" w14:textId="2E51D55D" w:rsidR="00545975" w:rsidRPr="002F304E" w:rsidRDefault="00545975" w:rsidP="000B76A3">
    <w:pPr>
      <w:ind w:left="4956"/>
      <w:jc w:val="right"/>
      <w:rPr>
        <w:lang w:val="uk-UA"/>
      </w:rPr>
    </w:pPr>
    <w:r>
      <w:rPr>
        <w:lang w:val="uk-UA"/>
      </w:rPr>
      <w:t>Д</w:t>
    </w:r>
    <w:r w:rsidRPr="002F304E">
      <w:rPr>
        <w:lang w:val="uk-UA"/>
      </w:rPr>
      <w:t>о</w:t>
    </w:r>
    <w:r>
      <w:rPr>
        <w:lang w:val="uk-UA"/>
      </w:rPr>
      <w:t>даток</w:t>
    </w:r>
    <w:r w:rsidRPr="002F304E">
      <w:rPr>
        <w:lang w:val="uk-UA"/>
      </w:rPr>
      <w:t xml:space="preserve"> 1</w:t>
    </w:r>
  </w:p>
  <w:p w14:paraId="06321E2A" w14:textId="3B9F9BDB" w:rsidR="00545975" w:rsidRPr="002F304E" w:rsidRDefault="00545975" w:rsidP="000B76A3">
    <w:pPr>
      <w:widowControl w:val="0"/>
      <w:ind w:firstLine="567"/>
      <w:jc w:val="right"/>
      <w:rPr>
        <w:lang w:val="uk-UA"/>
      </w:rPr>
    </w:pPr>
    <w:r w:rsidRPr="002F304E">
      <w:rPr>
        <w:lang w:val="uk-UA"/>
      </w:rPr>
      <w:t xml:space="preserve">до реєстраційного посвідчення </w:t>
    </w:r>
    <w:r>
      <w:rPr>
        <w:rStyle w:val="HTML"/>
        <w:rFonts w:ascii="Times New Roman" w:hAnsi="Times New Roman" w:cs="Times New Roman"/>
        <w:lang w:val="uk-UA"/>
      </w:rPr>
      <w:t>АА-00000-01-00</w:t>
    </w:r>
  </w:p>
  <w:p w14:paraId="76ECCA1D" w14:textId="77777777" w:rsidR="00545975" w:rsidRPr="000B76A3" w:rsidRDefault="00545975">
    <w:pPr>
      <w:pStyle w:val="af0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3801B" w14:textId="77777777" w:rsidR="00545975" w:rsidRDefault="0054597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11"/>
    <w:rsid w:val="000060F7"/>
    <w:rsid w:val="00031FD5"/>
    <w:rsid w:val="00052C45"/>
    <w:rsid w:val="00086601"/>
    <w:rsid w:val="00086D11"/>
    <w:rsid w:val="0009071A"/>
    <w:rsid w:val="000958CC"/>
    <w:rsid w:val="000965EF"/>
    <w:rsid w:val="00097B43"/>
    <w:rsid w:val="000B3F8A"/>
    <w:rsid w:val="000B76A3"/>
    <w:rsid w:val="000D203C"/>
    <w:rsid w:val="000E5500"/>
    <w:rsid w:val="000F12D3"/>
    <w:rsid w:val="000F2B39"/>
    <w:rsid w:val="00121B8A"/>
    <w:rsid w:val="00131D89"/>
    <w:rsid w:val="0015364C"/>
    <w:rsid w:val="0016526F"/>
    <w:rsid w:val="00174209"/>
    <w:rsid w:val="00174B16"/>
    <w:rsid w:val="001A526B"/>
    <w:rsid w:val="001C21E0"/>
    <w:rsid w:val="001F1A9B"/>
    <w:rsid w:val="00220447"/>
    <w:rsid w:val="0022258B"/>
    <w:rsid w:val="002606D4"/>
    <w:rsid w:val="00260E26"/>
    <w:rsid w:val="00262EB0"/>
    <w:rsid w:val="00290FED"/>
    <w:rsid w:val="002B412F"/>
    <w:rsid w:val="002B721B"/>
    <w:rsid w:val="002E5E66"/>
    <w:rsid w:val="002F304E"/>
    <w:rsid w:val="002F76D0"/>
    <w:rsid w:val="00311788"/>
    <w:rsid w:val="00312713"/>
    <w:rsid w:val="00351850"/>
    <w:rsid w:val="003577F1"/>
    <w:rsid w:val="0036162A"/>
    <w:rsid w:val="00362C56"/>
    <w:rsid w:val="00377E7E"/>
    <w:rsid w:val="00393FBD"/>
    <w:rsid w:val="003B73D5"/>
    <w:rsid w:val="003C0A6B"/>
    <w:rsid w:val="003C2B0E"/>
    <w:rsid w:val="003C6379"/>
    <w:rsid w:val="003F2DF0"/>
    <w:rsid w:val="003F71C8"/>
    <w:rsid w:val="00431FF4"/>
    <w:rsid w:val="00437E41"/>
    <w:rsid w:val="00447E90"/>
    <w:rsid w:val="004570BB"/>
    <w:rsid w:val="00460F5B"/>
    <w:rsid w:val="004B4D20"/>
    <w:rsid w:val="004B69EA"/>
    <w:rsid w:val="004C69BF"/>
    <w:rsid w:val="004D3EB5"/>
    <w:rsid w:val="005408DB"/>
    <w:rsid w:val="00542109"/>
    <w:rsid w:val="00545975"/>
    <w:rsid w:val="00573810"/>
    <w:rsid w:val="0057655F"/>
    <w:rsid w:val="00577317"/>
    <w:rsid w:val="005B2C14"/>
    <w:rsid w:val="005F0F22"/>
    <w:rsid w:val="005F6E4C"/>
    <w:rsid w:val="00603384"/>
    <w:rsid w:val="00632D7B"/>
    <w:rsid w:val="00633492"/>
    <w:rsid w:val="006742C0"/>
    <w:rsid w:val="00684E2C"/>
    <w:rsid w:val="006B453D"/>
    <w:rsid w:val="006E7538"/>
    <w:rsid w:val="007126B0"/>
    <w:rsid w:val="007410E5"/>
    <w:rsid w:val="00761E8A"/>
    <w:rsid w:val="00764CA3"/>
    <w:rsid w:val="00791C5B"/>
    <w:rsid w:val="00792BCC"/>
    <w:rsid w:val="007B221C"/>
    <w:rsid w:val="007B64FD"/>
    <w:rsid w:val="007E4427"/>
    <w:rsid w:val="0080338D"/>
    <w:rsid w:val="00815E5F"/>
    <w:rsid w:val="00817614"/>
    <w:rsid w:val="008318BE"/>
    <w:rsid w:val="0083212A"/>
    <w:rsid w:val="0086157B"/>
    <w:rsid w:val="00865B5F"/>
    <w:rsid w:val="00894EC9"/>
    <w:rsid w:val="00897010"/>
    <w:rsid w:val="008A02E3"/>
    <w:rsid w:val="008B69A3"/>
    <w:rsid w:val="008B779B"/>
    <w:rsid w:val="008C5F65"/>
    <w:rsid w:val="008D39D1"/>
    <w:rsid w:val="00902B7E"/>
    <w:rsid w:val="009042D1"/>
    <w:rsid w:val="0092338F"/>
    <w:rsid w:val="00941B00"/>
    <w:rsid w:val="00945451"/>
    <w:rsid w:val="00947298"/>
    <w:rsid w:val="009640EF"/>
    <w:rsid w:val="0099791A"/>
    <w:rsid w:val="009A7AF2"/>
    <w:rsid w:val="009C4A9D"/>
    <w:rsid w:val="009D26B9"/>
    <w:rsid w:val="00A0165B"/>
    <w:rsid w:val="00A32CC4"/>
    <w:rsid w:val="00A346FC"/>
    <w:rsid w:val="00A67137"/>
    <w:rsid w:val="00A74D90"/>
    <w:rsid w:val="00A9376A"/>
    <w:rsid w:val="00AA1654"/>
    <w:rsid w:val="00AB09F1"/>
    <w:rsid w:val="00AB36DB"/>
    <w:rsid w:val="00AF245E"/>
    <w:rsid w:val="00B328E6"/>
    <w:rsid w:val="00B97121"/>
    <w:rsid w:val="00BA002A"/>
    <w:rsid w:val="00BA1959"/>
    <w:rsid w:val="00BC40A4"/>
    <w:rsid w:val="00BD7B98"/>
    <w:rsid w:val="00BF205F"/>
    <w:rsid w:val="00C0157E"/>
    <w:rsid w:val="00C30403"/>
    <w:rsid w:val="00C338DE"/>
    <w:rsid w:val="00C3776F"/>
    <w:rsid w:val="00C66F79"/>
    <w:rsid w:val="00C67105"/>
    <w:rsid w:val="00C83886"/>
    <w:rsid w:val="00C85FE0"/>
    <w:rsid w:val="00C92F06"/>
    <w:rsid w:val="00CB0682"/>
    <w:rsid w:val="00CB3AAB"/>
    <w:rsid w:val="00CD55E1"/>
    <w:rsid w:val="00CF4259"/>
    <w:rsid w:val="00CF7EF6"/>
    <w:rsid w:val="00D10765"/>
    <w:rsid w:val="00D42AC3"/>
    <w:rsid w:val="00D44877"/>
    <w:rsid w:val="00D578F1"/>
    <w:rsid w:val="00D73B33"/>
    <w:rsid w:val="00D7590F"/>
    <w:rsid w:val="00D81311"/>
    <w:rsid w:val="00D86C3B"/>
    <w:rsid w:val="00DB3771"/>
    <w:rsid w:val="00DC7CAD"/>
    <w:rsid w:val="00E15096"/>
    <w:rsid w:val="00E16D3A"/>
    <w:rsid w:val="00E30FCC"/>
    <w:rsid w:val="00E62260"/>
    <w:rsid w:val="00E75510"/>
    <w:rsid w:val="00E8067A"/>
    <w:rsid w:val="00E80E9C"/>
    <w:rsid w:val="00ED7E73"/>
    <w:rsid w:val="00EF64EC"/>
    <w:rsid w:val="00F13671"/>
    <w:rsid w:val="00F14571"/>
    <w:rsid w:val="00F3685E"/>
    <w:rsid w:val="00FA09BD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25565"/>
  <w15:docId w15:val="{CA4A6E98-265A-42BD-B5B8-8C16EA74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7538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1">
    <w:name w:val="Назв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Покажчик"/>
    <w:basedOn w:val="a"/>
    <w:pPr>
      <w:suppressLineNumbers/>
    </w:pPr>
    <w:rPr>
      <w:rFonts w:cs="Tahoma"/>
    </w:r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customStyle="1" w:styleId="a8">
    <w:name w:val="Вміст таблиці"/>
    <w:basedOn w:val="a"/>
    <w:pPr>
      <w:suppressLineNumbers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Style2">
    <w:name w:val="Style2"/>
    <w:basedOn w:val="a"/>
    <w:pPr>
      <w:widowControl w:val="0"/>
      <w:autoSpaceDE w:val="0"/>
    </w:pPr>
  </w:style>
  <w:style w:type="paragraph" w:customStyle="1" w:styleId="bekezdes">
    <w:name w:val="bekezdes"/>
    <w:basedOn w:val="a"/>
    <w:pPr>
      <w:suppressAutoHyphens w:val="0"/>
      <w:ind w:left="284"/>
    </w:pPr>
    <w:rPr>
      <w:b/>
      <w:szCs w:val="20"/>
      <w:lang w:val="en-GB"/>
    </w:rPr>
  </w:style>
  <w:style w:type="paragraph" w:customStyle="1" w:styleId="12">
    <w:name w:val="Звичайний1"/>
    <w:pPr>
      <w:widowControl w:val="0"/>
      <w:suppressAutoHyphens/>
    </w:pPr>
    <w:rPr>
      <w:rFonts w:eastAsia="Arial"/>
      <w:lang w:val="ru-RU" w:eastAsia="ar-SA"/>
    </w:rPr>
  </w:style>
  <w:style w:type="paragraph" w:customStyle="1" w:styleId="ab">
    <w:name w:val="Заголовок таблиці"/>
    <w:basedOn w:val="a8"/>
    <w:pPr>
      <w:jc w:val="center"/>
    </w:pPr>
    <w:rPr>
      <w:b/>
      <w:bCs/>
    </w:rPr>
  </w:style>
  <w:style w:type="paragraph" w:customStyle="1" w:styleId="ac">
    <w:name w:val="Вміст кадру"/>
    <w:basedOn w:val="a5"/>
  </w:style>
  <w:style w:type="paragraph" w:customStyle="1" w:styleId="ad">
    <w:basedOn w:val="a"/>
    <w:rsid w:val="006E753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1C21E0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1C21E0"/>
    <w:rPr>
      <w:rFonts w:ascii="Tahoma" w:hAnsi="Tahoma" w:cs="Tahoma"/>
      <w:sz w:val="16"/>
      <w:szCs w:val="16"/>
      <w:lang w:eastAsia="ar-SA"/>
    </w:rPr>
  </w:style>
  <w:style w:type="paragraph" w:styleId="af0">
    <w:name w:val="header"/>
    <w:basedOn w:val="a"/>
    <w:link w:val="af1"/>
    <w:uiPriority w:val="99"/>
    <w:unhideWhenUsed/>
    <w:rsid w:val="009C4A9D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link w:val="af0"/>
    <w:uiPriority w:val="99"/>
    <w:rsid w:val="009C4A9D"/>
    <w:rPr>
      <w:sz w:val="24"/>
      <w:szCs w:val="24"/>
      <w:lang w:val="ru-RU" w:eastAsia="ar-SA"/>
    </w:rPr>
  </w:style>
  <w:style w:type="character" w:customStyle="1" w:styleId="aa">
    <w:name w:val="Нижній колонтитул Знак"/>
    <w:link w:val="a9"/>
    <w:uiPriority w:val="99"/>
    <w:rsid w:val="009C4A9D"/>
    <w:rPr>
      <w:sz w:val="24"/>
      <w:szCs w:val="24"/>
      <w:lang w:val="ru-RU" w:eastAsia="ar-SA"/>
    </w:rPr>
  </w:style>
  <w:style w:type="character" w:styleId="HTML">
    <w:name w:val="HTML Sample"/>
    <w:semiHidden/>
    <w:unhideWhenUsed/>
    <w:rsid w:val="00086D11"/>
    <w:rPr>
      <w:rFonts w:ascii="Courier New" w:eastAsia="Times New Roman" w:hAnsi="Courier New" w:cs="Courier New" w:hint="default"/>
    </w:rPr>
  </w:style>
  <w:style w:type="paragraph" w:styleId="3">
    <w:name w:val="Body Text Indent 3"/>
    <w:basedOn w:val="a"/>
    <w:link w:val="30"/>
    <w:semiHidden/>
    <w:unhideWhenUsed/>
    <w:rsid w:val="000060F7"/>
    <w:pPr>
      <w:widowControl w:val="0"/>
      <w:suppressAutoHyphens w:val="0"/>
      <w:snapToGrid w:val="0"/>
      <w:ind w:firstLine="851"/>
      <w:jc w:val="both"/>
    </w:pPr>
    <w:rPr>
      <w:snapToGrid w:val="0"/>
      <w:sz w:val="28"/>
      <w:szCs w:val="20"/>
      <w:lang w:val="x-none" w:eastAsia="ru-RU"/>
    </w:rPr>
  </w:style>
  <w:style w:type="character" w:customStyle="1" w:styleId="30">
    <w:name w:val="Основний текст з відступом 3 Знак"/>
    <w:link w:val="3"/>
    <w:semiHidden/>
    <w:rsid w:val="000060F7"/>
    <w:rPr>
      <w:snapToGrid w:val="0"/>
      <w:sz w:val="28"/>
      <w:lang w:val="x-none" w:eastAsia="ru-RU"/>
    </w:rPr>
  </w:style>
  <w:style w:type="paragraph" w:styleId="af2">
    <w:name w:val="Revision"/>
    <w:hidden/>
    <w:uiPriority w:val="99"/>
    <w:semiHidden/>
    <w:rsid w:val="006742C0"/>
    <w:rPr>
      <w:sz w:val="24"/>
      <w:szCs w:val="24"/>
      <w:lang w:val="ru-RU" w:eastAsia="ar-SA"/>
    </w:rPr>
  </w:style>
  <w:style w:type="paragraph" w:styleId="af3">
    <w:name w:val="No Spacing"/>
    <w:uiPriority w:val="1"/>
    <w:qFormat/>
    <w:rsid w:val="00D44877"/>
    <w:pPr>
      <w:suppressAutoHyphens/>
    </w:pPr>
    <w:rPr>
      <w:rFonts w:ascii="Swiss" w:hAnsi="Swiss" w:cs="Swiss"/>
      <w:spacing w:val="-3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44304-AA7D-465E-96DA-1312671B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6525</Words>
  <Characters>3720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A.Starovir</dc:creator>
  <cp:lastModifiedBy>admin</cp:lastModifiedBy>
  <cp:revision>14</cp:revision>
  <cp:lastPrinted>2020-03-28T21:35:00Z</cp:lastPrinted>
  <dcterms:created xsi:type="dcterms:W3CDTF">2026-01-13T12:47:00Z</dcterms:created>
  <dcterms:modified xsi:type="dcterms:W3CDTF">2026-01-17T09:25:00Z</dcterms:modified>
</cp:coreProperties>
</file>