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1CB4D" w14:textId="77777777" w:rsidR="0057510D" w:rsidRPr="003D62D3" w:rsidRDefault="0057510D" w:rsidP="0057510D">
      <w:pPr>
        <w:pStyle w:val="1"/>
        <w:ind w:left="7020"/>
        <w:jc w:val="right"/>
        <w:rPr>
          <w:b w:val="0"/>
        </w:rPr>
      </w:pPr>
      <w:r w:rsidRPr="003D62D3">
        <w:rPr>
          <w:b w:val="0"/>
        </w:rPr>
        <w:t>Додаток 1</w:t>
      </w:r>
    </w:p>
    <w:p w14:paraId="6B11CB4E" w14:textId="77777777" w:rsidR="0057510D" w:rsidRPr="003D62D3" w:rsidRDefault="0057510D" w:rsidP="0057510D">
      <w:pPr>
        <w:ind w:left="7020"/>
        <w:jc w:val="right"/>
        <w:rPr>
          <w:lang w:val="uk-UA"/>
        </w:rPr>
      </w:pPr>
      <w:r w:rsidRPr="003D62D3">
        <w:rPr>
          <w:lang w:val="uk-UA"/>
        </w:rPr>
        <w:t xml:space="preserve">до реєстраційного посвідчення </w:t>
      </w:r>
    </w:p>
    <w:p w14:paraId="6B11CB4F" w14:textId="77777777" w:rsidR="0057510D" w:rsidRPr="003D62D3" w:rsidRDefault="0057510D" w:rsidP="0057510D">
      <w:pPr>
        <w:ind w:left="7020"/>
        <w:jc w:val="right"/>
        <w:rPr>
          <w:lang w:val="uk-UA"/>
        </w:rPr>
      </w:pPr>
    </w:p>
    <w:p w14:paraId="6B11CB50" w14:textId="77777777" w:rsidR="0057510D" w:rsidRPr="003D62D3" w:rsidRDefault="0057510D" w:rsidP="0057510D">
      <w:pPr>
        <w:rPr>
          <w:lang w:val="uk-UA"/>
        </w:rPr>
      </w:pPr>
      <w:r w:rsidRPr="003D62D3">
        <w:rPr>
          <w:lang w:val="uk-UA"/>
        </w:rPr>
        <w:tab/>
      </w:r>
    </w:p>
    <w:p w14:paraId="6B11CB51" w14:textId="77777777" w:rsidR="0057510D" w:rsidRPr="003D62D3" w:rsidRDefault="0057510D" w:rsidP="0057510D">
      <w:pPr>
        <w:pStyle w:val="1"/>
        <w:ind w:firstLine="567"/>
      </w:pPr>
      <w:r w:rsidRPr="003D62D3">
        <w:t>Коротка характеристика препарату</w:t>
      </w:r>
    </w:p>
    <w:p w14:paraId="6B11CB52" w14:textId="77777777" w:rsidR="0057510D" w:rsidRPr="003D62D3" w:rsidRDefault="0057510D" w:rsidP="0057510D">
      <w:pPr>
        <w:ind w:firstLine="567"/>
        <w:rPr>
          <w:lang w:val="uk-UA"/>
        </w:rPr>
      </w:pPr>
    </w:p>
    <w:p w14:paraId="6B11CB53" w14:textId="77777777" w:rsidR="0057510D" w:rsidRPr="003D62D3" w:rsidRDefault="0057510D" w:rsidP="0057510D">
      <w:pPr>
        <w:ind w:firstLine="567"/>
        <w:jc w:val="both"/>
        <w:rPr>
          <w:b/>
          <w:lang w:val="uk-UA"/>
        </w:rPr>
      </w:pPr>
      <w:r w:rsidRPr="003D62D3">
        <w:rPr>
          <w:b/>
          <w:lang w:val="uk-UA"/>
        </w:rPr>
        <w:t>1. Назва</w:t>
      </w:r>
    </w:p>
    <w:p w14:paraId="6B11CB54" w14:textId="35471DC0" w:rsidR="0057510D" w:rsidRPr="003D62D3" w:rsidRDefault="0057510D" w:rsidP="0057510D">
      <w:pPr>
        <w:ind w:firstLine="567"/>
        <w:jc w:val="both"/>
        <w:rPr>
          <w:lang w:val="uk-UA"/>
        </w:rPr>
      </w:pPr>
      <w:r w:rsidRPr="003D62D3">
        <w:rPr>
          <w:bCs/>
          <w:lang w:val="uk-UA"/>
        </w:rPr>
        <w:t>ПімоПЕТ</w:t>
      </w:r>
      <w:r w:rsidR="00DA4F95" w:rsidRPr="003D62D3">
        <w:rPr>
          <w:bCs/>
          <w:lang w:val="uk-UA"/>
        </w:rPr>
        <w:t xml:space="preserve"> 5 мг</w:t>
      </w:r>
    </w:p>
    <w:p w14:paraId="6B11CB55" w14:textId="77777777" w:rsidR="0057510D" w:rsidRPr="003D62D3" w:rsidRDefault="0057510D" w:rsidP="0057510D">
      <w:pPr>
        <w:ind w:firstLine="567"/>
        <w:jc w:val="both"/>
        <w:rPr>
          <w:b/>
          <w:lang w:val="uk-UA"/>
        </w:rPr>
      </w:pPr>
      <w:r w:rsidRPr="003D62D3">
        <w:rPr>
          <w:b/>
          <w:lang w:val="uk-UA"/>
        </w:rPr>
        <w:t xml:space="preserve">2. Склад </w:t>
      </w:r>
    </w:p>
    <w:p w14:paraId="6B11CB56" w14:textId="77777777" w:rsidR="0057510D" w:rsidRPr="003D62D3" w:rsidRDefault="00B50592" w:rsidP="0057510D">
      <w:pPr>
        <w:ind w:firstLine="567"/>
        <w:jc w:val="both"/>
        <w:rPr>
          <w:lang w:val="uk-UA"/>
        </w:rPr>
      </w:pPr>
      <w:r w:rsidRPr="003D62D3">
        <w:rPr>
          <w:lang w:val="uk-UA"/>
        </w:rPr>
        <w:t>1 т</w:t>
      </w:r>
      <w:r w:rsidR="0057510D" w:rsidRPr="003D62D3">
        <w:rPr>
          <w:lang w:val="uk-UA"/>
        </w:rPr>
        <w:t>аблетка</w:t>
      </w:r>
      <w:r w:rsidRPr="003D62D3">
        <w:rPr>
          <w:lang w:val="uk-UA"/>
        </w:rPr>
        <w:t xml:space="preserve"> (320 мг)</w:t>
      </w:r>
      <w:r w:rsidR="0057510D" w:rsidRPr="003D62D3">
        <w:rPr>
          <w:lang w:val="uk-UA"/>
        </w:rPr>
        <w:t xml:space="preserve"> містить діюч</w:t>
      </w:r>
      <w:r w:rsidR="00EC7D27" w:rsidRPr="003D62D3">
        <w:rPr>
          <w:lang w:val="uk-UA"/>
        </w:rPr>
        <w:t>у</w:t>
      </w:r>
      <w:r w:rsidR="0057510D" w:rsidRPr="003D62D3">
        <w:rPr>
          <w:lang w:val="uk-UA"/>
        </w:rPr>
        <w:t xml:space="preserve"> речовин</w:t>
      </w:r>
      <w:r w:rsidR="00EC7D27" w:rsidRPr="003D62D3">
        <w:rPr>
          <w:lang w:val="uk-UA"/>
        </w:rPr>
        <w:t>у</w:t>
      </w:r>
      <w:r w:rsidR="0057510D" w:rsidRPr="003D62D3">
        <w:rPr>
          <w:lang w:val="uk-UA"/>
        </w:rPr>
        <w:t>:</w:t>
      </w:r>
    </w:p>
    <w:p w14:paraId="6B11CB57" w14:textId="5E88A0BD" w:rsidR="00EC7D27" w:rsidRPr="003D62D3" w:rsidRDefault="0057510D" w:rsidP="00EC7D27">
      <w:pPr>
        <w:ind w:firstLine="567"/>
        <w:jc w:val="both"/>
        <w:rPr>
          <w:lang w:val="uk-UA"/>
        </w:rPr>
      </w:pPr>
      <w:r w:rsidRPr="003D62D3">
        <w:rPr>
          <w:lang w:val="uk-UA"/>
        </w:rPr>
        <w:t>пімобендан</w:t>
      </w:r>
      <w:r w:rsidR="00B50592" w:rsidRPr="003D62D3">
        <w:rPr>
          <w:lang w:val="uk-UA"/>
        </w:rPr>
        <w:t xml:space="preserve"> </w:t>
      </w:r>
      <w:r w:rsidRPr="003D62D3">
        <w:rPr>
          <w:lang w:val="uk-UA"/>
        </w:rPr>
        <w:t>- 5,0 мг</w:t>
      </w:r>
      <w:r w:rsidR="00BA5213" w:rsidRPr="003D62D3">
        <w:rPr>
          <w:lang w:val="uk-UA"/>
        </w:rPr>
        <w:t>.</w:t>
      </w:r>
      <w:r w:rsidR="008859C2" w:rsidRPr="003D62D3">
        <w:rPr>
          <w:lang w:val="uk-UA"/>
        </w:rPr>
        <w:t xml:space="preserve"> </w:t>
      </w:r>
    </w:p>
    <w:p w14:paraId="6B11CB58" w14:textId="77777777" w:rsidR="008859C2" w:rsidRPr="003D62D3" w:rsidRDefault="00950EDF" w:rsidP="00EC7D27">
      <w:pPr>
        <w:ind w:firstLine="567"/>
        <w:jc w:val="both"/>
        <w:rPr>
          <w:lang w:val="uk-UA"/>
        </w:rPr>
      </w:pPr>
      <w:r w:rsidRPr="003D62D3">
        <w:rPr>
          <w:lang w:val="uk-UA"/>
        </w:rPr>
        <w:t xml:space="preserve">Допоміжні речовини: </w:t>
      </w:r>
      <w:r w:rsidR="008859C2" w:rsidRPr="003D62D3">
        <w:rPr>
          <w:lang w:val="uk-UA"/>
        </w:rPr>
        <w:t>глюкози моногідрат, стеарат магнію, мікрокристалічна целюлоза, дигідрат кальцію гідрофосфат, оксид заліза червоний (E17</w:t>
      </w:r>
      <w:r w:rsidR="00DA1F8F" w:rsidRPr="003D62D3">
        <w:rPr>
          <w:lang w:val="uk-UA"/>
        </w:rPr>
        <w:t>2</w:t>
      </w:r>
      <w:r w:rsidR="008859C2" w:rsidRPr="003D62D3">
        <w:rPr>
          <w:lang w:val="uk-UA"/>
        </w:rPr>
        <w:t>)</w:t>
      </w:r>
      <w:r w:rsidR="00DA5AA3" w:rsidRPr="003D62D3">
        <w:rPr>
          <w:lang w:val="uk-UA"/>
        </w:rPr>
        <w:t>.</w:t>
      </w:r>
      <w:r w:rsidR="008859C2" w:rsidRPr="003D62D3">
        <w:rPr>
          <w:lang w:val="uk-UA"/>
        </w:rPr>
        <w:t xml:space="preserve"> </w:t>
      </w:r>
    </w:p>
    <w:p w14:paraId="6B11CB59" w14:textId="77777777" w:rsidR="00EC7D27" w:rsidRPr="003D62D3" w:rsidRDefault="0057510D" w:rsidP="00EC7D27">
      <w:pPr>
        <w:ind w:firstLine="567"/>
        <w:jc w:val="both"/>
        <w:rPr>
          <w:b/>
          <w:lang w:val="uk-UA"/>
        </w:rPr>
      </w:pPr>
      <w:r w:rsidRPr="003D62D3">
        <w:rPr>
          <w:b/>
          <w:lang w:val="uk-UA"/>
        </w:rPr>
        <w:t>3. Фармацевтична форма</w:t>
      </w:r>
    </w:p>
    <w:p w14:paraId="6B11CB5A" w14:textId="77777777" w:rsidR="0057510D" w:rsidRPr="003D62D3" w:rsidRDefault="0057510D" w:rsidP="00EC7D27">
      <w:pPr>
        <w:ind w:firstLine="567"/>
        <w:jc w:val="both"/>
        <w:rPr>
          <w:lang w:val="uk-UA"/>
        </w:rPr>
      </w:pPr>
      <w:r w:rsidRPr="003D62D3">
        <w:rPr>
          <w:lang w:val="uk-UA"/>
        </w:rPr>
        <w:t>Таблетк</w:t>
      </w:r>
      <w:r w:rsidR="00EC7D27" w:rsidRPr="003D62D3">
        <w:rPr>
          <w:lang w:val="uk-UA"/>
        </w:rPr>
        <w:t>и</w:t>
      </w:r>
      <w:r w:rsidRPr="003D62D3">
        <w:rPr>
          <w:rStyle w:val="hps"/>
          <w:lang w:val="uk-UA"/>
        </w:rPr>
        <w:t>.</w:t>
      </w:r>
    </w:p>
    <w:p w14:paraId="6B11CB5B" w14:textId="77777777" w:rsidR="0057510D" w:rsidRPr="003D62D3" w:rsidRDefault="0057510D" w:rsidP="0057510D">
      <w:pPr>
        <w:ind w:firstLine="567"/>
        <w:jc w:val="both"/>
        <w:rPr>
          <w:lang w:val="uk-UA"/>
        </w:rPr>
      </w:pPr>
      <w:r w:rsidRPr="003D62D3">
        <w:rPr>
          <w:b/>
          <w:lang w:val="uk-UA"/>
        </w:rPr>
        <w:t xml:space="preserve">4. Фармакологічні властивості </w:t>
      </w:r>
    </w:p>
    <w:p w14:paraId="6B11CB5C" w14:textId="77777777" w:rsidR="00614887" w:rsidRPr="003D62D3" w:rsidRDefault="0057510D" w:rsidP="00614887">
      <w:pPr>
        <w:pStyle w:val="31"/>
        <w:ind w:firstLine="567"/>
        <w:rPr>
          <w:b/>
          <w:i/>
          <w:color w:val="auto"/>
        </w:rPr>
      </w:pPr>
      <w:r w:rsidRPr="003D62D3">
        <w:rPr>
          <w:b/>
          <w:i/>
          <w:color w:val="auto"/>
        </w:rPr>
        <w:t xml:space="preserve">АТС-vet класифікаційний код: QC01CE90 </w:t>
      </w:r>
      <w:r w:rsidR="00EE6C5B" w:rsidRPr="003D62D3">
        <w:rPr>
          <w:b/>
          <w:i/>
          <w:color w:val="auto"/>
        </w:rPr>
        <w:t>Неглікозидні кардіотонічні ветеринарні препарати. Інгібітори фосфодіестерази.</w:t>
      </w:r>
      <w:r w:rsidRPr="003D62D3">
        <w:rPr>
          <w:b/>
          <w:i/>
          <w:color w:val="auto"/>
        </w:rPr>
        <w:t xml:space="preserve"> </w:t>
      </w:r>
      <w:r w:rsidR="00EE6C5B" w:rsidRPr="003D62D3">
        <w:rPr>
          <w:b/>
          <w:i/>
          <w:color w:val="auto"/>
        </w:rPr>
        <w:t>П</w:t>
      </w:r>
      <w:r w:rsidRPr="003D62D3">
        <w:rPr>
          <w:b/>
          <w:i/>
          <w:color w:val="auto"/>
        </w:rPr>
        <w:t>імобендан.</w:t>
      </w:r>
      <w:r w:rsidR="00614887" w:rsidRPr="003D62D3">
        <w:rPr>
          <w:b/>
          <w:i/>
          <w:color w:val="auto"/>
        </w:rPr>
        <w:t xml:space="preserve"> </w:t>
      </w:r>
    </w:p>
    <w:p w14:paraId="5FC9C359" w14:textId="77777777" w:rsidR="00DA7976" w:rsidRPr="003D62D3" w:rsidRDefault="00DA7976" w:rsidP="00DA7976">
      <w:pPr>
        <w:pStyle w:val="31"/>
        <w:ind w:firstLine="567"/>
        <w:rPr>
          <w:color w:val="auto"/>
        </w:rPr>
      </w:pPr>
      <w:r w:rsidRPr="003D62D3">
        <w:rPr>
          <w:color w:val="auto"/>
        </w:rPr>
        <w:t>Пімобендан є похідним від бензімідазол-пірідазінону, це — калієвий сенсибілізатор та селективний інгібітор фосфодіестерази ІІІ (PDE3), який підвищує силу або енергію м'язових скорочень (позитивний інотроп) і має судинорозширювальний ефект.</w:t>
      </w:r>
    </w:p>
    <w:p w14:paraId="5A581D33" w14:textId="77777777" w:rsidR="00DA7976" w:rsidRPr="003D62D3" w:rsidRDefault="00DA7976" w:rsidP="00DA7976">
      <w:pPr>
        <w:pStyle w:val="31"/>
        <w:ind w:firstLine="567"/>
        <w:rPr>
          <w:color w:val="auto"/>
        </w:rPr>
      </w:pPr>
      <w:r w:rsidRPr="003D62D3">
        <w:rPr>
          <w:color w:val="auto"/>
        </w:rPr>
        <w:t>Позитивний інотропний ефект досягається за допомогою двох механізмів: пімобендан підвищує ефективність зв'язування серцевого тропоніну в міофібрилі з іонами кальцію та викликає периферичну вазодилатацію, інгібуючи функцію фосфодіестерази III . Це призводить до зниження стійкості до кровотоку через системні артеріоли, що зменшує навантаження серця і знижує кількість мітральної регургітації.</w:t>
      </w:r>
    </w:p>
    <w:p w14:paraId="1F4C3992" w14:textId="01650EA3" w:rsidR="00D907C3" w:rsidRPr="003D62D3" w:rsidRDefault="00DA7976" w:rsidP="00BA5213">
      <w:pPr>
        <w:jc w:val="both"/>
        <w:rPr>
          <w:lang w:val="uk-UA"/>
        </w:rPr>
      </w:pPr>
      <w:r w:rsidRPr="003D62D3">
        <w:rPr>
          <w:lang w:val="uk-UA"/>
        </w:rPr>
        <w:tab/>
      </w:r>
      <w:r w:rsidR="00E83FE4" w:rsidRPr="003D62D3">
        <w:rPr>
          <w:lang w:val="uk-UA"/>
        </w:rPr>
        <w:t xml:space="preserve">Таким чином, позитивний інотропізм </w:t>
      </w:r>
      <w:r w:rsidR="00980CC7" w:rsidRPr="003D62D3">
        <w:rPr>
          <w:lang w:val="uk-UA"/>
        </w:rPr>
        <w:t>пімобендану відмінний від</w:t>
      </w:r>
      <w:r w:rsidR="00E83FE4" w:rsidRPr="003D62D3">
        <w:rPr>
          <w:lang w:val="uk-UA"/>
        </w:rPr>
        <w:t xml:space="preserve"> ді</w:t>
      </w:r>
      <w:r w:rsidR="00980CC7" w:rsidRPr="003D62D3">
        <w:rPr>
          <w:lang w:val="uk-UA"/>
        </w:rPr>
        <w:t>ї</w:t>
      </w:r>
      <w:r w:rsidR="00E83FE4" w:rsidRPr="003D62D3">
        <w:rPr>
          <w:lang w:val="uk-UA"/>
        </w:rPr>
        <w:t xml:space="preserve"> серцевих глікозидів</w:t>
      </w:r>
      <w:r w:rsidR="00980CC7" w:rsidRPr="003D62D3">
        <w:rPr>
          <w:lang w:val="uk-UA"/>
        </w:rPr>
        <w:t xml:space="preserve"> та</w:t>
      </w:r>
      <w:r w:rsidR="00E83FE4" w:rsidRPr="003D62D3">
        <w:rPr>
          <w:lang w:val="uk-UA"/>
        </w:rPr>
        <w:t xml:space="preserve"> с</w:t>
      </w:r>
      <w:r w:rsidR="00A9753E" w:rsidRPr="003D62D3">
        <w:rPr>
          <w:lang w:val="uk-UA"/>
        </w:rPr>
        <w:t>и</w:t>
      </w:r>
      <w:r w:rsidR="00E83FE4" w:rsidRPr="003D62D3">
        <w:rPr>
          <w:lang w:val="uk-UA"/>
        </w:rPr>
        <w:t>мпатоміметично</w:t>
      </w:r>
      <w:r w:rsidR="00980CC7" w:rsidRPr="003D62D3">
        <w:rPr>
          <w:lang w:val="uk-UA"/>
        </w:rPr>
        <w:t>ї</w:t>
      </w:r>
      <w:r w:rsidR="00E83FE4" w:rsidRPr="003D62D3">
        <w:rPr>
          <w:lang w:val="uk-UA"/>
        </w:rPr>
        <w:t xml:space="preserve"> активн</w:t>
      </w:r>
      <w:r w:rsidR="00980CC7" w:rsidRPr="003D62D3">
        <w:rPr>
          <w:lang w:val="uk-UA"/>
        </w:rPr>
        <w:t>о</w:t>
      </w:r>
      <w:r w:rsidR="00E83FE4" w:rsidRPr="003D62D3">
        <w:rPr>
          <w:lang w:val="uk-UA"/>
        </w:rPr>
        <w:t>ст</w:t>
      </w:r>
      <w:r w:rsidR="00980CC7" w:rsidRPr="003D62D3">
        <w:rPr>
          <w:lang w:val="uk-UA"/>
        </w:rPr>
        <w:t>і</w:t>
      </w:r>
      <w:r w:rsidR="00E83FE4" w:rsidRPr="003D62D3">
        <w:rPr>
          <w:lang w:val="uk-UA"/>
        </w:rPr>
        <w:t>.</w:t>
      </w:r>
    </w:p>
    <w:p w14:paraId="5D77AFAD" w14:textId="578A5A4D" w:rsidR="00D907C3" w:rsidRPr="003D62D3" w:rsidRDefault="00D907C3" w:rsidP="00BA5213">
      <w:pPr>
        <w:ind w:firstLine="567"/>
        <w:jc w:val="both"/>
        <w:rPr>
          <w:szCs w:val="22"/>
          <w:lang w:val="uk-UA"/>
        </w:rPr>
      </w:pPr>
      <w:r w:rsidRPr="003D62D3">
        <w:rPr>
          <w:szCs w:val="22"/>
          <w:lang w:val="uk-UA" w:bidi="uk-UA"/>
        </w:rPr>
        <w:t>Поєднання цих двох механізмів забезпечує кардіопротекторну дію, що виражається в</w:t>
      </w:r>
      <w:r w:rsidR="008C6C2D" w:rsidRPr="003D62D3">
        <w:rPr>
          <w:szCs w:val="22"/>
          <w:lang w:val="uk-UA" w:bidi="uk-UA"/>
        </w:rPr>
        <w:t> </w:t>
      </w:r>
      <w:r w:rsidRPr="003D62D3">
        <w:rPr>
          <w:szCs w:val="22"/>
          <w:lang w:val="uk-UA" w:bidi="uk-UA"/>
        </w:rPr>
        <w:t>поліпшенні нейроендокринної регуляції серця, кращій гемодинаміці (зокрема позитивному лузітропному ефекті) та часткових позитивних змінах морфології серцевого м’яза.</w:t>
      </w:r>
    </w:p>
    <w:p w14:paraId="68AE4955" w14:textId="77777777" w:rsidR="00DA7976" w:rsidRPr="003D62D3" w:rsidRDefault="00DA7976" w:rsidP="00DA7976">
      <w:pPr>
        <w:ind w:firstLine="567"/>
        <w:jc w:val="both"/>
        <w:rPr>
          <w:u w:val="single"/>
        </w:rPr>
      </w:pPr>
      <w:r w:rsidRPr="003D62D3">
        <w:rPr>
          <w:u w:val="single"/>
        </w:rPr>
        <w:t>Абсорбція</w:t>
      </w:r>
    </w:p>
    <w:p w14:paraId="01403280" w14:textId="77777777" w:rsidR="00DA7976" w:rsidRPr="003D62D3" w:rsidRDefault="00DA7976" w:rsidP="00DA7976">
      <w:pPr>
        <w:ind w:firstLine="567"/>
        <w:jc w:val="both"/>
      </w:pPr>
      <w:r w:rsidRPr="003D62D3">
        <w:t xml:space="preserve">Після перорального застосування пімобендан швидко абсорбується, з біодоступністю 70% у собак. Оскільки одночасне або попереднє споживання їжі знижує біодоступність, пімобендан слід вводити приблизно за 1 годину до годівлі тварини. </w:t>
      </w:r>
    </w:p>
    <w:p w14:paraId="16DE0C34" w14:textId="77777777" w:rsidR="00DA7976" w:rsidRPr="003D62D3" w:rsidRDefault="00DA7976" w:rsidP="00DA7976">
      <w:pPr>
        <w:ind w:firstLine="567"/>
        <w:jc w:val="both"/>
        <w:rPr>
          <w:u w:val="single"/>
        </w:rPr>
      </w:pPr>
      <w:r w:rsidRPr="003D62D3">
        <w:rPr>
          <w:u w:val="single"/>
        </w:rPr>
        <w:t>Розподіл</w:t>
      </w:r>
    </w:p>
    <w:p w14:paraId="5F86E71B" w14:textId="77777777" w:rsidR="00DA7976" w:rsidRPr="003D62D3" w:rsidRDefault="00DA7976" w:rsidP="00DA7976">
      <w:pPr>
        <w:ind w:firstLine="567"/>
        <w:jc w:val="both"/>
      </w:pPr>
      <w:r w:rsidRPr="003D62D3">
        <w:t>Об'єм розподілу в стаціонарному стані становить 2,6 л/кг, що свідчить про швидкий розподіл пімобендану в тканинах.</w:t>
      </w:r>
      <w:r w:rsidRPr="003D62D3">
        <w:rPr>
          <w:lang w:val="uk-UA"/>
        </w:rPr>
        <w:t xml:space="preserve"> </w:t>
      </w:r>
      <w:r w:rsidRPr="003D62D3">
        <w:t>Зв'язування пімобендану та його активного метаболіту UD-CG 212 з білками плазми у собак</w:t>
      </w:r>
      <w:r w:rsidRPr="003D62D3">
        <w:rPr>
          <w:lang w:val="uk-UA"/>
        </w:rPr>
        <w:t xml:space="preserve"> </w:t>
      </w:r>
      <w:r w:rsidRPr="003D62D3">
        <w:t>перевищує 90%.</w:t>
      </w:r>
    </w:p>
    <w:p w14:paraId="555CCF56" w14:textId="77777777" w:rsidR="00DA7976" w:rsidRPr="003D62D3" w:rsidRDefault="00DA7976" w:rsidP="00DA7976">
      <w:pPr>
        <w:ind w:firstLine="567"/>
        <w:jc w:val="both"/>
      </w:pPr>
      <w:r w:rsidRPr="003D62D3">
        <w:rPr>
          <w:lang w:val="uk-UA"/>
        </w:rPr>
        <w:t xml:space="preserve">За </w:t>
      </w:r>
      <w:r w:rsidRPr="003D62D3">
        <w:t>доз</w:t>
      </w:r>
      <w:r w:rsidRPr="003D62D3">
        <w:rPr>
          <w:lang w:val="uk-UA"/>
        </w:rPr>
        <w:t>и</w:t>
      </w:r>
      <w:r w:rsidRPr="003D62D3">
        <w:t xml:space="preserve"> 0,25 мг/кг максимальна концентрація в плазмі</w:t>
      </w:r>
      <w:r w:rsidRPr="003D62D3">
        <w:rPr>
          <w:lang w:val="uk-UA"/>
        </w:rPr>
        <w:t xml:space="preserve"> крові</w:t>
      </w:r>
      <w:r w:rsidRPr="003D62D3">
        <w:t xml:space="preserve"> (C</w:t>
      </w:r>
      <w:r w:rsidRPr="003D62D3">
        <w:rPr>
          <w:vertAlign w:val="subscript"/>
        </w:rPr>
        <w:t>max</w:t>
      </w:r>
      <w:r w:rsidRPr="003D62D3">
        <w:t xml:space="preserve">) пімобендану та його активного метаболіту UD-CG 212 у собак спостерігається через 1-4 години після прийому (в середньому </w:t>
      </w:r>
      <w:r w:rsidRPr="003D62D3">
        <w:rPr>
          <w:lang w:val="uk-UA"/>
        </w:rPr>
        <w:t xml:space="preserve">через </w:t>
      </w:r>
      <w:r w:rsidRPr="003D62D3">
        <w:t>2 та 3 години</w:t>
      </w:r>
      <w:r w:rsidRPr="003D62D3">
        <w:rPr>
          <w:lang w:val="uk-UA"/>
        </w:rPr>
        <w:t>,</w:t>
      </w:r>
      <w:r w:rsidRPr="003D62D3">
        <w:t xml:space="preserve"> відповідно).</w:t>
      </w:r>
    </w:p>
    <w:p w14:paraId="648AF433" w14:textId="77777777" w:rsidR="00DA7976" w:rsidRPr="003D62D3" w:rsidRDefault="00DA7976" w:rsidP="00DA7976">
      <w:pPr>
        <w:ind w:firstLine="567"/>
        <w:jc w:val="both"/>
        <w:rPr>
          <w:u w:val="single"/>
        </w:rPr>
      </w:pPr>
      <w:r w:rsidRPr="003D62D3">
        <w:rPr>
          <w:u w:val="single"/>
        </w:rPr>
        <w:t>Метаболізм</w:t>
      </w:r>
    </w:p>
    <w:p w14:paraId="41C74030" w14:textId="77777777" w:rsidR="00DA7976" w:rsidRPr="003D62D3" w:rsidRDefault="00DA7976" w:rsidP="00DA7976">
      <w:pPr>
        <w:ind w:firstLine="567"/>
        <w:jc w:val="both"/>
      </w:pPr>
      <w:r w:rsidRPr="003D62D3">
        <w:rPr>
          <w:lang w:val="uk-UA"/>
        </w:rPr>
        <w:t>Пімобендал</w:t>
      </w:r>
      <w:r w:rsidRPr="003D62D3">
        <w:t xml:space="preserve"> деметилюється шляхом окислення до основного активного метаболіту UD-CG212. Наступними етапами метаболізму є кон'югати фази II UD-CG212, такі як глюкуроніди та сульфати.</w:t>
      </w:r>
    </w:p>
    <w:p w14:paraId="13F64E5A" w14:textId="77777777" w:rsidR="00DA7976" w:rsidRPr="003D62D3" w:rsidRDefault="00DA7976" w:rsidP="00DA7976">
      <w:pPr>
        <w:ind w:firstLine="567"/>
        <w:jc w:val="both"/>
        <w:rPr>
          <w:u w:val="single"/>
        </w:rPr>
      </w:pPr>
      <w:r w:rsidRPr="003D62D3">
        <w:rPr>
          <w:u w:val="single"/>
        </w:rPr>
        <w:t>Виведення</w:t>
      </w:r>
    </w:p>
    <w:p w14:paraId="6B288F29" w14:textId="77777777" w:rsidR="00DA7976" w:rsidRPr="003D62D3" w:rsidRDefault="00DA7976" w:rsidP="00DA7976">
      <w:pPr>
        <w:ind w:firstLine="567"/>
        <w:jc w:val="both"/>
        <w:rPr>
          <w:rStyle w:val="hps"/>
          <w:lang w:val="uk-UA"/>
        </w:rPr>
      </w:pPr>
      <w:r w:rsidRPr="003D62D3">
        <w:t>Період напіввиведення пімобендану з плазми</w:t>
      </w:r>
      <w:r w:rsidRPr="003D62D3">
        <w:rPr>
          <w:lang w:val="uk-UA"/>
        </w:rPr>
        <w:t xml:space="preserve"> крові</w:t>
      </w:r>
      <w:r w:rsidRPr="003D62D3">
        <w:t xml:space="preserve"> становить ~0,5 години, що відповідає високому загальному кліренсу організму ~90 мл/хв/кг.</w:t>
      </w:r>
      <w:r w:rsidRPr="003D62D3">
        <w:rPr>
          <w:lang w:val="uk-UA"/>
        </w:rPr>
        <w:t xml:space="preserve"> </w:t>
      </w:r>
      <w:r w:rsidRPr="003D62D3">
        <w:t xml:space="preserve">Основний активний метаболіт виводиться з плазми з періодом напіввиведення ~2,0 години. Майже вся доза виводиться з </w:t>
      </w:r>
      <w:r w:rsidRPr="003D62D3">
        <w:rPr>
          <w:lang w:val="uk-UA"/>
        </w:rPr>
        <w:t>фекаліями</w:t>
      </w:r>
      <w:r w:rsidRPr="003D62D3">
        <w:t>, меншою мірою з сечею.</w:t>
      </w:r>
    </w:p>
    <w:p w14:paraId="4E1848FA" w14:textId="74D34941" w:rsidR="00DA4F95" w:rsidRPr="003D62D3" w:rsidRDefault="00DA4F95" w:rsidP="00BA5213">
      <w:pPr>
        <w:ind w:firstLine="567"/>
        <w:jc w:val="both"/>
        <w:rPr>
          <w:lang w:val="uk-UA"/>
        </w:rPr>
      </w:pPr>
    </w:p>
    <w:p w14:paraId="6B2A4A1D" w14:textId="77777777" w:rsidR="00A7280C" w:rsidRPr="003D62D3" w:rsidRDefault="00A7280C" w:rsidP="00DA4F95">
      <w:pPr>
        <w:ind w:firstLine="567"/>
        <w:jc w:val="both"/>
        <w:rPr>
          <w:lang w:val="uk-UA" w:bidi="uk-UA"/>
        </w:rPr>
      </w:pPr>
    </w:p>
    <w:p w14:paraId="687C509C" w14:textId="77777777" w:rsidR="003B536E" w:rsidRPr="003D62D3" w:rsidRDefault="003B536E" w:rsidP="00DA4F95">
      <w:pPr>
        <w:ind w:firstLine="567"/>
        <w:jc w:val="both"/>
        <w:rPr>
          <w:lang w:val="uk-UA" w:bidi="uk-UA"/>
        </w:rPr>
      </w:pPr>
    </w:p>
    <w:p w14:paraId="03554651" w14:textId="77777777" w:rsidR="003B536E" w:rsidRPr="003D62D3" w:rsidRDefault="003B536E" w:rsidP="00DA4F95">
      <w:pPr>
        <w:ind w:firstLine="567"/>
        <w:jc w:val="both"/>
        <w:rPr>
          <w:lang w:val="uk-UA" w:bidi="uk-UA"/>
        </w:rPr>
      </w:pPr>
    </w:p>
    <w:p w14:paraId="2D1107E1" w14:textId="77777777" w:rsidR="003B536E" w:rsidRPr="003D62D3" w:rsidRDefault="003B536E" w:rsidP="00DA4F95">
      <w:pPr>
        <w:ind w:firstLine="567"/>
        <w:jc w:val="both"/>
        <w:rPr>
          <w:lang w:val="uk-UA" w:bidi="uk-UA"/>
        </w:rPr>
      </w:pPr>
    </w:p>
    <w:p w14:paraId="00707F9D" w14:textId="77777777" w:rsidR="00A7280C" w:rsidRPr="003D62D3" w:rsidRDefault="00A7280C" w:rsidP="00A7280C">
      <w:pPr>
        <w:pStyle w:val="1"/>
        <w:ind w:left="7020"/>
        <w:jc w:val="right"/>
        <w:rPr>
          <w:b w:val="0"/>
        </w:rPr>
      </w:pPr>
      <w:r w:rsidRPr="003D62D3">
        <w:rPr>
          <w:b w:val="0"/>
        </w:rPr>
        <w:lastRenderedPageBreak/>
        <w:t>Продовження додатку 1</w:t>
      </w:r>
    </w:p>
    <w:p w14:paraId="75229F17" w14:textId="76DC5C75" w:rsidR="00A7280C" w:rsidRPr="003D62D3" w:rsidRDefault="00A7280C" w:rsidP="00BA5213">
      <w:pPr>
        <w:ind w:firstLine="567"/>
        <w:jc w:val="right"/>
        <w:rPr>
          <w:lang w:val="uk-UA" w:bidi="uk-UA"/>
        </w:rPr>
      </w:pPr>
      <w:r w:rsidRPr="003D62D3">
        <w:rPr>
          <w:lang w:val="uk-UA"/>
        </w:rPr>
        <w:t>до реєстраційного посвідчення</w:t>
      </w:r>
    </w:p>
    <w:p w14:paraId="3D44FBB5" w14:textId="77777777" w:rsidR="008A0248" w:rsidRPr="003D62D3" w:rsidRDefault="008A0248">
      <w:pPr>
        <w:ind w:firstLine="567"/>
        <w:jc w:val="both"/>
        <w:rPr>
          <w:lang w:val="uk-UA" w:bidi="uk-UA"/>
        </w:rPr>
      </w:pPr>
    </w:p>
    <w:p w14:paraId="6B11CB60" w14:textId="71B72A57" w:rsidR="0057510D" w:rsidRPr="003D62D3" w:rsidRDefault="0057510D" w:rsidP="0057510D">
      <w:pPr>
        <w:ind w:left="567"/>
        <w:textAlignment w:val="top"/>
        <w:rPr>
          <w:b/>
          <w:lang w:val="uk-UA"/>
        </w:rPr>
      </w:pPr>
      <w:r w:rsidRPr="003D62D3">
        <w:rPr>
          <w:b/>
          <w:lang w:val="uk-UA"/>
        </w:rPr>
        <w:t>5. Клінічні особливості</w:t>
      </w:r>
    </w:p>
    <w:p w14:paraId="6B11CB61" w14:textId="77777777" w:rsidR="00070A6E" w:rsidRPr="003D62D3" w:rsidRDefault="0057510D" w:rsidP="00070A6E">
      <w:pPr>
        <w:ind w:firstLine="567"/>
        <w:jc w:val="both"/>
        <w:rPr>
          <w:b/>
          <w:lang w:val="uk-UA"/>
        </w:rPr>
      </w:pPr>
      <w:r w:rsidRPr="003D62D3">
        <w:rPr>
          <w:b/>
          <w:lang w:val="uk-UA"/>
        </w:rPr>
        <w:t>5.1 Вид тварин</w:t>
      </w:r>
    </w:p>
    <w:p w14:paraId="6B11CB62" w14:textId="77777777" w:rsidR="0057510D" w:rsidRPr="003D62D3" w:rsidRDefault="00070A6E" w:rsidP="00070A6E">
      <w:pPr>
        <w:ind w:firstLine="567"/>
        <w:jc w:val="both"/>
        <w:rPr>
          <w:lang w:val="uk-UA"/>
        </w:rPr>
      </w:pPr>
      <w:r w:rsidRPr="003D62D3">
        <w:rPr>
          <w:b/>
          <w:lang w:val="uk-UA"/>
        </w:rPr>
        <w:t>С</w:t>
      </w:r>
      <w:r w:rsidR="0057510D" w:rsidRPr="003D62D3">
        <w:rPr>
          <w:lang w:val="uk-UA"/>
        </w:rPr>
        <w:t>обак</w:t>
      </w:r>
      <w:r w:rsidRPr="003D62D3">
        <w:rPr>
          <w:lang w:val="uk-UA"/>
        </w:rPr>
        <w:t>и</w:t>
      </w:r>
      <w:r w:rsidR="0057510D" w:rsidRPr="003D62D3">
        <w:rPr>
          <w:lang w:val="uk-UA"/>
        </w:rPr>
        <w:t>.</w:t>
      </w:r>
    </w:p>
    <w:p w14:paraId="6B11CB63" w14:textId="77777777" w:rsidR="0057510D" w:rsidRPr="003D62D3" w:rsidRDefault="0057510D" w:rsidP="0057510D">
      <w:pPr>
        <w:ind w:firstLine="567"/>
        <w:jc w:val="both"/>
        <w:rPr>
          <w:lang w:val="uk-UA"/>
        </w:rPr>
      </w:pPr>
      <w:r w:rsidRPr="003D62D3">
        <w:rPr>
          <w:b/>
          <w:lang w:val="uk-UA"/>
        </w:rPr>
        <w:t>5.2 Показання до застосування</w:t>
      </w:r>
    </w:p>
    <w:p w14:paraId="28D878EB" w14:textId="77777777" w:rsidR="00DA7976" w:rsidRPr="003D62D3" w:rsidRDefault="00DA7976" w:rsidP="00DA7976">
      <w:pPr>
        <w:ind w:firstLine="567"/>
        <w:jc w:val="both"/>
        <w:rPr>
          <w:lang w:val="uk-UA"/>
        </w:rPr>
      </w:pPr>
      <w:r w:rsidRPr="003D62D3">
        <w:rPr>
          <w:lang w:val="uk-UA"/>
        </w:rPr>
        <w:t>Для лікування застійної серцевої недостатності у собак масою тіла від 20 кг до 40 кг, що виникає внаслідок дилатаційної кардіоміопатії або клапанної недостатності (регургітація мітрального та/або трикуспідального клапанів).</w:t>
      </w:r>
    </w:p>
    <w:p w14:paraId="13A3A3D1" w14:textId="77777777" w:rsidR="00DA7976" w:rsidRPr="003D62D3" w:rsidRDefault="00DA7976" w:rsidP="00DA7976">
      <w:pPr>
        <w:ind w:firstLine="567"/>
        <w:jc w:val="both"/>
        <w:rPr>
          <w:lang w:val="uk-UA"/>
        </w:rPr>
      </w:pPr>
      <w:r w:rsidRPr="003D62D3">
        <w:rPr>
          <w:lang w:val="uk-UA"/>
        </w:rPr>
        <w:t>Для лікування дилатаційної кардіоміопатії на доклінічній стадії (безсимптомний перебіг зі збільшенням кінцево-систолічного і кінцево-діастолічного діаметра лівого шлуночка) у доберманів-пінчерів після ехокардіографічної діагностики захворювання серця.</w:t>
      </w:r>
    </w:p>
    <w:p w14:paraId="6B11CB64" w14:textId="07D0579B" w:rsidR="00EA0838" w:rsidRPr="003D62D3" w:rsidRDefault="00DA7976" w:rsidP="00DA7976">
      <w:pPr>
        <w:ind w:firstLine="567"/>
        <w:jc w:val="both"/>
        <w:rPr>
          <w:lang w:val="uk-UA"/>
        </w:rPr>
      </w:pPr>
      <w:r w:rsidRPr="003D62D3">
        <w:rPr>
          <w:lang w:val="uk-UA"/>
        </w:rPr>
        <w:t>Для лікування собак із міксоматозною мітральною вадою серця (ММВС) у доклінічній стадії (безсимптомний перебіг із систолічним мітральним шумом і ознаками збільшення розмірів серця) для відтермінування появи клінічних симптомів серцевої недостатності.</w:t>
      </w:r>
      <w:r w:rsidR="00BA436D" w:rsidRPr="003D62D3">
        <w:rPr>
          <w:lang w:val="uk-UA"/>
        </w:rPr>
        <w:t xml:space="preserve"> </w:t>
      </w:r>
    </w:p>
    <w:p w14:paraId="6B11CB65" w14:textId="77777777" w:rsidR="00FD7643" w:rsidRPr="003D62D3" w:rsidRDefault="00981D8B" w:rsidP="00FD7643">
      <w:pPr>
        <w:ind w:left="567"/>
        <w:jc w:val="both"/>
        <w:rPr>
          <w:b/>
          <w:lang w:val="uk-UA"/>
        </w:rPr>
      </w:pPr>
      <w:r w:rsidRPr="003D62D3">
        <w:rPr>
          <w:b/>
          <w:lang w:val="uk-UA"/>
        </w:rPr>
        <w:t>5.3 Протипоказання</w:t>
      </w:r>
    </w:p>
    <w:p w14:paraId="3EEFF1B9" w14:textId="77777777" w:rsidR="00DA7976" w:rsidRPr="003D62D3" w:rsidRDefault="00DA7976" w:rsidP="00DA7976">
      <w:pPr>
        <w:ind w:left="567"/>
        <w:jc w:val="both"/>
        <w:rPr>
          <w:lang w:val="uk-UA"/>
        </w:rPr>
      </w:pPr>
      <w:r w:rsidRPr="003D62D3">
        <w:rPr>
          <w:lang w:val="uk-UA"/>
        </w:rPr>
        <w:t>Гіпертрофічна кардіоміопатія.</w:t>
      </w:r>
    </w:p>
    <w:p w14:paraId="16192239" w14:textId="77777777" w:rsidR="00DA7976" w:rsidRPr="003D62D3" w:rsidRDefault="00DA7976" w:rsidP="00DA7976">
      <w:pPr>
        <w:ind w:firstLine="567"/>
        <w:jc w:val="both"/>
        <w:rPr>
          <w:lang w:val="uk-UA"/>
        </w:rPr>
      </w:pPr>
      <w:r w:rsidRPr="003D62D3">
        <w:rPr>
          <w:lang w:val="uk-UA"/>
        </w:rPr>
        <w:t>Клінічні стани, за яких не може бути збільшений серцевий викид крові через функціональні або анатомічні особливості (наприклад, стеноз аорти).</w:t>
      </w:r>
    </w:p>
    <w:p w14:paraId="5D429A48" w14:textId="77777777" w:rsidR="00DA7976" w:rsidRPr="003D62D3" w:rsidRDefault="00DA7976" w:rsidP="00DA7976">
      <w:pPr>
        <w:ind w:firstLine="567"/>
        <w:jc w:val="both"/>
        <w:rPr>
          <w:lang w:val="uk-UA"/>
        </w:rPr>
      </w:pPr>
      <w:r w:rsidRPr="003D62D3">
        <w:rPr>
          <w:lang w:val="uk-UA"/>
        </w:rPr>
        <w:t xml:space="preserve">Важкі </w:t>
      </w:r>
      <w:r w:rsidRPr="003D62D3">
        <w:rPr>
          <w:rFonts w:eastAsia="Calibri"/>
          <w:lang w:val="lv-LV" w:eastAsia="en-US"/>
        </w:rPr>
        <w:t>форми печінкової недостатності</w:t>
      </w:r>
      <w:r w:rsidRPr="003D62D3">
        <w:rPr>
          <w:lang w:val="uk-UA"/>
        </w:rPr>
        <w:t>, оскільки препарат метаболізується, переважно, в печінці.</w:t>
      </w:r>
    </w:p>
    <w:p w14:paraId="6B11CB69" w14:textId="5F259120" w:rsidR="00FD7643" w:rsidRPr="003D62D3" w:rsidRDefault="00DA7976" w:rsidP="00DA7976">
      <w:pPr>
        <w:ind w:firstLine="567"/>
        <w:jc w:val="both"/>
        <w:rPr>
          <w:lang w:val="uk-UA"/>
        </w:rPr>
      </w:pPr>
      <w:r w:rsidRPr="003D62D3">
        <w:t xml:space="preserve">Не застосовувати </w:t>
      </w:r>
      <w:r w:rsidRPr="003D62D3">
        <w:rPr>
          <w:lang w:val="uk-UA"/>
        </w:rPr>
        <w:t>за</w:t>
      </w:r>
      <w:r w:rsidRPr="003D62D3">
        <w:t xml:space="preserve"> підвищен</w:t>
      </w:r>
      <w:r w:rsidRPr="003D62D3">
        <w:rPr>
          <w:lang w:val="uk-UA"/>
        </w:rPr>
        <w:t>ої</w:t>
      </w:r>
      <w:r w:rsidRPr="003D62D3">
        <w:t xml:space="preserve"> чутливості до діючої речовини або будь-якої з допоміжних речовин.</w:t>
      </w:r>
    </w:p>
    <w:p w14:paraId="6B11CB6A" w14:textId="77777777" w:rsidR="00A9753E" w:rsidRPr="003D62D3" w:rsidRDefault="0057510D" w:rsidP="00A9753E">
      <w:pPr>
        <w:ind w:firstLine="567"/>
        <w:jc w:val="both"/>
        <w:rPr>
          <w:b/>
          <w:lang w:val="uk-UA"/>
        </w:rPr>
      </w:pPr>
      <w:r w:rsidRPr="003D62D3">
        <w:rPr>
          <w:b/>
          <w:lang w:val="uk-UA"/>
        </w:rPr>
        <w:t>5.4 Побічна дія</w:t>
      </w:r>
    </w:p>
    <w:p w14:paraId="49084F9B" w14:textId="77777777" w:rsidR="00EB7B1E" w:rsidRPr="003D62D3" w:rsidRDefault="00EB7B1E" w:rsidP="008C6C2D">
      <w:pPr>
        <w:ind w:firstLine="567"/>
        <w:rPr>
          <w:szCs w:val="22"/>
          <w:lang w:val="uk-UA"/>
        </w:rPr>
      </w:pPr>
      <w:r w:rsidRPr="003D62D3">
        <w:rPr>
          <w:lang w:val="uk-UA" w:bidi="uk-UA"/>
        </w:rPr>
        <w:t>У собак:</w:t>
      </w:r>
    </w:p>
    <w:tbl>
      <w:tblPr>
        <w:tblW w:w="4747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4"/>
        <w:gridCol w:w="5267"/>
      </w:tblGrid>
      <w:tr w:rsidR="003D62D3" w:rsidRPr="003D62D3" w14:paraId="45AB7E62" w14:textId="77777777" w:rsidTr="008C6C2D">
        <w:tc>
          <w:tcPr>
            <w:tcW w:w="2367" w:type="pct"/>
          </w:tcPr>
          <w:p w14:paraId="3F99B079" w14:textId="77777777" w:rsidR="00EB7B1E" w:rsidRPr="003D62D3" w:rsidRDefault="00EB7B1E" w:rsidP="00DA7976">
            <w:pPr>
              <w:spacing w:before="60" w:after="60"/>
              <w:rPr>
                <w:szCs w:val="22"/>
                <w:lang w:val="uk-UA"/>
              </w:rPr>
            </w:pPr>
            <w:r w:rsidRPr="003D62D3">
              <w:rPr>
                <w:lang w:val="uk-UA" w:bidi="uk-UA"/>
              </w:rPr>
              <w:t>Поширені (1–10 випадків на 100 тварин, що отримали терапію):</w:t>
            </w:r>
          </w:p>
        </w:tc>
        <w:tc>
          <w:tcPr>
            <w:tcW w:w="2633" w:type="pct"/>
          </w:tcPr>
          <w:p w14:paraId="0613EE59" w14:textId="77777777" w:rsidR="00EB7B1E" w:rsidRPr="003D62D3" w:rsidRDefault="00EB7B1E" w:rsidP="00DA7976">
            <w:pPr>
              <w:rPr>
                <w:iCs/>
                <w:szCs w:val="22"/>
                <w:lang w:val="uk-UA"/>
              </w:rPr>
            </w:pPr>
            <w:r w:rsidRPr="003D62D3">
              <w:rPr>
                <w:szCs w:val="22"/>
                <w:lang w:val="uk-UA" w:bidi="uk-UA"/>
              </w:rPr>
              <w:t>Блювання, діарея, м’який стілець.</w:t>
            </w:r>
          </w:p>
        </w:tc>
      </w:tr>
      <w:tr w:rsidR="003D62D3" w:rsidRPr="003D62D3" w14:paraId="23CEBF74" w14:textId="77777777" w:rsidTr="008C6C2D">
        <w:tc>
          <w:tcPr>
            <w:tcW w:w="2367" w:type="pct"/>
          </w:tcPr>
          <w:p w14:paraId="5F1C5C54" w14:textId="77777777" w:rsidR="00EB7B1E" w:rsidRPr="003D62D3" w:rsidRDefault="00EB7B1E" w:rsidP="00DA7976">
            <w:pPr>
              <w:spacing w:before="60" w:after="60"/>
              <w:rPr>
                <w:lang w:val="uk-UA"/>
              </w:rPr>
            </w:pPr>
            <w:r w:rsidRPr="003D62D3">
              <w:rPr>
                <w:lang w:val="uk-UA" w:bidi="uk-UA"/>
              </w:rPr>
              <w:t>Частота невідома (не можна оцінити за наявними даними):</w:t>
            </w:r>
          </w:p>
        </w:tc>
        <w:tc>
          <w:tcPr>
            <w:tcW w:w="2633" w:type="pct"/>
          </w:tcPr>
          <w:p w14:paraId="5E0EDD7A" w14:textId="77777777" w:rsidR="00EB7B1E" w:rsidRPr="003D62D3" w:rsidRDefault="00EB7B1E" w:rsidP="00DA7976">
            <w:pPr>
              <w:rPr>
                <w:szCs w:val="22"/>
                <w:lang w:val="uk-UA"/>
              </w:rPr>
            </w:pPr>
            <w:r w:rsidRPr="003D62D3">
              <w:rPr>
                <w:szCs w:val="22"/>
                <w:lang w:val="uk-UA" w:bidi="uk-UA"/>
              </w:rPr>
              <w:t>Азотемія.</w:t>
            </w:r>
          </w:p>
          <w:p w14:paraId="7B537ECA" w14:textId="5DAA1929" w:rsidR="00EB7B1E" w:rsidRPr="003D62D3" w:rsidRDefault="00EB7B1E" w:rsidP="00DA7976">
            <w:pPr>
              <w:rPr>
                <w:szCs w:val="22"/>
                <w:lang w:val="uk-UA"/>
              </w:rPr>
            </w:pPr>
            <w:r w:rsidRPr="003D62D3">
              <w:rPr>
                <w:szCs w:val="22"/>
                <w:lang w:val="uk-UA" w:bidi="uk-UA"/>
              </w:rPr>
              <w:t>Аритмія*, з</w:t>
            </w:r>
            <w:r w:rsidR="00DA7976" w:rsidRPr="003D62D3">
              <w:rPr>
                <w:lang w:val="uk-UA"/>
              </w:rPr>
              <w:t xml:space="preserve"> збільшення регургітації мітрального клапана</w:t>
            </w:r>
            <w:r w:rsidRPr="003D62D3">
              <w:rPr>
                <w:szCs w:val="22"/>
                <w:lang w:val="uk-UA" w:bidi="uk-UA"/>
              </w:rPr>
              <w:t xml:space="preserve">, специфічні ураження мітрального клапана**, шум в серці. </w:t>
            </w:r>
            <w:r w:rsidRPr="003D62D3">
              <w:rPr>
                <w:szCs w:val="22"/>
                <w:lang w:val="uk-UA" w:bidi="uk-UA"/>
              </w:rPr>
              <w:cr/>
              <w:t>Слабкість.</w:t>
            </w:r>
          </w:p>
          <w:p w14:paraId="79C8B4D8" w14:textId="01B79896" w:rsidR="00EB7B1E" w:rsidRPr="003D62D3" w:rsidRDefault="00DA7976" w:rsidP="00DA7976">
            <w:pPr>
              <w:rPr>
                <w:szCs w:val="22"/>
                <w:lang w:val="uk-UA"/>
              </w:rPr>
            </w:pPr>
            <w:r w:rsidRPr="003D62D3">
              <w:rPr>
                <w:lang w:val="uk-UA"/>
              </w:rPr>
              <w:t>Втрата апетиту, млявість, атаксія, непритомність. Задишка, кашель, плевральний випіт. Асцит. Смерть.***</w:t>
            </w:r>
          </w:p>
        </w:tc>
      </w:tr>
    </w:tbl>
    <w:p w14:paraId="4D9377B7" w14:textId="77777777" w:rsidR="00EB7B1E" w:rsidRPr="003D62D3" w:rsidRDefault="00EB7B1E" w:rsidP="00EB7B1E">
      <w:pPr>
        <w:tabs>
          <w:tab w:val="left" w:pos="426"/>
        </w:tabs>
        <w:ind w:firstLine="426"/>
        <w:jc w:val="both"/>
        <w:rPr>
          <w:szCs w:val="22"/>
          <w:lang w:val="uk-UA"/>
        </w:rPr>
      </w:pPr>
      <w:bookmarkStart w:id="0" w:name="_Hlk66891708"/>
      <w:r w:rsidRPr="003D62D3">
        <w:rPr>
          <w:szCs w:val="22"/>
          <w:lang w:val="uk-UA" w:bidi="uk-UA"/>
        </w:rPr>
        <w:t>*</w:t>
      </w:r>
      <w:r w:rsidRPr="003D62D3">
        <w:rPr>
          <w:szCs w:val="22"/>
          <w:lang w:val="uk-UA" w:bidi="uk-UA"/>
        </w:rPr>
        <w:tab/>
        <w:t>Повідомлялося про фібриляцію передсердь або збільшену кількість шлуночкових екстрасистол у собак, які приймали пімобендан. Оскільки сама кардіоміопатія може спричиняти аритмії, прямий причинно-наслідковий зв’язок остаточно не встановлений.</w:t>
      </w:r>
    </w:p>
    <w:p w14:paraId="2D6498A0" w14:textId="77777777" w:rsidR="00EB7B1E" w:rsidRPr="003D62D3" w:rsidRDefault="00EB7B1E" w:rsidP="00EB7B1E">
      <w:pPr>
        <w:tabs>
          <w:tab w:val="left" w:pos="426"/>
        </w:tabs>
        <w:ind w:firstLine="426"/>
        <w:jc w:val="both"/>
        <w:rPr>
          <w:szCs w:val="22"/>
          <w:lang w:val="uk-UA"/>
        </w:rPr>
      </w:pPr>
      <w:r w:rsidRPr="003D62D3">
        <w:rPr>
          <w:szCs w:val="22"/>
          <w:lang w:val="uk-UA" w:bidi="uk-UA"/>
        </w:rPr>
        <w:t>**</w:t>
      </w:r>
      <w:r w:rsidRPr="003D62D3">
        <w:rPr>
          <w:szCs w:val="22"/>
          <w:lang w:val="uk-UA" w:bidi="uk-UA"/>
        </w:rPr>
        <w:tab/>
        <w:t>Спостерігали у собак із захворюванням мітрального клапана.</w:t>
      </w:r>
    </w:p>
    <w:p w14:paraId="073FF03F" w14:textId="77777777" w:rsidR="00EB7B1E" w:rsidRPr="003D62D3" w:rsidRDefault="00EB7B1E" w:rsidP="00BA5213">
      <w:pPr>
        <w:tabs>
          <w:tab w:val="left" w:pos="426"/>
        </w:tabs>
        <w:ind w:firstLine="426"/>
        <w:jc w:val="both"/>
        <w:rPr>
          <w:szCs w:val="22"/>
          <w:lang w:val="uk-UA"/>
        </w:rPr>
      </w:pPr>
      <w:r w:rsidRPr="003D62D3">
        <w:rPr>
          <w:szCs w:val="22"/>
          <w:lang w:val="uk-UA" w:bidi="uk-UA"/>
        </w:rPr>
        <w:t>***Поодинокі випадки раптової смерті.</w:t>
      </w:r>
    </w:p>
    <w:bookmarkEnd w:id="0"/>
    <w:p w14:paraId="6B11CB6D" w14:textId="03F168BE" w:rsidR="0057510D" w:rsidRPr="003D62D3" w:rsidRDefault="0057510D" w:rsidP="00A9753E">
      <w:pPr>
        <w:ind w:firstLine="567"/>
        <w:jc w:val="both"/>
        <w:rPr>
          <w:lang w:val="uk-UA"/>
        </w:rPr>
      </w:pPr>
      <w:r w:rsidRPr="003D62D3">
        <w:rPr>
          <w:b/>
          <w:lang w:val="uk-UA"/>
        </w:rPr>
        <w:t>5.5 Особливі застереження при використанні</w:t>
      </w:r>
    </w:p>
    <w:p w14:paraId="6B11CB6E" w14:textId="77777777" w:rsidR="005B393E" w:rsidRPr="003D62D3" w:rsidRDefault="005B393E" w:rsidP="005B393E">
      <w:pPr>
        <w:ind w:left="567"/>
        <w:jc w:val="both"/>
        <w:rPr>
          <w:b/>
          <w:lang w:val="uk-UA"/>
        </w:rPr>
      </w:pPr>
      <w:r w:rsidRPr="003D62D3">
        <w:rPr>
          <w:lang w:val="uk-UA" w:eastAsia="en-US"/>
        </w:rPr>
        <w:t>Не перевищувати рекомендовану дозу!</w:t>
      </w:r>
    </w:p>
    <w:p w14:paraId="78100D4C" w14:textId="77777777" w:rsidR="00DA7976" w:rsidRPr="003D62D3" w:rsidRDefault="00DA7976" w:rsidP="00DA7976">
      <w:pPr>
        <w:ind w:firstLine="567"/>
        <w:jc w:val="both"/>
        <w:rPr>
          <w:lang w:val="uk-UA"/>
        </w:rPr>
      </w:pPr>
      <w:r w:rsidRPr="003D62D3">
        <w:rPr>
          <w:lang w:val="uk-UA"/>
        </w:rPr>
        <w:t xml:space="preserve">У собак, хворих на цукровий діабет </w:t>
      </w:r>
      <w:r w:rsidRPr="003D62D3">
        <w:t xml:space="preserve">під час лікування </w:t>
      </w:r>
      <w:r w:rsidRPr="003D62D3">
        <w:rPr>
          <w:lang w:val="uk-UA"/>
        </w:rPr>
        <w:t>необхідно регулярно перевіряти рівень глюкози в крові.</w:t>
      </w:r>
    </w:p>
    <w:p w14:paraId="1ADB048A" w14:textId="77777777" w:rsidR="00DA7976" w:rsidRPr="003D62D3" w:rsidRDefault="00DA7976" w:rsidP="00DA7976">
      <w:pPr>
        <w:ind w:firstLine="567"/>
        <w:jc w:val="both"/>
        <w:rPr>
          <w:lang w:val="uk-UA"/>
        </w:rPr>
      </w:pPr>
      <w:r w:rsidRPr="003D62D3">
        <w:rPr>
          <w:lang w:val="uk-UA"/>
        </w:rPr>
        <w:t>Для застосування в доклінічній стадії дилатаційної кардіоміопатії (безсимптомної, зі збільшеним діаметром закінчень систоли і діастоли лівого шлуночка), діагноз повинен визначатися комплексними кардіологічними дослідженнями (включаючи ехокардіографію і, можливо, холтерівський моніторинг).</w:t>
      </w:r>
    </w:p>
    <w:p w14:paraId="5F49D336" w14:textId="77777777" w:rsidR="00DA7976" w:rsidRPr="003D62D3" w:rsidRDefault="00DA7976" w:rsidP="00DA7976">
      <w:pPr>
        <w:ind w:firstLine="567"/>
        <w:jc w:val="both"/>
        <w:rPr>
          <w:lang w:val="uk-UA"/>
        </w:rPr>
      </w:pPr>
      <w:r w:rsidRPr="003D62D3">
        <w:rPr>
          <w:lang w:val="uk-UA"/>
        </w:rPr>
        <w:t xml:space="preserve">Для застосування препарату з метою лікування міксоматозної мітральної вади серця в доклінічній стадії (стадія </w:t>
      </w:r>
      <w:r w:rsidRPr="003D62D3">
        <w:t>B</w:t>
      </w:r>
      <w:r w:rsidRPr="003D62D3">
        <w:rPr>
          <w:lang w:val="uk-UA"/>
        </w:rPr>
        <w:t xml:space="preserve">2, згідно з консенсусом </w:t>
      </w:r>
      <w:r w:rsidRPr="003D62D3">
        <w:t>ACVIM</w:t>
      </w:r>
      <w:r w:rsidRPr="003D62D3">
        <w:rPr>
          <w:lang w:val="uk-UA"/>
        </w:rPr>
        <w:t>: безсимптомний перебіг з мітральним шумом ≥ 3/6 і кардіомегалією, внаслідок міксоматозної мітральної вади серця) необхідно провести діагностику шляхом комплексного фізичного та кардіологічного обстеження, яке повинно включати, при необхідності, ехокардіографію або рентгенографію.</w:t>
      </w:r>
    </w:p>
    <w:p w14:paraId="5C7D4EE6" w14:textId="77777777" w:rsidR="003D62D3" w:rsidRPr="003D62D3" w:rsidRDefault="003D62D3" w:rsidP="003D62D3">
      <w:pPr>
        <w:ind w:firstLine="567"/>
        <w:jc w:val="both"/>
        <w:rPr>
          <w:szCs w:val="22"/>
          <w:lang w:val="uk-UA"/>
        </w:rPr>
      </w:pPr>
    </w:p>
    <w:p w14:paraId="4E48C178" w14:textId="77777777" w:rsidR="003D62D3" w:rsidRPr="003D62D3" w:rsidRDefault="003D62D3" w:rsidP="003D62D3">
      <w:pPr>
        <w:pStyle w:val="1"/>
        <w:ind w:left="7020"/>
        <w:jc w:val="right"/>
        <w:rPr>
          <w:b w:val="0"/>
        </w:rPr>
      </w:pPr>
      <w:r w:rsidRPr="003D62D3">
        <w:rPr>
          <w:b w:val="0"/>
        </w:rPr>
        <w:lastRenderedPageBreak/>
        <w:t>Продовження додатку 1</w:t>
      </w:r>
    </w:p>
    <w:p w14:paraId="5832F25B" w14:textId="3C337174" w:rsidR="003D62D3" w:rsidRPr="003D62D3" w:rsidRDefault="003D62D3" w:rsidP="003D62D3">
      <w:pPr>
        <w:ind w:firstLine="567"/>
        <w:jc w:val="right"/>
        <w:rPr>
          <w:lang w:val="uk-UA"/>
        </w:rPr>
      </w:pPr>
      <w:r w:rsidRPr="003D62D3">
        <w:rPr>
          <w:lang w:val="uk-UA"/>
        </w:rPr>
        <w:t>до реєстраційного посвідчення</w:t>
      </w:r>
    </w:p>
    <w:p w14:paraId="1C943786" w14:textId="77777777" w:rsidR="003D62D3" w:rsidRPr="003D62D3" w:rsidRDefault="003D62D3" w:rsidP="003D62D3">
      <w:pPr>
        <w:ind w:firstLine="567"/>
        <w:jc w:val="right"/>
        <w:rPr>
          <w:lang w:val="uk-UA" w:bidi="uk-UA"/>
        </w:rPr>
      </w:pPr>
    </w:p>
    <w:p w14:paraId="2E38977C" w14:textId="77777777" w:rsidR="00DA7976" w:rsidRPr="003D62D3" w:rsidRDefault="00DA7976" w:rsidP="00DA7976">
      <w:pPr>
        <w:ind w:firstLine="567"/>
        <w:jc w:val="both"/>
      </w:pPr>
      <w:r w:rsidRPr="003D62D3">
        <w:t>Рекомендується моніторинг серцевої функції та морфології у тварин, які отримують пімобендан.</w:t>
      </w:r>
    </w:p>
    <w:p w14:paraId="6B11CB72" w14:textId="77777777" w:rsidR="0057510D" w:rsidRPr="003D62D3" w:rsidRDefault="0057510D" w:rsidP="0057510D">
      <w:pPr>
        <w:ind w:firstLine="567"/>
        <w:jc w:val="both"/>
        <w:rPr>
          <w:lang w:val="uk-UA"/>
        </w:rPr>
      </w:pPr>
      <w:r w:rsidRPr="003D62D3">
        <w:rPr>
          <w:b/>
          <w:lang w:val="uk-UA"/>
        </w:rPr>
        <w:t>5.6 Використання під час вагітності, лактації</w:t>
      </w:r>
    </w:p>
    <w:p w14:paraId="123EB595" w14:textId="74683319" w:rsidR="00A41516" w:rsidRPr="003D62D3" w:rsidRDefault="00DA7976" w:rsidP="003D62D3">
      <w:pPr>
        <w:ind w:firstLine="567"/>
        <w:jc w:val="both"/>
        <w:rPr>
          <w:lang w:val="uk-UA" w:bidi="uk-UA"/>
        </w:rPr>
      </w:pPr>
      <w:r w:rsidRPr="003D62D3">
        <w:t xml:space="preserve">Лабораторні дослідження на щурах і </w:t>
      </w:r>
      <w:r w:rsidRPr="003D62D3">
        <w:rPr>
          <w:lang w:val="uk-UA"/>
        </w:rPr>
        <w:t>кролях</w:t>
      </w:r>
      <w:r w:rsidRPr="003D62D3">
        <w:t xml:space="preserve"> не виявили будь-яких доказів тератогенної або фетотоксичної дії. Проте, ці дослідження показали наявність токсичної дії на вагітних самок та виявили ембріотоксичну дію при застосуванні препарату у високих дозах, а також те, що пімобендан виділяється у молоко. Безпечність препарату для вагітних і годуючих самок собак не оцінювали. Препарат може застосовувати виключно лікар ветеринарної медицини відповідно до оцінки користі/ризику лікарського засобу.</w:t>
      </w:r>
    </w:p>
    <w:p w14:paraId="5D5E089D" w14:textId="77777777" w:rsidR="00A41516" w:rsidRPr="003D62D3" w:rsidRDefault="00A41516" w:rsidP="0057510D">
      <w:pPr>
        <w:ind w:firstLine="567"/>
        <w:jc w:val="both"/>
        <w:rPr>
          <w:b/>
          <w:lang w:val="lv-LV"/>
        </w:rPr>
      </w:pPr>
    </w:p>
    <w:p w14:paraId="6B11CB7A" w14:textId="21268236" w:rsidR="0057510D" w:rsidRPr="003D62D3" w:rsidRDefault="0057510D" w:rsidP="0057510D">
      <w:pPr>
        <w:ind w:firstLine="567"/>
        <w:jc w:val="both"/>
        <w:rPr>
          <w:b/>
          <w:lang w:val="uk-UA"/>
        </w:rPr>
      </w:pPr>
      <w:r w:rsidRPr="003D62D3">
        <w:rPr>
          <w:b/>
          <w:lang w:val="uk-UA"/>
        </w:rPr>
        <w:t>5.7 Взаємодія з іншими засобами та інші форми взаємодії</w:t>
      </w:r>
    </w:p>
    <w:p w14:paraId="35D3530B" w14:textId="77777777" w:rsidR="00DA7976" w:rsidRPr="003D62D3" w:rsidRDefault="00DA7976" w:rsidP="00DA7976">
      <w:pPr>
        <w:ind w:firstLine="567"/>
        <w:jc w:val="both"/>
        <w:rPr>
          <w:lang w:val="uk-UA"/>
        </w:rPr>
      </w:pPr>
      <w:r w:rsidRPr="003D62D3">
        <w:t xml:space="preserve">При фармакологічних дослідженнях не спостерігалося взаємодії між серцевим глікозидом строфантином і пімобенданом. Збільшення скорочувальної здатності серця, викликане пімобенданом, послаблюється антагоністами кальцію верапамілом і дилтіаземом та β-антагоністом пропранололом. </w:t>
      </w:r>
    </w:p>
    <w:p w14:paraId="6B11CB7D" w14:textId="07258A5E" w:rsidR="00C72E61" w:rsidRPr="003D62D3" w:rsidRDefault="00DA7976" w:rsidP="00DA7976">
      <w:pPr>
        <w:ind w:firstLine="567"/>
        <w:jc w:val="both"/>
        <w:rPr>
          <w:b/>
          <w:lang w:val="uk-UA"/>
        </w:rPr>
      </w:pPr>
      <w:r w:rsidRPr="003D62D3">
        <w:rPr>
          <w:lang w:val="uk-UA" w:eastAsia="en-US"/>
        </w:rPr>
        <w:t>Препарат</w:t>
      </w:r>
      <w:r w:rsidRPr="003D62D3">
        <w:rPr>
          <w:lang w:val="lv-LV" w:eastAsia="en-US"/>
        </w:rPr>
        <w:t xml:space="preserve"> можна застосовувати в поєднанні з діуретиками, такими як фуросемід.</w:t>
      </w:r>
    </w:p>
    <w:p w14:paraId="6B11CB7E" w14:textId="77777777" w:rsidR="0057510D" w:rsidRPr="003D62D3" w:rsidRDefault="0057510D" w:rsidP="0057510D">
      <w:pPr>
        <w:ind w:firstLine="567"/>
        <w:jc w:val="both"/>
        <w:rPr>
          <w:b/>
          <w:lang w:val="uk-UA"/>
        </w:rPr>
      </w:pPr>
      <w:r w:rsidRPr="003D62D3">
        <w:rPr>
          <w:b/>
          <w:lang w:val="uk-UA"/>
        </w:rPr>
        <w:t>5.8 Дози і способи введення тваринам різного віку</w:t>
      </w:r>
    </w:p>
    <w:p w14:paraId="571252DC" w14:textId="77777777" w:rsidR="00DA7976" w:rsidRPr="003D62D3" w:rsidRDefault="00DA7976" w:rsidP="00DA7976">
      <w:pPr>
        <w:ind w:firstLine="567"/>
        <w:jc w:val="both"/>
      </w:pPr>
      <w:r w:rsidRPr="003D62D3">
        <w:t>Перед початком лікування необхідно визначити точну масу тіла тварини, щоб забезпечити правильне дозування.</w:t>
      </w:r>
    </w:p>
    <w:p w14:paraId="75019A42" w14:textId="77777777" w:rsidR="00DA7976" w:rsidRPr="003D62D3" w:rsidRDefault="00DA7976" w:rsidP="00DA7976">
      <w:pPr>
        <w:ind w:firstLine="567"/>
        <w:jc w:val="both"/>
      </w:pPr>
      <w:r w:rsidRPr="003D62D3">
        <w:t>Слід дотримуватися дозування від 0,2 мг до 0,6 мг пімобендану на 1 кг маси тіла, розділеного на два прийоми за добу.</w:t>
      </w:r>
    </w:p>
    <w:p w14:paraId="5987DC19" w14:textId="77777777" w:rsidR="00DA7976" w:rsidRPr="003D62D3" w:rsidRDefault="00DA7976" w:rsidP="00DA7976">
      <w:pPr>
        <w:ind w:firstLine="567"/>
        <w:jc w:val="both"/>
      </w:pPr>
      <w:r w:rsidRPr="003D62D3">
        <w:t>Рекомендована добова доза становить 0,5 мг пімобендану на 1 кг маси тіла, розділена на два прийоми.</w:t>
      </w:r>
    </w:p>
    <w:p w14:paraId="4C138A51" w14:textId="77777777" w:rsidR="00DA7976" w:rsidRPr="003D62D3" w:rsidRDefault="00DA7976" w:rsidP="00DA7976">
      <w:pPr>
        <w:ind w:firstLine="567"/>
        <w:jc w:val="both"/>
      </w:pPr>
      <w:r w:rsidRPr="003D62D3">
        <w:t>Одна жувальна таблетка (5 мг) вранці і одна жувальна таблетка (5 мг) ввечері для собак масою тіла від 20 кг до 40 кг.</w:t>
      </w:r>
    </w:p>
    <w:p w14:paraId="24AE1A19" w14:textId="77777777" w:rsidR="00DA7976" w:rsidRPr="003D62D3" w:rsidRDefault="00DA7976" w:rsidP="00DA7976">
      <w:pPr>
        <w:ind w:firstLine="567"/>
        <w:jc w:val="both"/>
      </w:pPr>
      <w:r w:rsidRPr="003D62D3">
        <w:t xml:space="preserve">Не перевищуйте рекомендовану дозу. </w:t>
      </w:r>
    </w:p>
    <w:p w14:paraId="462BEE4C" w14:textId="77777777" w:rsidR="00DA7976" w:rsidRPr="003D62D3" w:rsidRDefault="00DA7976" w:rsidP="00DA7976">
      <w:pPr>
        <w:ind w:firstLine="567"/>
        <w:jc w:val="both"/>
      </w:pPr>
      <w:r w:rsidRPr="003D62D3">
        <w:t xml:space="preserve">Пімобендан застосовують перорально. </w:t>
      </w:r>
    </w:p>
    <w:p w14:paraId="1E61C2D0" w14:textId="77777777" w:rsidR="00DA7976" w:rsidRPr="003D62D3" w:rsidRDefault="00DA7976" w:rsidP="00DA7976">
      <w:pPr>
        <w:ind w:firstLine="567"/>
        <w:jc w:val="both"/>
      </w:pPr>
      <w:r w:rsidRPr="003D62D3">
        <w:t xml:space="preserve">Пімобендан слід </w:t>
      </w:r>
      <w:r w:rsidRPr="003D62D3">
        <w:rPr>
          <w:lang w:val="uk-UA"/>
        </w:rPr>
        <w:t>застосувати</w:t>
      </w:r>
      <w:r w:rsidRPr="003D62D3">
        <w:t xml:space="preserve"> приблизно за годину до годівлі.</w:t>
      </w:r>
    </w:p>
    <w:p w14:paraId="277B59F0" w14:textId="77777777" w:rsidR="00DA7976" w:rsidRPr="003D62D3" w:rsidRDefault="00DA7976" w:rsidP="00DA7976">
      <w:pPr>
        <w:ind w:firstLine="567"/>
        <w:jc w:val="both"/>
      </w:pPr>
      <w:r w:rsidRPr="003D62D3">
        <w:t>Пімобендан можна також застосовувати в поєднанні з діуретиком, наприклад фуросемідом.</w:t>
      </w:r>
    </w:p>
    <w:p w14:paraId="322CCE6A" w14:textId="77777777" w:rsidR="00DA7976" w:rsidRPr="003D62D3" w:rsidRDefault="00DA7976" w:rsidP="00DA7976">
      <w:pPr>
        <w:ind w:firstLine="567"/>
        <w:rPr>
          <w:lang w:val="uk-UA"/>
        </w:rPr>
      </w:pPr>
      <w:r w:rsidRPr="003D62D3">
        <w:t xml:space="preserve">Для більш точного дозування, що відповідає масі тіла тварини, таблетку можна розділити по лінії розлому на дві </w:t>
      </w:r>
      <w:r w:rsidRPr="003D62D3">
        <w:rPr>
          <w:lang w:val="uk-UA"/>
        </w:rPr>
        <w:t>або чотири частини</w:t>
      </w:r>
      <w:r w:rsidRPr="003D62D3">
        <w:t>.</w:t>
      </w:r>
    </w:p>
    <w:p w14:paraId="0E14CC0D" w14:textId="398B1658" w:rsidR="00243749" w:rsidRPr="003D62D3" w:rsidRDefault="00C24965" w:rsidP="00CB77CC">
      <w:pPr>
        <w:ind w:firstLine="567"/>
        <w:rPr>
          <w:iCs/>
          <w:szCs w:val="22"/>
          <w:lang w:val="uk-UA"/>
        </w:rPr>
      </w:pPr>
      <w:r w:rsidRPr="003D62D3">
        <w:rPr>
          <w:szCs w:val="22"/>
          <w:lang w:val="uk-UA" w:bidi="uk-UA"/>
        </w:rPr>
        <w:t xml:space="preserve"> </w:t>
      </w:r>
      <w:r w:rsidR="00243749" w:rsidRPr="003D62D3">
        <w:rPr>
          <w:szCs w:val="22"/>
          <w:lang w:val="uk-UA" w:bidi="uk-UA"/>
        </w:rPr>
        <w:t>При декомпенсованій серцевій недостатності рекомендовано довічне лікування. Дозу треба коригувати індивідуально залежно від тяжкості захворювання.</w:t>
      </w:r>
    </w:p>
    <w:p w14:paraId="71DC7258" w14:textId="77777777" w:rsidR="00CB77CC" w:rsidRPr="003D62D3" w:rsidRDefault="0057510D" w:rsidP="00CB77CC">
      <w:pPr>
        <w:ind w:firstLine="567"/>
        <w:jc w:val="both"/>
        <w:rPr>
          <w:b/>
          <w:lang w:val="lv-LV"/>
        </w:rPr>
      </w:pPr>
      <w:r w:rsidRPr="003D62D3">
        <w:rPr>
          <w:b/>
          <w:lang w:val="uk-UA"/>
        </w:rPr>
        <w:t>5.9 Передозування (симптоми, невідкладні заходи, антидоти)</w:t>
      </w:r>
    </w:p>
    <w:p w14:paraId="1FC3F3B5" w14:textId="77777777" w:rsidR="00A47386" w:rsidRPr="003D62D3" w:rsidRDefault="00A47386" w:rsidP="00A47386">
      <w:pPr>
        <w:ind w:firstLine="567"/>
        <w:jc w:val="both"/>
      </w:pPr>
      <w:r w:rsidRPr="003D62D3">
        <w:t>Передозування може спричиняти позитивний хронотропний ефект, блювання, апатію, атаксію, шуми в серці або гіпотонію. У цій ситуації слід зменшити дозу препарату і розпочати відповідне симптоматичне лікування.</w:t>
      </w:r>
    </w:p>
    <w:p w14:paraId="221850B8" w14:textId="3B692B04" w:rsidR="00243749" w:rsidRPr="003D62D3" w:rsidRDefault="00A47386" w:rsidP="00A47386">
      <w:pPr>
        <w:ind w:firstLine="567"/>
        <w:jc w:val="both"/>
        <w:rPr>
          <w:lang w:val="uk-UA"/>
        </w:rPr>
      </w:pPr>
      <w:r w:rsidRPr="003D62D3">
        <w:rPr>
          <w:lang w:val="uk-UA"/>
        </w:rPr>
        <w:t>За</w:t>
      </w:r>
      <w:r w:rsidRPr="003D62D3">
        <w:t xml:space="preserve"> тривало</w:t>
      </w:r>
      <w:r w:rsidRPr="003D62D3">
        <w:rPr>
          <w:lang w:val="uk-UA"/>
        </w:rPr>
        <w:t>го</w:t>
      </w:r>
      <w:r w:rsidRPr="003D62D3">
        <w:t xml:space="preserve"> вплив</w:t>
      </w:r>
      <w:r w:rsidRPr="003D62D3">
        <w:rPr>
          <w:lang w:val="uk-UA"/>
        </w:rPr>
        <w:t>у</w:t>
      </w:r>
      <w:r w:rsidRPr="003D62D3">
        <w:t xml:space="preserve"> (6 місяців) препарату на здорових собак породи бігль у дозі, яка перевищувала рекомендовану дозу в 3 та 5 разів, у деяких собак спостерігали потовщення мітрального клапана і гіпертрофію лівого шлуночка. Ці зміни мають фармакодинамічне походження.</w:t>
      </w:r>
    </w:p>
    <w:p w14:paraId="6B11CB8B" w14:textId="77777777" w:rsidR="0057510D" w:rsidRPr="003D62D3" w:rsidRDefault="0057510D" w:rsidP="0057510D">
      <w:pPr>
        <w:ind w:left="567"/>
        <w:jc w:val="both"/>
        <w:rPr>
          <w:b/>
          <w:lang w:val="uk-UA"/>
        </w:rPr>
      </w:pPr>
      <w:r w:rsidRPr="003D62D3">
        <w:rPr>
          <w:b/>
          <w:lang w:val="uk-UA"/>
        </w:rPr>
        <w:t>5.10 Спеціальні застереження</w:t>
      </w:r>
    </w:p>
    <w:p w14:paraId="6B11CB8C" w14:textId="77777777" w:rsidR="005B393E" w:rsidRPr="003D62D3" w:rsidRDefault="005B393E" w:rsidP="0057510D">
      <w:pPr>
        <w:ind w:left="567"/>
        <w:jc w:val="both"/>
        <w:rPr>
          <w:lang w:val="uk-UA"/>
        </w:rPr>
      </w:pPr>
      <w:r w:rsidRPr="003D62D3">
        <w:rPr>
          <w:lang w:val="uk-UA"/>
        </w:rPr>
        <w:t>Даних немає.</w:t>
      </w:r>
    </w:p>
    <w:p w14:paraId="6B11CB8D" w14:textId="77777777" w:rsidR="0057510D" w:rsidRPr="003D62D3" w:rsidRDefault="0057510D" w:rsidP="00B74112">
      <w:pPr>
        <w:ind w:firstLine="567"/>
        <w:jc w:val="both"/>
        <w:rPr>
          <w:lang w:val="uk-UA"/>
        </w:rPr>
      </w:pPr>
      <w:r w:rsidRPr="003D62D3">
        <w:rPr>
          <w:b/>
          <w:lang w:val="uk-UA"/>
        </w:rPr>
        <w:t>5.11 Період виведення (каренції)</w:t>
      </w:r>
    </w:p>
    <w:p w14:paraId="3F3074B8" w14:textId="77777777" w:rsidR="00682629" w:rsidRPr="003D62D3" w:rsidRDefault="00243749" w:rsidP="0057510D">
      <w:pPr>
        <w:pStyle w:val="2"/>
        <w:ind w:firstLine="567"/>
        <w:rPr>
          <w:rStyle w:val="cf01"/>
          <w:rFonts w:ascii="Times New Roman" w:hAnsi="Times New Roman" w:cs="Times New Roman"/>
          <w:sz w:val="24"/>
          <w:szCs w:val="24"/>
          <w:lang w:val="lv-LV"/>
        </w:rPr>
      </w:pPr>
      <w:r w:rsidRPr="003D62D3">
        <w:rPr>
          <w:rStyle w:val="cf01"/>
          <w:rFonts w:ascii="Times New Roman" w:hAnsi="Times New Roman" w:cs="Times New Roman"/>
          <w:b w:val="0"/>
          <w:bCs w:val="0"/>
          <w:sz w:val="24"/>
          <w:szCs w:val="24"/>
        </w:rPr>
        <w:t>Для н</w:t>
      </w:r>
      <w:bookmarkStart w:id="1" w:name="_GoBack"/>
      <w:bookmarkEnd w:id="1"/>
      <w:r w:rsidRPr="003D62D3">
        <w:rPr>
          <w:rStyle w:val="cf01"/>
          <w:rFonts w:ascii="Times New Roman" w:hAnsi="Times New Roman" w:cs="Times New Roman"/>
          <w:b w:val="0"/>
          <w:bCs w:val="0"/>
          <w:sz w:val="24"/>
          <w:szCs w:val="24"/>
        </w:rPr>
        <w:t>епродуктивних тварин</w:t>
      </w:r>
      <w:r w:rsidRPr="003D62D3">
        <w:rPr>
          <w:rStyle w:val="cf01"/>
          <w:rFonts w:ascii="Times New Roman" w:hAnsi="Times New Roman" w:cs="Times New Roman"/>
          <w:sz w:val="24"/>
          <w:szCs w:val="24"/>
        </w:rPr>
        <w:t>.</w:t>
      </w:r>
    </w:p>
    <w:p w14:paraId="6B11CB8F" w14:textId="40FA922E" w:rsidR="0057510D" w:rsidRPr="003D62D3" w:rsidRDefault="0057510D" w:rsidP="0057510D">
      <w:pPr>
        <w:pStyle w:val="2"/>
        <w:ind w:firstLine="567"/>
        <w:rPr>
          <w:b w:val="0"/>
        </w:rPr>
      </w:pPr>
      <w:r w:rsidRPr="003D62D3">
        <w:t>5.12 Спеціальні застереження для осіб і обслуговуючого персоналу</w:t>
      </w:r>
    </w:p>
    <w:p w14:paraId="6B11CB90" w14:textId="77777777" w:rsidR="00B74112" w:rsidRPr="003D62D3" w:rsidRDefault="00B74112" w:rsidP="009006BE">
      <w:pPr>
        <w:ind w:firstLine="567"/>
        <w:jc w:val="both"/>
        <w:rPr>
          <w:lang w:val="uk-UA"/>
        </w:rPr>
      </w:pPr>
      <w:r w:rsidRPr="003D62D3">
        <w:rPr>
          <w:lang w:val="uk-UA"/>
        </w:rPr>
        <w:t xml:space="preserve">Якщо сталося ненавмисне (випадкове) проковтування, негайно зверніться до лікаря і покажіть </w:t>
      </w:r>
      <w:r w:rsidR="009006BE" w:rsidRPr="003D62D3">
        <w:rPr>
          <w:lang w:val="uk-UA"/>
        </w:rPr>
        <w:t>листівку-вкладку препарату</w:t>
      </w:r>
      <w:r w:rsidRPr="003D62D3">
        <w:rPr>
          <w:lang w:val="uk-UA"/>
        </w:rPr>
        <w:t xml:space="preserve"> або маркування на упаковці.</w:t>
      </w:r>
    </w:p>
    <w:p w14:paraId="6B11CB91" w14:textId="77777777" w:rsidR="009006BE" w:rsidRPr="003D62D3" w:rsidRDefault="009006BE" w:rsidP="009006BE">
      <w:pPr>
        <w:ind w:firstLine="567"/>
        <w:jc w:val="both"/>
        <w:rPr>
          <w:lang w:val="uk-UA"/>
        </w:rPr>
      </w:pPr>
      <w:r w:rsidRPr="003D62D3">
        <w:rPr>
          <w:lang w:val="uk-UA"/>
        </w:rPr>
        <w:t>Інформація лікарям: ненавмисне проковтування, особливо у дітей, може викликати тахікардію, ортостатичну гіпотензію, рум'янець на обличчі і головні болі.</w:t>
      </w:r>
    </w:p>
    <w:p w14:paraId="6B11CB92" w14:textId="77777777" w:rsidR="00B74112" w:rsidRPr="003D62D3" w:rsidRDefault="00B74112" w:rsidP="009006BE">
      <w:pPr>
        <w:ind w:left="567"/>
        <w:jc w:val="both"/>
        <w:rPr>
          <w:lang w:val="uk-UA"/>
        </w:rPr>
      </w:pPr>
      <w:r w:rsidRPr="003D62D3">
        <w:rPr>
          <w:lang w:val="uk-UA"/>
        </w:rPr>
        <w:t xml:space="preserve">Після застосування </w:t>
      </w:r>
      <w:r w:rsidR="009006BE" w:rsidRPr="003D62D3">
        <w:rPr>
          <w:lang w:val="uk-UA"/>
        </w:rPr>
        <w:t xml:space="preserve">препарату слід </w:t>
      </w:r>
      <w:r w:rsidRPr="003D62D3">
        <w:rPr>
          <w:lang w:val="uk-UA"/>
        </w:rPr>
        <w:t>вими</w:t>
      </w:r>
      <w:r w:rsidR="009006BE" w:rsidRPr="003D62D3">
        <w:rPr>
          <w:lang w:val="uk-UA"/>
        </w:rPr>
        <w:t>ти</w:t>
      </w:r>
      <w:r w:rsidRPr="003D62D3">
        <w:rPr>
          <w:lang w:val="uk-UA"/>
        </w:rPr>
        <w:t xml:space="preserve"> руки.</w:t>
      </w:r>
    </w:p>
    <w:p w14:paraId="6B11CB93" w14:textId="77777777" w:rsidR="0057510D" w:rsidRPr="003D62D3" w:rsidRDefault="0057510D" w:rsidP="0057510D">
      <w:pPr>
        <w:ind w:firstLine="567"/>
        <w:jc w:val="both"/>
        <w:rPr>
          <w:b/>
          <w:lang w:val="uk-UA"/>
        </w:rPr>
      </w:pPr>
      <w:r w:rsidRPr="003D62D3">
        <w:rPr>
          <w:b/>
          <w:lang w:val="uk-UA"/>
        </w:rPr>
        <w:t>6. Фармацевтичні особливості</w:t>
      </w:r>
    </w:p>
    <w:p w14:paraId="6B11CB94" w14:textId="77777777" w:rsidR="009006BE" w:rsidRPr="003D62D3" w:rsidRDefault="0057510D" w:rsidP="009006BE">
      <w:pPr>
        <w:pStyle w:val="2"/>
        <w:ind w:firstLine="567"/>
      </w:pPr>
      <w:r w:rsidRPr="003D62D3">
        <w:t>6.1 Форми несумісності (основні)</w:t>
      </w:r>
    </w:p>
    <w:p w14:paraId="0BDEBD10" w14:textId="77777777" w:rsidR="003D62D3" w:rsidRPr="003D62D3" w:rsidRDefault="003D62D3" w:rsidP="003D62D3">
      <w:pPr>
        <w:pStyle w:val="1"/>
        <w:ind w:left="7020"/>
        <w:jc w:val="right"/>
        <w:rPr>
          <w:b w:val="0"/>
        </w:rPr>
      </w:pPr>
      <w:r w:rsidRPr="003D62D3">
        <w:rPr>
          <w:b w:val="0"/>
        </w:rPr>
        <w:lastRenderedPageBreak/>
        <w:t>Продовження додатку 1</w:t>
      </w:r>
    </w:p>
    <w:p w14:paraId="7B07CF2C" w14:textId="77777777" w:rsidR="003D62D3" w:rsidRPr="003D62D3" w:rsidRDefault="003D62D3" w:rsidP="003D62D3">
      <w:pPr>
        <w:ind w:firstLine="567"/>
        <w:jc w:val="right"/>
        <w:rPr>
          <w:lang w:val="uk-UA" w:bidi="uk-UA"/>
        </w:rPr>
      </w:pPr>
      <w:r w:rsidRPr="003D62D3">
        <w:rPr>
          <w:lang w:val="uk-UA"/>
        </w:rPr>
        <w:t>до реєстраційного посвідчення</w:t>
      </w:r>
    </w:p>
    <w:p w14:paraId="46673CD9" w14:textId="77777777" w:rsidR="009A793B" w:rsidRPr="003D62D3" w:rsidRDefault="00F07ECD" w:rsidP="009006BE">
      <w:pPr>
        <w:ind w:firstLine="567"/>
        <w:jc w:val="both"/>
        <w:rPr>
          <w:lang w:val="lv-LV"/>
        </w:rPr>
      </w:pPr>
      <w:r w:rsidRPr="003D62D3">
        <w:rPr>
          <w:lang w:val="uk-UA"/>
        </w:rPr>
        <w:t>Невідомі.</w:t>
      </w:r>
    </w:p>
    <w:p w14:paraId="6B11CB96" w14:textId="1D4A4C8B" w:rsidR="009006BE" w:rsidRPr="003D62D3" w:rsidRDefault="0057510D" w:rsidP="009006BE">
      <w:pPr>
        <w:ind w:firstLine="567"/>
        <w:jc w:val="both"/>
        <w:rPr>
          <w:b/>
          <w:lang w:val="uk-UA"/>
        </w:rPr>
      </w:pPr>
      <w:r w:rsidRPr="003D62D3">
        <w:rPr>
          <w:b/>
          <w:lang w:val="uk-UA"/>
        </w:rPr>
        <w:t>6.2 Термін придатності</w:t>
      </w:r>
    </w:p>
    <w:p w14:paraId="6B11CB97" w14:textId="77777777" w:rsidR="0057510D" w:rsidRPr="003D62D3" w:rsidRDefault="007C292A" w:rsidP="009006BE">
      <w:pPr>
        <w:ind w:firstLine="567"/>
        <w:jc w:val="both"/>
        <w:rPr>
          <w:b/>
          <w:lang w:val="uk-UA"/>
        </w:rPr>
      </w:pPr>
      <w:r w:rsidRPr="003D62D3">
        <w:rPr>
          <w:lang w:val="uk-UA"/>
        </w:rPr>
        <w:t>24 місяці</w:t>
      </w:r>
      <w:r w:rsidR="0057510D" w:rsidRPr="003D62D3">
        <w:rPr>
          <w:lang w:val="uk-UA"/>
        </w:rPr>
        <w:t xml:space="preserve">. </w:t>
      </w:r>
    </w:p>
    <w:p w14:paraId="6B11CB98" w14:textId="77777777" w:rsidR="0057510D" w:rsidRPr="003D62D3" w:rsidRDefault="0057510D" w:rsidP="0057510D">
      <w:pPr>
        <w:ind w:firstLine="567"/>
        <w:jc w:val="both"/>
        <w:rPr>
          <w:b/>
          <w:lang w:val="uk-UA"/>
        </w:rPr>
      </w:pPr>
      <w:r w:rsidRPr="003D62D3">
        <w:rPr>
          <w:b/>
          <w:lang w:val="uk-UA"/>
        </w:rPr>
        <w:t>6.3 Особливі заходи зберігання</w:t>
      </w:r>
    </w:p>
    <w:p w14:paraId="6B11CB99" w14:textId="77777777" w:rsidR="00BE5E77" w:rsidRPr="003D62D3" w:rsidRDefault="009006BE" w:rsidP="0057510D">
      <w:pPr>
        <w:ind w:firstLine="567"/>
        <w:jc w:val="both"/>
        <w:rPr>
          <w:lang w:val="uk-UA"/>
        </w:rPr>
      </w:pPr>
      <w:r w:rsidRPr="003D62D3">
        <w:rPr>
          <w:lang w:val="uk-UA"/>
        </w:rPr>
        <w:t>Сухе темне місце п</w:t>
      </w:r>
      <w:r w:rsidR="0057510D" w:rsidRPr="003D62D3">
        <w:rPr>
          <w:lang w:val="uk-UA"/>
        </w:rPr>
        <w:t>ри</w:t>
      </w:r>
      <w:r w:rsidR="0057510D" w:rsidRPr="003D62D3">
        <w:rPr>
          <w:sz w:val="22"/>
          <w:lang w:val="uk-UA"/>
        </w:rPr>
        <w:t xml:space="preserve"> </w:t>
      </w:r>
      <w:r w:rsidR="0057510D" w:rsidRPr="003D62D3">
        <w:rPr>
          <w:lang w:val="uk-UA"/>
        </w:rPr>
        <w:t>температурі</w:t>
      </w:r>
      <w:r w:rsidR="009727E8" w:rsidRPr="003D62D3">
        <w:rPr>
          <w:lang w:val="uk-UA"/>
        </w:rPr>
        <w:t xml:space="preserve"> </w:t>
      </w:r>
      <w:r w:rsidRPr="003D62D3">
        <w:rPr>
          <w:lang w:val="uk-UA"/>
        </w:rPr>
        <w:t xml:space="preserve">від </w:t>
      </w:r>
      <w:r w:rsidR="008859C2" w:rsidRPr="003D62D3">
        <w:rPr>
          <w:lang w:val="uk-UA"/>
        </w:rPr>
        <w:t>0</w:t>
      </w:r>
      <w:r w:rsidRPr="003D62D3">
        <w:rPr>
          <w:lang w:val="uk-UA"/>
        </w:rPr>
        <w:t xml:space="preserve"> до </w:t>
      </w:r>
      <w:r w:rsidR="0057510D" w:rsidRPr="003D62D3">
        <w:rPr>
          <w:lang w:val="uk-UA"/>
        </w:rPr>
        <w:t>25</w:t>
      </w:r>
      <w:r w:rsidRPr="003D62D3">
        <w:rPr>
          <w:lang w:val="uk-UA"/>
        </w:rPr>
        <w:t xml:space="preserve"> </w:t>
      </w:r>
      <w:r w:rsidR="0057510D" w:rsidRPr="003D62D3">
        <w:rPr>
          <w:lang w:val="uk-UA"/>
        </w:rPr>
        <w:t>°С</w:t>
      </w:r>
      <w:r w:rsidR="00BE5E77" w:rsidRPr="003D62D3">
        <w:rPr>
          <w:lang w:val="uk-UA"/>
        </w:rPr>
        <w:t>, відносній вологості повітря до 75%,</w:t>
      </w:r>
      <w:r w:rsidR="0057510D" w:rsidRPr="003D62D3">
        <w:rPr>
          <w:lang w:val="uk-UA"/>
        </w:rPr>
        <w:t xml:space="preserve"> у </w:t>
      </w:r>
      <w:r w:rsidR="00BE5E77" w:rsidRPr="003D62D3">
        <w:rPr>
          <w:lang w:val="uk-UA"/>
        </w:rPr>
        <w:t xml:space="preserve">щільно </w:t>
      </w:r>
      <w:r w:rsidR="0057510D" w:rsidRPr="003D62D3">
        <w:rPr>
          <w:lang w:val="uk-UA"/>
        </w:rPr>
        <w:t>за</w:t>
      </w:r>
      <w:r w:rsidR="00BE5E77" w:rsidRPr="003D62D3">
        <w:rPr>
          <w:lang w:val="uk-UA"/>
        </w:rPr>
        <w:t>чинен</w:t>
      </w:r>
      <w:r w:rsidR="0057510D" w:rsidRPr="003D62D3">
        <w:rPr>
          <w:lang w:val="uk-UA"/>
        </w:rPr>
        <w:t>ій упаковці.</w:t>
      </w:r>
      <w:r w:rsidR="00BE5E77" w:rsidRPr="003D62D3">
        <w:rPr>
          <w:lang w:val="uk-UA"/>
        </w:rPr>
        <w:t xml:space="preserve"> </w:t>
      </w:r>
    </w:p>
    <w:p w14:paraId="6B11CB9A" w14:textId="77777777" w:rsidR="0057510D" w:rsidRPr="003D62D3" w:rsidRDefault="00BE5E77" w:rsidP="0057510D">
      <w:pPr>
        <w:ind w:firstLine="567"/>
        <w:jc w:val="both"/>
        <w:rPr>
          <w:lang w:val="uk-UA"/>
        </w:rPr>
      </w:pPr>
      <w:r w:rsidRPr="003D62D3">
        <w:rPr>
          <w:lang w:val="uk-UA"/>
        </w:rPr>
        <w:t>Зберігати у недоступному для дітей місці!</w:t>
      </w:r>
    </w:p>
    <w:p w14:paraId="6B11CBA0" w14:textId="77777777" w:rsidR="0057510D" w:rsidRPr="003D62D3" w:rsidRDefault="0057510D" w:rsidP="0057510D">
      <w:pPr>
        <w:ind w:firstLine="567"/>
        <w:jc w:val="both"/>
        <w:rPr>
          <w:b/>
          <w:lang w:val="uk-UA"/>
        </w:rPr>
      </w:pPr>
      <w:r w:rsidRPr="003D62D3">
        <w:rPr>
          <w:b/>
          <w:lang w:val="uk-UA"/>
        </w:rPr>
        <w:t>6.4 Природа і склад контейнера первинного упакування</w:t>
      </w:r>
    </w:p>
    <w:p w14:paraId="6B11CBA1" w14:textId="77777777" w:rsidR="008859C2" w:rsidRPr="003D62D3" w:rsidRDefault="008859C2" w:rsidP="008859C2">
      <w:pPr>
        <w:ind w:firstLine="567"/>
        <w:jc w:val="both"/>
        <w:rPr>
          <w:lang w:val="uk-UA"/>
        </w:rPr>
      </w:pPr>
      <w:r w:rsidRPr="003D62D3">
        <w:rPr>
          <w:lang w:val="uk-UA"/>
        </w:rPr>
        <w:t>Біла ємність (30 мл) із високощільного поліетилену (HDPE) із гвинтовою кришкою HDPE “Twist off” (захищеною від відкриття дітьми), що містить 30 таблеток.</w:t>
      </w:r>
    </w:p>
    <w:p w14:paraId="6B11CBA2" w14:textId="77777777" w:rsidR="008859C2" w:rsidRPr="003D62D3" w:rsidRDefault="008859C2" w:rsidP="008859C2">
      <w:pPr>
        <w:ind w:firstLine="567"/>
        <w:jc w:val="both"/>
        <w:rPr>
          <w:lang w:val="uk-UA"/>
        </w:rPr>
      </w:pPr>
      <w:r w:rsidRPr="003D62D3">
        <w:rPr>
          <w:lang w:val="uk-UA"/>
        </w:rPr>
        <w:t xml:space="preserve">Біла ємність (50 мл) із високощільного поліетилену із гвинтовою кришкою HDPE “Twist off” (захищеною від відкриття дітьми), що містить 100 таблеток. </w:t>
      </w:r>
    </w:p>
    <w:p w14:paraId="6B11CBA3" w14:textId="77777777" w:rsidR="008859C2" w:rsidRPr="003D62D3" w:rsidRDefault="008859C2" w:rsidP="008859C2">
      <w:pPr>
        <w:ind w:firstLine="567"/>
        <w:jc w:val="both"/>
        <w:rPr>
          <w:lang w:val="uk-UA"/>
        </w:rPr>
      </w:pPr>
      <w:r w:rsidRPr="003D62D3">
        <w:rPr>
          <w:lang w:val="uk-UA"/>
        </w:rPr>
        <w:t>Вторинне пакування - картонна коробка.</w:t>
      </w:r>
    </w:p>
    <w:p w14:paraId="6B11CBA4" w14:textId="73DD3664" w:rsidR="0057510D" w:rsidRPr="003D62D3" w:rsidRDefault="0057510D" w:rsidP="008859C2">
      <w:pPr>
        <w:ind w:firstLine="567"/>
        <w:jc w:val="both"/>
        <w:rPr>
          <w:b/>
          <w:lang w:val="uk-UA"/>
        </w:rPr>
      </w:pPr>
      <w:r w:rsidRPr="003D62D3">
        <w:rPr>
          <w:b/>
          <w:lang w:val="uk-UA"/>
        </w:rPr>
        <w:t>6.5 Особливі заходи безпеки при поводженні з невикористаним препаратом або із його залишками</w:t>
      </w:r>
    </w:p>
    <w:p w14:paraId="6B11CBA5" w14:textId="77777777" w:rsidR="00BE5E77" w:rsidRPr="003D62D3" w:rsidRDefault="0057510D" w:rsidP="00BE5E77">
      <w:pPr>
        <w:ind w:firstLine="567"/>
        <w:jc w:val="both"/>
        <w:rPr>
          <w:lang w:val="uk-UA"/>
        </w:rPr>
      </w:pPr>
      <w:r w:rsidRPr="003D62D3">
        <w:rPr>
          <w:lang w:val="uk-UA"/>
        </w:rPr>
        <w:t>Невикористаний продукт, його залишки та упаковку утилізу</w:t>
      </w:r>
      <w:r w:rsidR="00BE5E77" w:rsidRPr="003D62D3">
        <w:rPr>
          <w:lang w:val="uk-UA"/>
        </w:rPr>
        <w:t>ють</w:t>
      </w:r>
      <w:r w:rsidRPr="003D62D3">
        <w:rPr>
          <w:lang w:val="uk-UA"/>
        </w:rPr>
        <w:t xml:space="preserve"> згідно з вимогами </w:t>
      </w:r>
      <w:r w:rsidR="00BE5E77" w:rsidRPr="003D62D3">
        <w:rPr>
          <w:lang w:val="uk-UA"/>
        </w:rPr>
        <w:t>чинного законодавства.</w:t>
      </w:r>
    </w:p>
    <w:p w14:paraId="6B11CBA6" w14:textId="77777777" w:rsidR="0057510D" w:rsidRPr="003D62D3" w:rsidRDefault="0057510D" w:rsidP="00BE5E77">
      <w:pPr>
        <w:ind w:firstLine="567"/>
        <w:jc w:val="both"/>
        <w:rPr>
          <w:b/>
          <w:lang w:val="uk-UA"/>
        </w:rPr>
      </w:pPr>
      <w:r w:rsidRPr="003D62D3">
        <w:rPr>
          <w:b/>
          <w:lang w:val="uk-UA"/>
        </w:rPr>
        <w:t xml:space="preserve">7. Назва та місцезнаходження власника реєстраційного посвідчення </w:t>
      </w:r>
    </w:p>
    <w:tbl>
      <w:tblPr>
        <w:tblW w:w="9133" w:type="dxa"/>
        <w:tblInd w:w="648" w:type="dxa"/>
        <w:tblLook w:val="01E0" w:firstRow="1" w:lastRow="1" w:firstColumn="1" w:lastColumn="1" w:noHBand="0" w:noVBand="0"/>
      </w:tblPr>
      <w:tblGrid>
        <w:gridCol w:w="4680"/>
        <w:gridCol w:w="4453"/>
      </w:tblGrid>
      <w:tr w:rsidR="003D62D3" w:rsidRPr="003D62D3" w14:paraId="6B11CBB1" w14:textId="77777777" w:rsidTr="005B393E">
        <w:tc>
          <w:tcPr>
            <w:tcW w:w="4680" w:type="dxa"/>
          </w:tcPr>
          <w:p w14:paraId="6B11CBA7" w14:textId="77777777" w:rsidR="008859C2" w:rsidRPr="003D62D3" w:rsidRDefault="00950EDF" w:rsidP="005B393E">
            <w:pPr>
              <w:rPr>
                <w:rStyle w:val="longtext"/>
                <w:shd w:val="clear" w:color="auto" w:fill="FFFFFF"/>
                <w:lang w:val="uk-UA"/>
              </w:rPr>
            </w:pPr>
            <w:r w:rsidRPr="003D62D3">
              <w:rPr>
                <w:rStyle w:val="longtext"/>
                <w:shd w:val="clear" w:color="auto" w:fill="FFFFFF"/>
                <w:lang w:val="uk-UA"/>
              </w:rPr>
              <w:t>СІА</w:t>
            </w:r>
            <w:r w:rsidR="008859C2" w:rsidRPr="003D62D3">
              <w:rPr>
                <w:rStyle w:val="longtext"/>
                <w:shd w:val="clear" w:color="auto" w:fill="FFFFFF"/>
                <w:lang w:val="uk-UA"/>
              </w:rPr>
              <w:t xml:space="preserve"> «Фарма ПЕТ ГІГІ» </w:t>
            </w:r>
          </w:p>
          <w:p w14:paraId="6B11CBA8" w14:textId="77777777" w:rsidR="0057510D" w:rsidRPr="003D62D3" w:rsidRDefault="0057510D" w:rsidP="005B393E">
            <w:pPr>
              <w:rPr>
                <w:lang w:val="uk-UA"/>
              </w:rPr>
            </w:pPr>
            <w:r w:rsidRPr="003D62D3">
              <w:rPr>
                <w:lang w:val="uk-UA"/>
              </w:rPr>
              <w:t>вул. Мат</w:t>
            </w:r>
            <w:r w:rsidR="008859C2" w:rsidRPr="003D62D3">
              <w:rPr>
                <w:lang w:val="uk-UA"/>
              </w:rPr>
              <w:t>і</w:t>
            </w:r>
            <w:r w:rsidRPr="003D62D3">
              <w:rPr>
                <w:lang w:val="uk-UA"/>
              </w:rPr>
              <w:t>са 86 к</w:t>
            </w:r>
            <w:r w:rsidR="00DE6E64" w:rsidRPr="003D62D3">
              <w:rPr>
                <w:lang w:val="uk-UA"/>
              </w:rPr>
              <w:t xml:space="preserve"> </w:t>
            </w:r>
            <w:r w:rsidRPr="003D62D3">
              <w:rPr>
                <w:lang w:val="uk-UA"/>
              </w:rPr>
              <w:t>1, Рига, LV-1009, Латвія</w:t>
            </w:r>
          </w:p>
          <w:p w14:paraId="6B11CBA9" w14:textId="77777777" w:rsidR="0057510D" w:rsidRPr="003D62D3" w:rsidRDefault="0057510D" w:rsidP="005B393E">
            <w:pPr>
              <w:jc w:val="both"/>
              <w:rPr>
                <w:lang w:val="uk-UA"/>
              </w:rPr>
            </w:pPr>
            <w:r w:rsidRPr="003D62D3">
              <w:rPr>
                <w:lang w:val="uk-UA"/>
              </w:rPr>
              <w:t>телефон: 371 67293423,</w:t>
            </w:r>
          </w:p>
          <w:p w14:paraId="6B11CBAA" w14:textId="77777777" w:rsidR="008859C2" w:rsidRPr="003D62D3" w:rsidRDefault="0057510D" w:rsidP="005B393E">
            <w:pPr>
              <w:jc w:val="both"/>
              <w:rPr>
                <w:lang w:val="uk-UA"/>
              </w:rPr>
            </w:pPr>
            <w:r w:rsidRPr="003D62D3">
              <w:rPr>
                <w:lang w:val="uk-UA"/>
              </w:rPr>
              <w:t xml:space="preserve">факс: 371 67293423, </w:t>
            </w:r>
          </w:p>
          <w:p w14:paraId="6B11CBAB" w14:textId="77777777" w:rsidR="0057510D" w:rsidRPr="003D62D3" w:rsidRDefault="003D47CB" w:rsidP="005B393E">
            <w:pPr>
              <w:jc w:val="both"/>
              <w:rPr>
                <w:lang w:val="uk-UA"/>
              </w:rPr>
            </w:pPr>
            <w:hyperlink r:id="rId6" w:history="1">
              <w:r w:rsidR="0057510D" w:rsidRPr="003D62D3">
                <w:rPr>
                  <w:rStyle w:val="a7"/>
                  <w:color w:val="auto"/>
                  <w:u w:val="none"/>
                  <w:lang w:val="uk-UA"/>
                </w:rPr>
                <w:t>info@gigi.lv</w:t>
              </w:r>
            </w:hyperlink>
          </w:p>
        </w:tc>
        <w:tc>
          <w:tcPr>
            <w:tcW w:w="4453" w:type="dxa"/>
          </w:tcPr>
          <w:p w14:paraId="6B11CBAC" w14:textId="77777777" w:rsidR="008859C2" w:rsidRPr="003D62D3" w:rsidRDefault="008859C2" w:rsidP="005B393E">
            <w:pPr>
              <w:jc w:val="both"/>
              <w:rPr>
                <w:lang w:val="uk-UA"/>
              </w:rPr>
            </w:pPr>
            <w:r w:rsidRPr="003D62D3">
              <w:rPr>
                <w:lang w:val="uk-UA"/>
              </w:rPr>
              <w:t>SIA «Farma PET GIGI»</w:t>
            </w:r>
          </w:p>
          <w:p w14:paraId="6B11CBAD" w14:textId="77777777" w:rsidR="0057510D" w:rsidRPr="003D62D3" w:rsidRDefault="0057510D" w:rsidP="005B393E">
            <w:pPr>
              <w:jc w:val="both"/>
              <w:rPr>
                <w:lang w:val="uk-UA"/>
              </w:rPr>
            </w:pPr>
            <w:r w:rsidRPr="003D62D3">
              <w:rPr>
                <w:lang w:val="uk-UA"/>
              </w:rPr>
              <w:t>Matīsa iela 86 k</w:t>
            </w:r>
            <w:r w:rsidR="00DE6E64" w:rsidRPr="003D62D3">
              <w:rPr>
                <w:lang w:val="uk-UA"/>
              </w:rPr>
              <w:t xml:space="preserve"> </w:t>
            </w:r>
            <w:r w:rsidRPr="003D62D3">
              <w:rPr>
                <w:lang w:val="uk-UA"/>
              </w:rPr>
              <w:t>1, Rīga, LV-1009, Latvija</w:t>
            </w:r>
          </w:p>
          <w:p w14:paraId="6B11CBAE" w14:textId="77777777" w:rsidR="0057510D" w:rsidRPr="003D62D3" w:rsidRDefault="0057510D" w:rsidP="005B393E">
            <w:pPr>
              <w:jc w:val="both"/>
              <w:rPr>
                <w:lang w:val="uk-UA"/>
              </w:rPr>
            </w:pPr>
            <w:r w:rsidRPr="003D62D3">
              <w:rPr>
                <w:lang w:val="uk-UA"/>
              </w:rPr>
              <w:t>Tālr.: 371 67293423</w:t>
            </w:r>
          </w:p>
          <w:p w14:paraId="6B11CBAF" w14:textId="77777777" w:rsidR="008859C2" w:rsidRPr="003D62D3" w:rsidRDefault="0057510D" w:rsidP="005B393E">
            <w:pPr>
              <w:jc w:val="both"/>
              <w:rPr>
                <w:lang w:val="uk-UA"/>
              </w:rPr>
            </w:pPr>
            <w:r w:rsidRPr="003D62D3">
              <w:rPr>
                <w:lang w:val="uk-UA"/>
              </w:rPr>
              <w:t>Fakss: 371 67293423</w:t>
            </w:r>
            <w:r w:rsidR="008859C2" w:rsidRPr="003D62D3">
              <w:rPr>
                <w:lang w:val="uk-UA"/>
              </w:rPr>
              <w:t xml:space="preserve">, </w:t>
            </w:r>
          </w:p>
          <w:p w14:paraId="6B11CBB0" w14:textId="77777777" w:rsidR="0057510D" w:rsidRPr="003D62D3" w:rsidRDefault="008859C2" w:rsidP="005B393E">
            <w:pPr>
              <w:jc w:val="both"/>
              <w:rPr>
                <w:lang w:val="uk-UA"/>
              </w:rPr>
            </w:pPr>
            <w:r w:rsidRPr="003D62D3">
              <w:rPr>
                <w:lang w:val="uk-UA"/>
              </w:rPr>
              <w:t>info@gigi.lv</w:t>
            </w:r>
          </w:p>
        </w:tc>
      </w:tr>
    </w:tbl>
    <w:p w14:paraId="6B11CBB2" w14:textId="77777777" w:rsidR="0057510D" w:rsidRPr="003D62D3" w:rsidRDefault="0057510D" w:rsidP="0057510D">
      <w:pPr>
        <w:ind w:firstLine="567"/>
        <w:jc w:val="both"/>
        <w:rPr>
          <w:b/>
          <w:lang w:val="uk-UA"/>
        </w:rPr>
      </w:pPr>
      <w:r w:rsidRPr="003D62D3">
        <w:rPr>
          <w:b/>
          <w:lang w:val="uk-UA"/>
        </w:rPr>
        <w:t>8. Назва та місцезнаходження виробника (виробників)</w:t>
      </w:r>
    </w:p>
    <w:tbl>
      <w:tblPr>
        <w:tblW w:w="13586" w:type="dxa"/>
        <w:tblInd w:w="648" w:type="dxa"/>
        <w:tblLook w:val="01E0" w:firstRow="1" w:lastRow="1" w:firstColumn="1" w:lastColumn="1" w:noHBand="0" w:noVBand="0"/>
      </w:tblPr>
      <w:tblGrid>
        <w:gridCol w:w="4680"/>
        <w:gridCol w:w="4453"/>
        <w:gridCol w:w="4453"/>
      </w:tblGrid>
      <w:tr w:rsidR="003D62D3" w:rsidRPr="003D62D3" w14:paraId="6B11CBBE" w14:textId="77777777" w:rsidTr="005B393E">
        <w:tc>
          <w:tcPr>
            <w:tcW w:w="4680" w:type="dxa"/>
          </w:tcPr>
          <w:p w14:paraId="6B11CBB3" w14:textId="77777777" w:rsidR="008859C2" w:rsidRPr="003D62D3" w:rsidRDefault="00950EDF" w:rsidP="005B393E">
            <w:pPr>
              <w:rPr>
                <w:rStyle w:val="longtext"/>
                <w:shd w:val="clear" w:color="auto" w:fill="FFFFFF"/>
                <w:lang w:val="uk-UA"/>
              </w:rPr>
            </w:pPr>
            <w:r w:rsidRPr="003D62D3">
              <w:rPr>
                <w:rStyle w:val="longtext"/>
                <w:shd w:val="clear" w:color="auto" w:fill="FFFFFF"/>
                <w:lang w:val="uk-UA"/>
              </w:rPr>
              <w:t>СІА</w:t>
            </w:r>
            <w:r w:rsidR="008859C2" w:rsidRPr="003D62D3">
              <w:rPr>
                <w:rStyle w:val="longtext"/>
                <w:shd w:val="clear" w:color="auto" w:fill="FFFFFF"/>
                <w:lang w:val="uk-UA"/>
              </w:rPr>
              <w:t xml:space="preserve"> «Фарма ПЕТ ГІГІ» </w:t>
            </w:r>
          </w:p>
          <w:p w14:paraId="6B11CBB4" w14:textId="77777777" w:rsidR="00DE6E64" w:rsidRPr="003D62D3" w:rsidRDefault="00DE6E64" w:rsidP="005B393E">
            <w:pPr>
              <w:rPr>
                <w:lang w:val="uk-UA"/>
              </w:rPr>
            </w:pPr>
            <w:r w:rsidRPr="003D62D3">
              <w:rPr>
                <w:lang w:val="uk-UA"/>
              </w:rPr>
              <w:t>вул. Мат</w:t>
            </w:r>
            <w:r w:rsidR="008859C2" w:rsidRPr="003D62D3">
              <w:rPr>
                <w:lang w:val="uk-UA"/>
              </w:rPr>
              <w:t>і</w:t>
            </w:r>
            <w:r w:rsidRPr="003D62D3">
              <w:rPr>
                <w:lang w:val="uk-UA"/>
              </w:rPr>
              <w:t>са 86 к 1, Рига, LV-1009, Латвія</w:t>
            </w:r>
          </w:p>
          <w:p w14:paraId="6B11CBB5" w14:textId="77777777" w:rsidR="00DE6E64" w:rsidRPr="003D62D3" w:rsidRDefault="00DE6E64" w:rsidP="005B393E">
            <w:pPr>
              <w:jc w:val="both"/>
              <w:rPr>
                <w:lang w:val="uk-UA"/>
              </w:rPr>
            </w:pPr>
            <w:r w:rsidRPr="003D62D3">
              <w:rPr>
                <w:lang w:val="uk-UA"/>
              </w:rPr>
              <w:t>телефон: 371 67293423,</w:t>
            </w:r>
          </w:p>
          <w:p w14:paraId="6B11CBB6" w14:textId="77777777" w:rsidR="008859C2" w:rsidRPr="003D62D3" w:rsidRDefault="00DE6E64" w:rsidP="005B393E">
            <w:pPr>
              <w:jc w:val="both"/>
              <w:rPr>
                <w:lang w:val="uk-UA"/>
              </w:rPr>
            </w:pPr>
            <w:r w:rsidRPr="003D62D3">
              <w:rPr>
                <w:lang w:val="uk-UA"/>
              </w:rPr>
              <w:t xml:space="preserve">факс: 371 67293423, </w:t>
            </w:r>
          </w:p>
          <w:p w14:paraId="6B11CBB7" w14:textId="77777777" w:rsidR="00DE6E64" w:rsidRPr="003D62D3" w:rsidRDefault="003D47CB" w:rsidP="005B393E">
            <w:pPr>
              <w:jc w:val="both"/>
              <w:rPr>
                <w:lang w:val="uk-UA"/>
              </w:rPr>
            </w:pPr>
            <w:hyperlink r:id="rId7" w:history="1">
              <w:r w:rsidR="00DE6E64" w:rsidRPr="003D62D3">
                <w:rPr>
                  <w:rStyle w:val="a7"/>
                  <w:color w:val="auto"/>
                  <w:u w:val="none"/>
                  <w:lang w:val="uk-UA"/>
                </w:rPr>
                <w:t>info@gigi.lv</w:t>
              </w:r>
            </w:hyperlink>
          </w:p>
        </w:tc>
        <w:tc>
          <w:tcPr>
            <w:tcW w:w="4453" w:type="dxa"/>
          </w:tcPr>
          <w:p w14:paraId="6B11CBB8" w14:textId="77777777" w:rsidR="008859C2" w:rsidRPr="003D62D3" w:rsidRDefault="008859C2" w:rsidP="005B393E">
            <w:pPr>
              <w:jc w:val="both"/>
              <w:rPr>
                <w:lang w:val="uk-UA"/>
              </w:rPr>
            </w:pPr>
            <w:r w:rsidRPr="003D62D3">
              <w:rPr>
                <w:lang w:val="uk-UA"/>
              </w:rPr>
              <w:t>SIA «Farma PET GIGI»</w:t>
            </w:r>
          </w:p>
          <w:p w14:paraId="6B11CBB9" w14:textId="77777777" w:rsidR="00DE6E64" w:rsidRPr="003D62D3" w:rsidRDefault="00DE6E64" w:rsidP="005B393E">
            <w:pPr>
              <w:jc w:val="both"/>
              <w:rPr>
                <w:lang w:val="uk-UA"/>
              </w:rPr>
            </w:pPr>
            <w:r w:rsidRPr="003D62D3">
              <w:rPr>
                <w:lang w:val="uk-UA"/>
              </w:rPr>
              <w:t>Matīsa iela 86 k 1, Rīga, LV-1009, Latvija</w:t>
            </w:r>
          </w:p>
          <w:p w14:paraId="6B11CBBA" w14:textId="77777777" w:rsidR="00DE6E64" w:rsidRPr="003D62D3" w:rsidRDefault="00DE6E64" w:rsidP="005B393E">
            <w:pPr>
              <w:jc w:val="both"/>
              <w:rPr>
                <w:lang w:val="uk-UA"/>
              </w:rPr>
            </w:pPr>
            <w:r w:rsidRPr="003D62D3">
              <w:rPr>
                <w:lang w:val="uk-UA"/>
              </w:rPr>
              <w:t>Tālr.: 371 67293423</w:t>
            </w:r>
          </w:p>
          <w:p w14:paraId="6B11CBBB" w14:textId="77777777" w:rsidR="00DE6E64" w:rsidRPr="003D62D3" w:rsidRDefault="00DE6E64" w:rsidP="005B393E">
            <w:pPr>
              <w:jc w:val="both"/>
              <w:rPr>
                <w:lang w:val="uk-UA"/>
              </w:rPr>
            </w:pPr>
            <w:r w:rsidRPr="003D62D3">
              <w:rPr>
                <w:lang w:val="uk-UA"/>
              </w:rPr>
              <w:t>Fakss: 371 67293423</w:t>
            </w:r>
          </w:p>
          <w:p w14:paraId="6B11CBBC" w14:textId="77777777" w:rsidR="008859C2" w:rsidRPr="003D62D3" w:rsidRDefault="008859C2" w:rsidP="005B393E">
            <w:pPr>
              <w:jc w:val="both"/>
              <w:rPr>
                <w:lang w:val="uk-UA"/>
              </w:rPr>
            </w:pPr>
            <w:r w:rsidRPr="003D62D3">
              <w:rPr>
                <w:lang w:val="uk-UA"/>
              </w:rPr>
              <w:t>info@gigi.lv</w:t>
            </w:r>
          </w:p>
        </w:tc>
        <w:tc>
          <w:tcPr>
            <w:tcW w:w="4453" w:type="dxa"/>
          </w:tcPr>
          <w:p w14:paraId="6B11CBBD" w14:textId="77777777" w:rsidR="00DE6E64" w:rsidRPr="003D62D3" w:rsidRDefault="00DE6E64" w:rsidP="005B393E">
            <w:pPr>
              <w:jc w:val="both"/>
              <w:rPr>
                <w:lang w:val="uk-UA"/>
              </w:rPr>
            </w:pPr>
            <w:r w:rsidRPr="003D62D3">
              <w:rPr>
                <w:lang w:val="uk-UA"/>
              </w:rPr>
              <w:t xml:space="preserve"> </w:t>
            </w:r>
          </w:p>
        </w:tc>
      </w:tr>
    </w:tbl>
    <w:p w14:paraId="6B11CBBF" w14:textId="77777777" w:rsidR="0057510D" w:rsidRPr="003D62D3" w:rsidRDefault="0057510D" w:rsidP="0057510D">
      <w:pPr>
        <w:ind w:firstLine="567"/>
        <w:jc w:val="both"/>
        <w:rPr>
          <w:b/>
          <w:lang w:val="uk-UA"/>
        </w:rPr>
      </w:pPr>
      <w:r w:rsidRPr="003D62D3">
        <w:rPr>
          <w:b/>
          <w:lang w:val="uk-UA"/>
        </w:rPr>
        <w:t>9. Додаткова інформація</w:t>
      </w:r>
    </w:p>
    <w:p w14:paraId="6B11CBC0" w14:textId="77777777" w:rsidR="00BE5E77" w:rsidRPr="003D62D3" w:rsidRDefault="00BE5E77" w:rsidP="0057510D">
      <w:pPr>
        <w:ind w:firstLine="567"/>
        <w:jc w:val="both"/>
        <w:rPr>
          <w:lang w:val="uk-UA"/>
        </w:rPr>
      </w:pPr>
    </w:p>
    <w:p w14:paraId="6B11CBC1" w14:textId="77777777" w:rsidR="00055CC6" w:rsidRPr="003D62D3" w:rsidRDefault="00055CC6">
      <w:pPr>
        <w:rPr>
          <w:lang w:val="uk-UA"/>
        </w:rPr>
      </w:pPr>
    </w:p>
    <w:sectPr w:rsidR="00055CC6" w:rsidRPr="003D62D3" w:rsidSect="00CB24A1">
      <w:footerReference w:type="even" r:id="rId8"/>
      <w:footerReference w:type="default" r:id="rId9"/>
      <w:pgSz w:w="11906" w:h="16838" w:code="9"/>
      <w:pgMar w:top="567" w:right="454" w:bottom="454" w:left="1134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785E6A" w14:textId="77777777" w:rsidR="003D47CB" w:rsidRDefault="003D47CB" w:rsidP="00AF51A5">
      <w:r>
        <w:separator/>
      </w:r>
    </w:p>
  </w:endnote>
  <w:endnote w:type="continuationSeparator" w:id="0">
    <w:p w14:paraId="5A268455" w14:textId="77777777" w:rsidR="003D47CB" w:rsidRDefault="003D47CB" w:rsidP="00AF5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1CBD0" w14:textId="77777777" w:rsidR="00DA7976" w:rsidRDefault="00DA7976" w:rsidP="005B393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B11CBD1" w14:textId="77777777" w:rsidR="00DA7976" w:rsidRDefault="00DA797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11CBD2" w14:textId="01BB1E94" w:rsidR="00DA7976" w:rsidRDefault="00DA7976" w:rsidP="005B393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D62D3">
      <w:rPr>
        <w:rStyle w:val="a6"/>
        <w:noProof/>
      </w:rPr>
      <w:t>3</w:t>
    </w:r>
    <w:r>
      <w:rPr>
        <w:rStyle w:val="a6"/>
      </w:rPr>
      <w:fldChar w:fldCharType="end"/>
    </w:r>
  </w:p>
  <w:p w14:paraId="6B11CBD3" w14:textId="77777777" w:rsidR="00DA7976" w:rsidRDefault="00DA797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1F3C0F" w14:textId="77777777" w:rsidR="003D47CB" w:rsidRDefault="003D47CB" w:rsidP="00AF51A5">
      <w:r>
        <w:separator/>
      </w:r>
    </w:p>
  </w:footnote>
  <w:footnote w:type="continuationSeparator" w:id="0">
    <w:p w14:paraId="5D78EEF7" w14:textId="77777777" w:rsidR="003D47CB" w:rsidRDefault="003D47CB" w:rsidP="00AF51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13B"/>
    <w:rsid w:val="00027D19"/>
    <w:rsid w:val="00055CC6"/>
    <w:rsid w:val="000616BD"/>
    <w:rsid w:val="00070A6E"/>
    <w:rsid w:val="00093A35"/>
    <w:rsid w:val="000A02EC"/>
    <w:rsid w:val="000A5D40"/>
    <w:rsid w:val="000C1065"/>
    <w:rsid w:val="000E047E"/>
    <w:rsid w:val="00113BB1"/>
    <w:rsid w:val="00124DD9"/>
    <w:rsid w:val="001262D4"/>
    <w:rsid w:val="00174C35"/>
    <w:rsid w:val="00186DE8"/>
    <w:rsid w:val="001B1E2C"/>
    <w:rsid w:val="001B5427"/>
    <w:rsid w:val="001B5C60"/>
    <w:rsid w:val="001C18D5"/>
    <w:rsid w:val="001C79D5"/>
    <w:rsid w:val="001F244C"/>
    <w:rsid w:val="00211AA6"/>
    <w:rsid w:val="00215187"/>
    <w:rsid w:val="00243749"/>
    <w:rsid w:val="00277AEE"/>
    <w:rsid w:val="002A1754"/>
    <w:rsid w:val="002A4E01"/>
    <w:rsid w:val="002C70FB"/>
    <w:rsid w:val="002E1458"/>
    <w:rsid w:val="002E4C32"/>
    <w:rsid w:val="002F0E03"/>
    <w:rsid w:val="00333770"/>
    <w:rsid w:val="00385AC4"/>
    <w:rsid w:val="00387B77"/>
    <w:rsid w:val="003B536E"/>
    <w:rsid w:val="003D47CB"/>
    <w:rsid w:val="003D62D3"/>
    <w:rsid w:val="0043513B"/>
    <w:rsid w:val="0045066D"/>
    <w:rsid w:val="00455739"/>
    <w:rsid w:val="00472ED2"/>
    <w:rsid w:val="00490AFD"/>
    <w:rsid w:val="004A6906"/>
    <w:rsid w:val="00506C35"/>
    <w:rsid w:val="00542824"/>
    <w:rsid w:val="0057510D"/>
    <w:rsid w:val="005B393E"/>
    <w:rsid w:val="005D274C"/>
    <w:rsid w:val="006142E2"/>
    <w:rsid w:val="00614887"/>
    <w:rsid w:val="00630E45"/>
    <w:rsid w:val="00637003"/>
    <w:rsid w:val="0067247C"/>
    <w:rsid w:val="00682629"/>
    <w:rsid w:val="006A34BA"/>
    <w:rsid w:val="006A7D3A"/>
    <w:rsid w:val="006E015E"/>
    <w:rsid w:val="007432BB"/>
    <w:rsid w:val="0078284E"/>
    <w:rsid w:val="007A089B"/>
    <w:rsid w:val="007A6CBE"/>
    <w:rsid w:val="007B0CB1"/>
    <w:rsid w:val="007B0EED"/>
    <w:rsid w:val="007B3EAF"/>
    <w:rsid w:val="007C292A"/>
    <w:rsid w:val="007E7126"/>
    <w:rsid w:val="00876B26"/>
    <w:rsid w:val="00882F7D"/>
    <w:rsid w:val="008859C2"/>
    <w:rsid w:val="00892541"/>
    <w:rsid w:val="008A0248"/>
    <w:rsid w:val="008B405E"/>
    <w:rsid w:val="008C6C2D"/>
    <w:rsid w:val="008E1976"/>
    <w:rsid w:val="009006BE"/>
    <w:rsid w:val="00922321"/>
    <w:rsid w:val="00931757"/>
    <w:rsid w:val="00945233"/>
    <w:rsid w:val="00950EDF"/>
    <w:rsid w:val="00971BAA"/>
    <w:rsid w:val="009727E8"/>
    <w:rsid w:val="00975F01"/>
    <w:rsid w:val="00976B5E"/>
    <w:rsid w:val="00980CC7"/>
    <w:rsid w:val="00981D8B"/>
    <w:rsid w:val="00996E19"/>
    <w:rsid w:val="009A793B"/>
    <w:rsid w:val="00A31B0A"/>
    <w:rsid w:val="00A41516"/>
    <w:rsid w:val="00A47386"/>
    <w:rsid w:val="00A7280C"/>
    <w:rsid w:val="00A85AC2"/>
    <w:rsid w:val="00A9753E"/>
    <w:rsid w:val="00AB26DF"/>
    <w:rsid w:val="00AD7CCA"/>
    <w:rsid w:val="00AF35EF"/>
    <w:rsid w:val="00AF51A5"/>
    <w:rsid w:val="00B458CE"/>
    <w:rsid w:val="00B50592"/>
    <w:rsid w:val="00B6371B"/>
    <w:rsid w:val="00B74112"/>
    <w:rsid w:val="00BA436D"/>
    <w:rsid w:val="00BA5213"/>
    <w:rsid w:val="00BC5DB7"/>
    <w:rsid w:val="00BD631E"/>
    <w:rsid w:val="00BE5E77"/>
    <w:rsid w:val="00BE61AB"/>
    <w:rsid w:val="00BE630B"/>
    <w:rsid w:val="00BF02C6"/>
    <w:rsid w:val="00C24965"/>
    <w:rsid w:val="00C32EA9"/>
    <w:rsid w:val="00C52940"/>
    <w:rsid w:val="00C72E61"/>
    <w:rsid w:val="00C76965"/>
    <w:rsid w:val="00C8347C"/>
    <w:rsid w:val="00C84CD9"/>
    <w:rsid w:val="00C9627E"/>
    <w:rsid w:val="00CA17D8"/>
    <w:rsid w:val="00CB24A1"/>
    <w:rsid w:val="00CB77CC"/>
    <w:rsid w:val="00CF57D0"/>
    <w:rsid w:val="00D51C4A"/>
    <w:rsid w:val="00D51DE2"/>
    <w:rsid w:val="00D53978"/>
    <w:rsid w:val="00D61B81"/>
    <w:rsid w:val="00D654B5"/>
    <w:rsid w:val="00D65E2E"/>
    <w:rsid w:val="00D83598"/>
    <w:rsid w:val="00D907C3"/>
    <w:rsid w:val="00DA1F8F"/>
    <w:rsid w:val="00DA4F95"/>
    <w:rsid w:val="00DA5AA3"/>
    <w:rsid w:val="00DA7976"/>
    <w:rsid w:val="00DB0C41"/>
    <w:rsid w:val="00DC551A"/>
    <w:rsid w:val="00DE6E64"/>
    <w:rsid w:val="00E24786"/>
    <w:rsid w:val="00E43422"/>
    <w:rsid w:val="00E83FE4"/>
    <w:rsid w:val="00EA0838"/>
    <w:rsid w:val="00EA0D0F"/>
    <w:rsid w:val="00EB7B1E"/>
    <w:rsid w:val="00EC7D27"/>
    <w:rsid w:val="00EE6C5B"/>
    <w:rsid w:val="00EF1FDB"/>
    <w:rsid w:val="00EF5176"/>
    <w:rsid w:val="00F0077C"/>
    <w:rsid w:val="00F07ECD"/>
    <w:rsid w:val="00F70A49"/>
    <w:rsid w:val="00F71553"/>
    <w:rsid w:val="00F74AEB"/>
    <w:rsid w:val="00FA0719"/>
    <w:rsid w:val="00FB78E2"/>
    <w:rsid w:val="00FD5C30"/>
    <w:rsid w:val="00FD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1CB4D"/>
  <w15:docId w15:val="{C7C50E1F-B9A7-446F-A38D-3C55B1B9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510D"/>
    <w:pPr>
      <w:keepNext/>
      <w:jc w:val="center"/>
      <w:outlineLvl w:val="0"/>
    </w:pPr>
    <w:rPr>
      <w:b/>
      <w:bCs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76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510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2">
    <w:name w:val="Body Text 2"/>
    <w:basedOn w:val="a"/>
    <w:link w:val="20"/>
    <w:rsid w:val="0057510D"/>
    <w:pPr>
      <w:jc w:val="both"/>
    </w:pPr>
    <w:rPr>
      <w:b/>
      <w:bCs/>
      <w:lang w:val="uk-UA"/>
    </w:rPr>
  </w:style>
  <w:style w:type="character" w:customStyle="1" w:styleId="20">
    <w:name w:val="Основний текст 2 Знак"/>
    <w:basedOn w:val="a0"/>
    <w:link w:val="2"/>
    <w:rsid w:val="0057510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31">
    <w:name w:val="Body Text 3"/>
    <w:basedOn w:val="a"/>
    <w:link w:val="32"/>
    <w:rsid w:val="0057510D"/>
    <w:pPr>
      <w:jc w:val="both"/>
    </w:pPr>
    <w:rPr>
      <w:color w:val="0000FF"/>
      <w:lang w:val="uk-UA"/>
    </w:rPr>
  </w:style>
  <w:style w:type="character" w:customStyle="1" w:styleId="32">
    <w:name w:val="Основний текст 3 Знак"/>
    <w:basedOn w:val="a0"/>
    <w:link w:val="31"/>
    <w:rsid w:val="0057510D"/>
    <w:rPr>
      <w:rFonts w:ascii="Times New Roman" w:eastAsia="Times New Roman" w:hAnsi="Times New Roman" w:cs="Times New Roman"/>
      <w:color w:val="0000FF"/>
      <w:sz w:val="24"/>
      <w:szCs w:val="24"/>
      <w:lang w:val="uk-UA" w:eastAsia="ru-RU"/>
    </w:rPr>
  </w:style>
  <w:style w:type="paragraph" w:customStyle="1" w:styleId="a3">
    <w:name w:val="Знак Знак Знак"/>
    <w:basedOn w:val="a"/>
    <w:rsid w:val="0057510D"/>
    <w:rPr>
      <w:rFonts w:ascii="Verdana" w:hAnsi="Verdana" w:cs="Verdana"/>
      <w:sz w:val="20"/>
      <w:szCs w:val="20"/>
      <w:lang w:val="en-US" w:eastAsia="en-US"/>
    </w:rPr>
  </w:style>
  <w:style w:type="paragraph" w:styleId="a4">
    <w:name w:val="footer"/>
    <w:basedOn w:val="a"/>
    <w:link w:val="a5"/>
    <w:rsid w:val="0057510D"/>
    <w:pPr>
      <w:tabs>
        <w:tab w:val="center" w:pos="4819"/>
        <w:tab w:val="right" w:pos="9639"/>
      </w:tabs>
    </w:pPr>
  </w:style>
  <w:style w:type="character" w:customStyle="1" w:styleId="a5">
    <w:name w:val="Нижній колонтитул Знак"/>
    <w:basedOn w:val="a0"/>
    <w:link w:val="a4"/>
    <w:rsid w:val="005751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7510D"/>
  </w:style>
  <w:style w:type="character" w:customStyle="1" w:styleId="hps">
    <w:name w:val="hps"/>
    <w:basedOn w:val="a0"/>
    <w:rsid w:val="0057510D"/>
  </w:style>
  <w:style w:type="paragraph" w:customStyle="1" w:styleId="WW-BodyTextIndent2">
    <w:name w:val="WW-Body Text Indent 2"/>
    <w:basedOn w:val="a"/>
    <w:rsid w:val="0057510D"/>
    <w:pPr>
      <w:suppressAutoHyphens/>
      <w:ind w:left="34"/>
    </w:pPr>
    <w:rPr>
      <w:rFonts w:ascii="Arial" w:hAnsi="Arial"/>
      <w:sz w:val="20"/>
      <w:szCs w:val="20"/>
      <w:lang w:val="uk-UA" w:eastAsia="ar-SA"/>
    </w:rPr>
  </w:style>
  <w:style w:type="character" w:customStyle="1" w:styleId="longtext">
    <w:name w:val="long_text"/>
    <w:basedOn w:val="a0"/>
    <w:rsid w:val="0057510D"/>
  </w:style>
  <w:style w:type="character" w:styleId="a7">
    <w:name w:val="Hyperlink"/>
    <w:rsid w:val="0057510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FD764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B393E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5B393E"/>
    <w:rPr>
      <w:sz w:val="20"/>
      <w:szCs w:val="20"/>
    </w:rPr>
  </w:style>
  <w:style w:type="character" w:customStyle="1" w:styleId="aa">
    <w:name w:val="Текст примітки Знак"/>
    <w:basedOn w:val="a0"/>
    <w:link w:val="a9"/>
    <w:uiPriority w:val="99"/>
    <w:rsid w:val="005B393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393E"/>
    <w:rPr>
      <w:b/>
      <w:bCs/>
    </w:rPr>
  </w:style>
  <w:style w:type="character" w:customStyle="1" w:styleId="ac">
    <w:name w:val="Тема примітки Знак"/>
    <w:basedOn w:val="aa"/>
    <w:link w:val="ab"/>
    <w:uiPriority w:val="99"/>
    <w:semiHidden/>
    <w:rsid w:val="005B39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B393E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rsid w:val="005B393E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Revision"/>
    <w:hidden/>
    <w:uiPriority w:val="99"/>
    <w:semiHidden/>
    <w:rsid w:val="00DA4F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qFormat/>
    <w:rsid w:val="00DA4F95"/>
    <w:pPr>
      <w:tabs>
        <w:tab w:val="left" w:pos="0"/>
      </w:tabs>
      <w:ind w:left="567" w:hanging="567"/>
    </w:pPr>
    <w:rPr>
      <w:b/>
      <w:sz w:val="22"/>
      <w:szCs w:val="22"/>
      <w:lang w:val="uk-UA" w:eastAsia="en-US"/>
    </w:rPr>
  </w:style>
  <w:style w:type="character" w:styleId="af0">
    <w:name w:val="Emphasis"/>
    <w:basedOn w:val="a0"/>
    <w:uiPriority w:val="20"/>
    <w:qFormat/>
    <w:rsid w:val="00DA4F95"/>
    <w:rPr>
      <w:i/>
      <w:iCs/>
    </w:rPr>
  </w:style>
  <w:style w:type="character" w:customStyle="1" w:styleId="cf01">
    <w:name w:val="cf01"/>
    <w:basedOn w:val="a0"/>
    <w:rsid w:val="00BF02C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BF02C6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a"/>
    <w:rsid w:val="00243749"/>
    <w:pPr>
      <w:spacing w:before="100" w:beforeAutospacing="1" w:after="100" w:afterAutospacing="1"/>
    </w:pPr>
    <w:rPr>
      <w:lang w:val="en-US" w:eastAsia="en-US"/>
    </w:rPr>
  </w:style>
  <w:style w:type="character" w:customStyle="1" w:styleId="cf21">
    <w:name w:val="cf21"/>
    <w:basedOn w:val="a0"/>
    <w:rsid w:val="0024374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4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gigi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gigi.lv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6601</Words>
  <Characters>3763</Characters>
  <Application>Microsoft Office Word</Application>
  <DocSecurity>0</DocSecurity>
  <Lines>31</Lines>
  <Paragraphs>20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</Company>
  <LinksUpToDate>false</LinksUpToDate>
  <CharactersWithSpaces>10344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19</cp:revision>
  <dcterms:created xsi:type="dcterms:W3CDTF">2025-12-10T08:22:00Z</dcterms:created>
  <dcterms:modified xsi:type="dcterms:W3CDTF">2026-01-17T09:00:00Z</dcterms:modified>
</cp:coreProperties>
</file>