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8FC" w:rsidRPr="002D1857" w:rsidRDefault="008328FC" w:rsidP="008328FC">
      <w:pPr>
        <w:pStyle w:val="11"/>
        <w:ind w:firstLine="709"/>
        <w:jc w:val="center"/>
        <w:rPr>
          <w:b/>
          <w:sz w:val="24"/>
          <w:szCs w:val="24"/>
          <w:lang w:val="uk-UA"/>
        </w:rPr>
      </w:pPr>
      <w:r w:rsidRPr="002D1857">
        <w:rPr>
          <w:b/>
          <w:sz w:val="24"/>
          <w:szCs w:val="24"/>
          <w:lang w:val="uk-UA"/>
        </w:rPr>
        <w:t>Коротка характеристика препарату</w:t>
      </w:r>
    </w:p>
    <w:p w:rsidR="008328FC" w:rsidRPr="002D1857" w:rsidRDefault="008328FC" w:rsidP="008328FC">
      <w:pPr>
        <w:pStyle w:val="11"/>
        <w:ind w:firstLine="709"/>
        <w:jc w:val="center"/>
        <w:rPr>
          <w:b/>
          <w:sz w:val="24"/>
          <w:szCs w:val="24"/>
          <w:lang w:val="uk-UA"/>
        </w:rPr>
      </w:pPr>
    </w:p>
    <w:p w:rsidR="008328FC" w:rsidRPr="002D1857" w:rsidRDefault="008328FC" w:rsidP="008328FC">
      <w:pPr>
        <w:ind w:firstLine="708"/>
        <w:jc w:val="both"/>
        <w:rPr>
          <w:b/>
          <w:lang w:val="uk-UA"/>
        </w:rPr>
      </w:pPr>
      <w:r w:rsidRPr="002D1857">
        <w:rPr>
          <w:b/>
          <w:lang w:val="uk-UA"/>
        </w:rPr>
        <w:t>1.  Назва</w:t>
      </w:r>
    </w:p>
    <w:p w:rsidR="008328FC" w:rsidRPr="002D1857" w:rsidRDefault="008328FC" w:rsidP="004F2359">
      <w:pPr>
        <w:tabs>
          <w:tab w:val="left" w:pos="6948"/>
        </w:tabs>
        <w:ind w:firstLine="709"/>
        <w:jc w:val="both"/>
        <w:rPr>
          <w:lang w:val="uk-UA"/>
        </w:rPr>
      </w:pPr>
      <w:r w:rsidRPr="002D1857">
        <w:rPr>
          <w:lang w:val="uk-UA"/>
        </w:rPr>
        <w:t>СПІРОЗОЛ-ВС</w:t>
      </w:r>
      <w:r w:rsidR="004F2359" w:rsidRPr="002D1857">
        <w:rPr>
          <w:lang w:val="uk-UA"/>
        </w:rPr>
        <w:tab/>
      </w:r>
    </w:p>
    <w:p w:rsidR="008328FC" w:rsidRPr="002D1857" w:rsidRDefault="008328FC" w:rsidP="008328FC">
      <w:pPr>
        <w:pStyle w:val="11"/>
        <w:ind w:firstLine="709"/>
        <w:jc w:val="both"/>
        <w:rPr>
          <w:sz w:val="24"/>
          <w:szCs w:val="24"/>
          <w:lang w:val="uk-UA"/>
        </w:rPr>
      </w:pPr>
      <w:r w:rsidRPr="002D1857">
        <w:rPr>
          <w:b/>
          <w:sz w:val="24"/>
          <w:szCs w:val="24"/>
          <w:lang w:val="uk-UA"/>
        </w:rPr>
        <w:t>2. Склад</w:t>
      </w:r>
      <w:r w:rsidRPr="002D1857">
        <w:rPr>
          <w:sz w:val="24"/>
          <w:szCs w:val="24"/>
          <w:lang w:val="uk-UA"/>
        </w:rPr>
        <w:t xml:space="preserve"> </w:t>
      </w:r>
    </w:p>
    <w:p w:rsidR="008328FC" w:rsidRPr="002D1857" w:rsidRDefault="008328FC" w:rsidP="008328FC">
      <w:pPr>
        <w:ind w:firstLine="709"/>
        <w:jc w:val="both"/>
        <w:rPr>
          <w:lang w:val="uk-UA"/>
        </w:rPr>
      </w:pPr>
      <w:r w:rsidRPr="002D1857">
        <w:rPr>
          <w:bCs/>
          <w:lang w:val="uk-UA"/>
        </w:rPr>
        <w:t>1</w:t>
      </w:r>
      <w:r w:rsidR="005E632F" w:rsidRPr="002D1857">
        <w:rPr>
          <w:lang w:val="uk-UA"/>
        </w:rPr>
        <w:t xml:space="preserve"> г</w:t>
      </w:r>
      <w:r w:rsidRPr="002D1857">
        <w:rPr>
          <w:lang w:val="uk-UA"/>
        </w:rPr>
        <w:t xml:space="preserve"> препарату містить </w:t>
      </w:r>
      <w:r w:rsidRPr="002D1857">
        <w:rPr>
          <w:rFonts w:eastAsia="Calibri"/>
          <w:lang w:val="uk-UA" w:eastAsia="en-US"/>
        </w:rPr>
        <w:t>діючі речовини</w:t>
      </w:r>
      <w:r w:rsidRPr="002D1857">
        <w:rPr>
          <w:lang w:val="uk-UA"/>
        </w:rPr>
        <w:t>:</w:t>
      </w:r>
    </w:p>
    <w:p w:rsidR="008328FC" w:rsidRPr="002D1857" w:rsidRDefault="008328FC" w:rsidP="008328FC">
      <w:pPr>
        <w:ind w:firstLine="709"/>
        <w:jc w:val="both"/>
        <w:rPr>
          <w:lang w:val="uk-UA"/>
        </w:rPr>
      </w:pPr>
      <w:r w:rsidRPr="002D1857">
        <w:rPr>
          <w:lang w:val="uk-UA"/>
        </w:rPr>
        <w:t xml:space="preserve">спіраміцину адіпат – 1 250 000 МО; </w:t>
      </w:r>
    </w:p>
    <w:p w:rsidR="008328FC" w:rsidRPr="002D1857" w:rsidRDefault="008328FC" w:rsidP="008328FC">
      <w:pPr>
        <w:ind w:firstLine="709"/>
        <w:jc w:val="both"/>
        <w:rPr>
          <w:lang w:val="uk-UA"/>
        </w:rPr>
      </w:pPr>
      <w:r w:rsidRPr="002D1857">
        <w:rPr>
          <w:lang w:val="uk-UA"/>
        </w:rPr>
        <w:t xml:space="preserve">метронідазол – 208,33 мг.    </w:t>
      </w:r>
    </w:p>
    <w:p w:rsidR="008328FC" w:rsidRPr="002D1857" w:rsidRDefault="008328FC" w:rsidP="008328FC">
      <w:pPr>
        <w:ind w:firstLine="709"/>
        <w:jc w:val="both"/>
        <w:rPr>
          <w:lang w:val="uk-UA"/>
        </w:rPr>
      </w:pPr>
      <w:r w:rsidRPr="002D1857">
        <w:rPr>
          <w:rStyle w:val="cs5efed22f1"/>
          <w:color w:val="auto"/>
          <w:lang w:val="uk-UA"/>
        </w:rPr>
        <w:t xml:space="preserve">Допоміжні речовини: </w:t>
      </w:r>
      <w:r w:rsidRPr="002D1857">
        <w:rPr>
          <w:lang w:val="uk-UA"/>
        </w:rPr>
        <w:t>ароматизатор, підсилювач смаку,</w:t>
      </w:r>
      <w:r w:rsidR="00182E01" w:rsidRPr="002D1857">
        <w:rPr>
          <w:lang w:val="uk-UA"/>
        </w:rPr>
        <w:t xml:space="preserve"> </w:t>
      </w:r>
      <w:r w:rsidRPr="002D1857">
        <w:rPr>
          <w:lang w:val="uk-UA"/>
        </w:rPr>
        <w:t>кальцію стеарат, тальк, повідон, сорбіт,  лактоза, целюлоза мікрокристалічна.</w:t>
      </w:r>
    </w:p>
    <w:p w:rsidR="008328FC" w:rsidRPr="002D1857" w:rsidRDefault="008328FC" w:rsidP="008328FC">
      <w:pPr>
        <w:pStyle w:val="Style3"/>
        <w:widowControl/>
        <w:ind w:firstLine="709"/>
        <w:jc w:val="both"/>
        <w:rPr>
          <w:lang w:val="uk-UA"/>
        </w:rPr>
      </w:pPr>
      <w:r w:rsidRPr="002D1857">
        <w:rPr>
          <w:lang w:val="uk-UA"/>
        </w:rPr>
        <w:t>Препарат випускається у наступних формах:</w:t>
      </w:r>
    </w:p>
    <w:p w:rsidR="008328FC" w:rsidRPr="002D1857" w:rsidRDefault="00182E01" w:rsidP="008328FC">
      <w:pPr>
        <w:widowControl w:val="0"/>
        <w:ind w:left="709"/>
        <w:jc w:val="both"/>
        <w:rPr>
          <w:lang w:val="uk-UA"/>
        </w:rPr>
      </w:pPr>
      <w:r w:rsidRPr="002D1857">
        <w:rPr>
          <w:lang w:val="uk-UA"/>
        </w:rPr>
        <w:t>СПІРОЗОЛ-</w:t>
      </w:r>
      <w:r w:rsidR="008328FC" w:rsidRPr="002D1857">
        <w:rPr>
          <w:lang w:val="uk-UA"/>
        </w:rPr>
        <w:t>ВС</w:t>
      </w:r>
      <w:r w:rsidRPr="002D1857">
        <w:rPr>
          <w:lang w:val="uk-UA"/>
        </w:rPr>
        <w:t xml:space="preserve"> </w:t>
      </w:r>
      <w:r w:rsidR="008328FC" w:rsidRPr="002D1857">
        <w:rPr>
          <w:lang w:val="uk-UA"/>
        </w:rPr>
        <w:t>(таблетка масою 120 мг) – спіраміцину адіпату 150 000 МО та метронідазолу 25 мг;</w:t>
      </w:r>
    </w:p>
    <w:p w:rsidR="008328FC" w:rsidRPr="002D1857" w:rsidRDefault="008328FC" w:rsidP="008328FC">
      <w:pPr>
        <w:widowControl w:val="0"/>
        <w:ind w:left="709"/>
        <w:jc w:val="both"/>
        <w:rPr>
          <w:lang w:val="uk-UA"/>
        </w:rPr>
      </w:pPr>
      <w:r w:rsidRPr="002D1857">
        <w:rPr>
          <w:lang w:val="uk-UA"/>
        </w:rPr>
        <w:t>СПІРОЗОЛ-ВС (таблетка масою 600 мг) - спіраміцину адіпату 750 000 МО та метронідазолу 125 мг;</w:t>
      </w:r>
    </w:p>
    <w:p w:rsidR="008328FC" w:rsidRPr="002D1857" w:rsidRDefault="00182E01" w:rsidP="008328FC">
      <w:pPr>
        <w:widowControl w:val="0"/>
        <w:ind w:left="709"/>
        <w:jc w:val="both"/>
        <w:rPr>
          <w:lang w:val="uk-UA"/>
        </w:rPr>
      </w:pPr>
      <w:r w:rsidRPr="002D1857">
        <w:rPr>
          <w:lang w:val="uk-UA"/>
        </w:rPr>
        <w:t>СПІРОЗОЛ-</w:t>
      </w:r>
      <w:r w:rsidR="008328FC" w:rsidRPr="002D1857">
        <w:rPr>
          <w:lang w:val="uk-UA"/>
        </w:rPr>
        <w:t>ВС (таблетка масою 1,2 г) - спіраміцину адіпату 1500 000 МО та метронідазолу 250 мг.</w:t>
      </w:r>
    </w:p>
    <w:p w:rsidR="008328FC" w:rsidRPr="002D1857" w:rsidRDefault="008328FC" w:rsidP="008328FC">
      <w:pPr>
        <w:ind w:firstLine="709"/>
        <w:jc w:val="both"/>
        <w:rPr>
          <w:b/>
          <w:lang w:val="uk-UA"/>
        </w:rPr>
      </w:pPr>
      <w:r w:rsidRPr="002D1857">
        <w:rPr>
          <w:b/>
          <w:lang w:val="uk-UA"/>
        </w:rPr>
        <w:t>3. Фармацевтична форма</w:t>
      </w:r>
    </w:p>
    <w:p w:rsidR="008328FC" w:rsidRPr="002D1857" w:rsidRDefault="008328FC" w:rsidP="008328FC">
      <w:pPr>
        <w:ind w:firstLine="709"/>
        <w:jc w:val="both"/>
        <w:rPr>
          <w:b/>
          <w:lang w:val="uk-UA"/>
        </w:rPr>
      </w:pPr>
      <w:r w:rsidRPr="002D1857">
        <w:rPr>
          <w:lang w:val="uk-UA"/>
        </w:rPr>
        <w:t>Таблетки.</w:t>
      </w:r>
    </w:p>
    <w:p w:rsidR="008328FC" w:rsidRPr="002D1857" w:rsidRDefault="008328FC" w:rsidP="008328FC">
      <w:pPr>
        <w:ind w:firstLine="709"/>
        <w:jc w:val="both"/>
        <w:rPr>
          <w:b/>
          <w:lang w:val="uk-UA"/>
        </w:rPr>
      </w:pPr>
      <w:r w:rsidRPr="002D1857">
        <w:rPr>
          <w:b/>
          <w:lang w:val="uk-UA"/>
        </w:rPr>
        <w:t>4. Фармакологічні властивості</w:t>
      </w:r>
    </w:p>
    <w:p w:rsidR="008328FC" w:rsidRPr="002D1857" w:rsidRDefault="008328FC" w:rsidP="00182E01">
      <w:pPr>
        <w:ind w:firstLine="709"/>
        <w:jc w:val="both"/>
        <w:rPr>
          <w:b/>
          <w:i/>
          <w:lang w:val="uk-UA"/>
        </w:rPr>
      </w:pPr>
      <w:r w:rsidRPr="002D1857">
        <w:rPr>
          <w:b/>
          <w:i/>
          <w:lang w:val="uk-UA"/>
        </w:rPr>
        <w:t>АТС vet класифікаційний код QJ01 – антибактеріальні ветеринарні препарати для системного застосування.</w:t>
      </w:r>
      <w:r w:rsidR="00182E01" w:rsidRPr="002D1857">
        <w:rPr>
          <w:b/>
          <w:i/>
          <w:lang w:val="uk-UA"/>
        </w:rPr>
        <w:t xml:space="preserve"> QJ01RA04 – спіраміцин і метронідазол.</w:t>
      </w:r>
    </w:p>
    <w:p w:rsidR="00B06838" w:rsidRPr="002D1857" w:rsidRDefault="00B06838" w:rsidP="00B06838">
      <w:pPr>
        <w:ind w:firstLine="709"/>
        <w:jc w:val="both"/>
        <w:rPr>
          <w:lang w:val="uk-UA"/>
        </w:rPr>
      </w:pPr>
      <w:r w:rsidRPr="002D1857">
        <w:rPr>
          <w:lang w:val="uk-UA"/>
        </w:rPr>
        <w:t xml:space="preserve">Препарат СПІРОЗОЛ-ВС - </w:t>
      </w:r>
      <w:r w:rsidRPr="002D1857">
        <w:rPr>
          <w:rFonts w:eastAsia="Calibri"/>
          <w:lang w:val="uk-UA" w:eastAsia="en-US"/>
        </w:rPr>
        <w:t>комбінований препарат, до складу якого входять</w:t>
      </w:r>
      <w:r w:rsidRPr="002D1857">
        <w:rPr>
          <w:lang w:val="uk-UA"/>
        </w:rPr>
        <w:t xml:space="preserve"> спіраміцин та метронідазол. Комбінація діючих речовин препарату має широкий спектр дії проти грампозитивних та грамнегативних мікроорганізмів, а також найпростіших і мікоплазм.</w:t>
      </w:r>
    </w:p>
    <w:p w:rsidR="00B06838" w:rsidRPr="002D1857" w:rsidRDefault="00B06838" w:rsidP="00B06838">
      <w:pPr>
        <w:ind w:firstLine="709"/>
        <w:jc w:val="both"/>
        <w:rPr>
          <w:shd w:val="clear" w:color="auto" w:fill="FFFFFF"/>
          <w:lang w:val="uk-UA"/>
        </w:rPr>
      </w:pPr>
      <w:r w:rsidRPr="002D1857">
        <w:rPr>
          <w:i/>
          <w:lang w:val="uk-UA"/>
        </w:rPr>
        <w:t>Спіраміцин</w:t>
      </w:r>
      <w:r w:rsidRPr="002D1857">
        <w:rPr>
          <w:lang w:val="uk-UA"/>
        </w:rPr>
        <w:t xml:space="preserve"> – антибіотик групи макролідів, що має бактеріостатичну дію. Оборотно зв'язуючись із 50S субодиницею рибосом, пригнічує синтез білка </w:t>
      </w:r>
      <w:r w:rsidR="00BB59EE" w:rsidRPr="002D1857">
        <w:rPr>
          <w:lang w:val="uk-UA"/>
        </w:rPr>
        <w:t>в</w:t>
      </w:r>
      <w:r w:rsidRPr="002D1857">
        <w:rPr>
          <w:lang w:val="uk-UA"/>
        </w:rPr>
        <w:t xml:space="preserve"> мікробній клітині,</w:t>
      </w:r>
      <w:r w:rsidRPr="002D1857">
        <w:rPr>
          <w:shd w:val="clear" w:color="auto" w:fill="FFFFFF"/>
          <w:lang w:val="uk-UA"/>
        </w:rPr>
        <w:t xml:space="preserve"> що призводить до загальної бактеріостатичної активності з постантибіотичним ефектом і зниженням утворення екзотоксинів. </w:t>
      </w:r>
    </w:p>
    <w:p w:rsidR="008328FC" w:rsidRPr="002D1857" w:rsidRDefault="00B06838" w:rsidP="00B06838">
      <w:pPr>
        <w:ind w:firstLine="709"/>
        <w:jc w:val="both"/>
        <w:rPr>
          <w:lang w:val="uk-UA"/>
        </w:rPr>
      </w:pPr>
      <w:r w:rsidRPr="002D1857">
        <w:rPr>
          <w:shd w:val="clear" w:color="auto" w:fill="FFFFFF"/>
          <w:lang w:val="uk-UA"/>
        </w:rPr>
        <w:t>Спіраміцин на відміну від 14-членних макролідів здатний зв'язуватися не з одним, а одночасно з трьома доменами (I-III) 50S субодиниці рибосоми, що забезпечує більш стійке зв'язування та тривалий антибактеріальний ефект. Активність його підвищується за лужного рН.</w:t>
      </w:r>
      <w:r w:rsidRPr="002D1857">
        <w:rPr>
          <w:lang w:val="uk-UA"/>
        </w:rPr>
        <w:t xml:space="preserve"> Спіраміцин активний щодо грампозитивних (</w:t>
      </w:r>
      <w:r w:rsidRPr="002D1857">
        <w:rPr>
          <w:i/>
        </w:rPr>
        <w:t>Staphylococcus</w:t>
      </w:r>
      <w:r w:rsidRPr="002D1857">
        <w:rPr>
          <w:i/>
          <w:lang w:val="uk-UA"/>
        </w:rPr>
        <w:t xml:space="preserve"> </w:t>
      </w:r>
      <w:r w:rsidRPr="002D1857">
        <w:rPr>
          <w:i/>
        </w:rPr>
        <w:t>spp</w:t>
      </w:r>
      <w:r w:rsidRPr="002D1857">
        <w:rPr>
          <w:i/>
          <w:lang w:val="uk-UA"/>
        </w:rPr>
        <w:t xml:space="preserve">., </w:t>
      </w:r>
      <w:r w:rsidRPr="002D1857">
        <w:rPr>
          <w:i/>
        </w:rPr>
        <w:t>Streptococcus</w:t>
      </w:r>
      <w:r w:rsidRPr="002D1857">
        <w:rPr>
          <w:i/>
          <w:lang w:val="uk-UA"/>
        </w:rPr>
        <w:t xml:space="preserve"> </w:t>
      </w:r>
      <w:r w:rsidRPr="002D1857">
        <w:rPr>
          <w:i/>
        </w:rPr>
        <w:t>spp</w:t>
      </w:r>
      <w:r w:rsidRPr="002D1857">
        <w:rPr>
          <w:i/>
          <w:lang w:val="uk-UA"/>
        </w:rPr>
        <w:t xml:space="preserve">., </w:t>
      </w:r>
      <w:r w:rsidRPr="002D1857">
        <w:rPr>
          <w:i/>
        </w:rPr>
        <w:t>Corynebacterium</w:t>
      </w:r>
      <w:r w:rsidRPr="002D1857">
        <w:rPr>
          <w:i/>
          <w:lang w:val="uk-UA"/>
        </w:rPr>
        <w:t xml:space="preserve"> </w:t>
      </w:r>
      <w:r w:rsidRPr="002D1857">
        <w:rPr>
          <w:i/>
        </w:rPr>
        <w:t>spp</w:t>
      </w:r>
      <w:r w:rsidRPr="002D1857">
        <w:rPr>
          <w:i/>
          <w:lang w:val="uk-UA"/>
        </w:rPr>
        <w:t xml:space="preserve">., </w:t>
      </w:r>
      <w:r w:rsidRPr="002D1857">
        <w:rPr>
          <w:i/>
        </w:rPr>
        <w:t>Actinomyces</w:t>
      </w:r>
      <w:r w:rsidRPr="002D1857">
        <w:rPr>
          <w:i/>
          <w:lang w:val="uk-UA"/>
        </w:rPr>
        <w:t xml:space="preserve"> </w:t>
      </w:r>
      <w:r w:rsidRPr="002D1857">
        <w:rPr>
          <w:i/>
        </w:rPr>
        <w:t>spp</w:t>
      </w:r>
      <w:r w:rsidRPr="002D1857">
        <w:rPr>
          <w:i/>
          <w:lang w:val="uk-UA"/>
        </w:rPr>
        <w:t xml:space="preserve">., </w:t>
      </w:r>
      <w:r w:rsidRPr="002D1857">
        <w:rPr>
          <w:i/>
        </w:rPr>
        <w:t>Listeria</w:t>
      </w:r>
      <w:r w:rsidRPr="002D1857">
        <w:rPr>
          <w:i/>
          <w:lang w:val="uk-UA"/>
        </w:rPr>
        <w:t xml:space="preserve"> </w:t>
      </w:r>
      <w:r w:rsidRPr="002D1857">
        <w:rPr>
          <w:i/>
        </w:rPr>
        <w:t>spp</w:t>
      </w:r>
      <w:r w:rsidRPr="002D1857">
        <w:rPr>
          <w:i/>
          <w:lang w:val="uk-UA"/>
        </w:rPr>
        <w:t>.,</w:t>
      </w:r>
      <w:r w:rsidRPr="002D1857">
        <w:rPr>
          <w:lang w:val="uk-UA"/>
        </w:rPr>
        <w:t xml:space="preserve"> </w:t>
      </w:r>
      <w:r w:rsidRPr="002D1857">
        <w:rPr>
          <w:i/>
        </w:rPr>
        <w:t>Clostridium</w:t>
      </w:r>
      <w:r w:rsidRPr="002D1857">
        <w:rPr>
          <w:i/>
          <w:lang w:val="uk-UA"/>
        </w:rPr>
        <w:t xml:space="preserve"> </w:t>
      </w:r>
      <w:r w:rsidRPr="002D1857">
        <w:rPr>
          <w:i/>
        </w:rPr>
        <w:t>spp</w:t>
      </w:r>
      <w:r w:rsidRPr="002D1857">
        <w:rPr>
          <w:lang w:val="uk-UA"/>
        </w:rPr>
        <w:t>), та грамнегативних (</w:t>
      </w:r>
      <w:r w:rsidRPr="002D1857">
        <w:rPr>
          <w:i/>
        </w:rPr>
        <w:t>Neisseria</w:t>
      </w:r>
      <w:r w:rsidRPr="002D1857">
        <w:rPr>
          <w:i/>
          <w:lang w:val="uk-UA"/>
        </w:rPr>
        <w:t xml:space="preserve"> </w:t>
      </w:r>
      <w:r w:rsidRPr="002D1857">
        <w:rPr>
          <w:i/>
        </w:rPr>
        <w:t>spp</w:t>
      </w:r>
      <w:r w:rsidRPr="002D1857">
        <w:rPr>
          <w:i/>
          <w:lang w:val="uk-UA"/>
        </w:rPr>
        <w:t xml:space="preserve">., </w:t>
      </w:r>
      <w:r w:rsidRPr="002D1857">
        <w:rPr>
          <w:i/>
        </w:rPr>
        <w:t>Haemophilus</w:t>
      </w:r>
      <w:r w:rsidRPr="002D1857">
        <w:rPr>
          <w:i/>
          <w:lang w:val="uk-UA"/>
        </w:rPr>
        <w:t xml:space="preserve"> </w:t>
      </w:r>
      <w:r w:rsidRPr="002D1857">
        <w:rPr>
          <w:i/>
        </w:rPr>
        <w:t>spp</w:t>
      </w:r>
      <w:r w:rsidRPr="002D1857">
        <w:rPr>
          <w:i/>
          <w:lang w:val="uk-UA"/>
        </w:rPr>
        <w:t xml:space="preserve">., </w:t>
      </w:r>
      <w:r w:rsidRPr="002D1857">
        <w:rPr>
          <w:i/>
        </w:rPr>
        <w:t>Bacteroides</w:t>
      </w:r>
      <w:r w:rsidRPr="002D1857">
        <w:rPr>
          <w:i/>
          <w:lang w:val="uk-UA"/>
        </w:rPr>
        <w:t xml:space="preserve"> </w:t>
      </w:r>
      <w:r w:rsidRPr="002D1857">
        <w:rPr>
          <w:i/>
        </w:rPr>
        <w:t>spp</w:t>
      </w:r>
      <w:r w:rsidRPr="002D1857">
        <w:rPr>
          <w:i/>
          <w:lang w:val="uk-UA"/>
        </w:rPr>
        <w:t xml:space="preserve">., </w:t>
      </w:r>
      <w:r w:rsidRPr="002D1857">
        <w:rPr>
          <w:i/>
        </w:rPr>
        <w:t>Campylobacter</w:t>
      </w:r>
      <w:r w:rsidRPr="002D1857">
        <w:rPr>
          <w:i/>
          <w:lang w:val="uk-UA"/>
        </w:rPr>
        <w:t xml:space="preserve"> </w:t>
      </w:r>
      <w:r w:rsidRPr="002D1857">
        <w:rPr>
          <w:i/>
        </w:rPr>
        <w:t>spp</w:t>
      </w:r>
      <w:r w:rsidRPr="002D1857">
        <w:rPr>
          <w:i/>
          <w:lang w:val="uk-UA"/>
        </w:rPr>
        <w:t xml:space="preserve">., </w:t>
      </w:r>
      <w:r w:rsidRPr="002D1857">
        <w:rPr>
          <w:i/>
        </w:rPr>
        <w:t>Bordetella</w:t>
      </w:r>
      <w:r w:rsidRPr="002D1857">
        <w:rPr>
          <w:i/>
          <w:lang w:val="uk-UA"/>
        </w:rPr>
        <w:t xml:space="preserve"> </w:t>
      </w:r>
      <w:r w:rsidRPr="002D1857">
        <w:rPr>
          <w:i/>
        </w:rPr>
        <w:t>pertussis</w:t>
      </w:r>
      <w:r w:rsidRPr="002D1857">
        <w:rPr>
          <w:i/>
          <w:lang w:val="uk-UA"/>
        </w:rPr>
        <w:t xml:space="preserve"> </w:t>
      </w:r>
      <w:r w:rsidRPr="002D1857">
        <w:rPr>
          <w:i/>
        </w:rPr>
        <w:t>spp</w:t>
      </w:r>
      <w:r w:rsidRPr="002D1857">
        <w:rPr>
          <w:i/>
          <w:lang w:val="uk-UA"/>
        </w:rPr>
        <w:t xml:space="preserve">., </w:t>
      </w:r>
      <w:r w:rsidRPr="002D1857">
        <w:rPr>
          <w:i/>
        </w:rPr>
        <w:t>Legionella</w:t>
      </w:r>
      <w:r w:rsidRPr="002D1857">
        <w:rPr>
          <w:i/>
          <w:lang w:val="uk-UA"/>
        </w:rPr>
        <w:t xml:space="preserve"> </w:t>
      </w:r>
      <w:r w:rsidRPr="002D1857">
        <w:rPr>
          <w:i/>
        </w:rPr>
        <w:t>spp</w:t>
      </w:r>
      <w:r w:rsidRPr="002D1857">
        <w:rPr>
          <w:i/>
          <w:lang w:val="uk-UA"/>
        </w:rPr>
        <w:t>.</w:t>
      </w:r>
      <w:r w:rsidRPr="002D1857">
        <w:rPr>
          <w:lang w:val="uk-UA"/>
        </w:rPr>
        <w:t>)</w:t>
      </w:r>
      <w:r w:rsidRPr="002D1857">
        <w:rPr>
          <w:i/>
          <w:lang w:val="uk-UA"/>
        </w:rPr>
        <w:t xml:space="preserve"> </w:t>
      </w:r>
      <w:r w:rsidRPr="002D1857">
        <w:rPr>
          <w:lang w:val="uk-UA"/>
        </w:rPr>
        <w:t>мікроорганізмів, хламідій (</w:t>
      </w:r>
      <w:r w:rsidRPr="002D1857">
        <w:rPr>
          <w:i/>
        </w:rPr>
        <w:t>Chlamydia</w:t>
      </w:r>
      <w:r w:rsidRPr="002D1857">
        <w:rPr>
          <w:i/>
          <w:lang w:val="uk-UA"/>
        </w:rPr>
        <w:t xml:space="preserve"> </w:t>
      </w:r>
      <w:r w:rsidRPr="002D1857">
        <w:rPr>
          <w:i/>
        </w:rPr>
        <w:t>spp</w:t>
      </w:r>
      <w:r w:rsidRPr="002D1857">
        <w:rPr>
          <w:i/>
          <w:lang w:val="uk-UA"/>
        </w:rPr>
        <w:t>.</w:t>
      </w:r>
      <w:r w:rsidRPr="002D1857">
        <w:rPr>
          <w:lang w:val="uk-UA"/>
        </w:rPr>
        <w:t>), рикетсій</w:t>
      </w:r>
      <w:r w:rsidRPr="002D1857">
        <w:rPr>
          <w:i/>
          <w:lang w:val="uk-UA"/>
        </w:rPr>
        <w:t xml:space="preserve"> </w:t>
      </w:r>
      <w:r w:rsidRPr="002D1857">
        <w:rPr>
          <w:lang w:val="uk-UA"/>
        </w:rPr>
        <w:t>(</w:t>
      </w:r>
      <w:r w:rsidRPr="002D1857">
        <w:rPr>
          <w:i/>
        </w:rPr>
        <w:t>Rickettsia</w:t>
      </w:r>
      <w:r w:rsidRPr="002D1857">
        <w:rPr>
          <w:i/>
          <w:lang w:val="uk-UA"/>
        </w:rPr>
        <w:t xml:space="preserve"> </w:t>
      </w:r>
      <w:r w:rsidRPr="002D1857">
        <w:rPr>
          <w:i/>
        </w:rPr>
        <w:t>spp</w:t>
      </w:r>
      <w:r w:rsidRPr="002D1857">
        <w:rPr>
          <w:i/>
          <w:lang w:val="uk-UA"/>
        </w:rPr>
        <w:t>.</w:t>
      </w:r>
      <w:r w:rsidRPr="002D1857">
        <w:rPr>
          <w:lang w:val="uk-UA"/>
        </w:rPr>
        <w:t>), мікоплазм</w:t>
      </w:r>
      <w:r w:rsidRPr="002D1857">
        <w:rPr>
          <w:i/>
          <w:lang w:val="uk-UA"/>
        </w:rPr>
        <w:t xml:space="preserve"> </w:t>
      </w:r>
      <w:r w:rsidRPr="002D1857">
        <w:rPr>
          <w:lang w:val="uk-UA"/>
        </w:rPr>
        <w:t>(</w:t>
      </w:r>
      <w:r w:rsidRPr="002D1857">
        <w:rPr>
          <w:i/>
        </w:rPr>
        <w:t>Mycoplasma</w:t>
      </w:r>
      <w:r w:rsidRPr="002D1857">
        <w:rPr>
          <w:i/>
          <w:lang w:val="uk-UA"/>
        </w:rPr>
        <w:t xml:space="preserve"> </w:t>
      </w:r>
      <w:r w:rsidRPr="002D1857">
        <w:rPr>
          <w:i/>
        </w:rPr>
        <w:t>spp</w:t>
      </w:r>
      <w:r w:rsidRPr="002D1857">
        <w:rPr>
          <w:i/>
          <w:lang w:val="uk-UA"/>
        </w:rPr>
        <w:t>.</w:t>
      </w:r>
      <w:r w:rsidRPr="002D1857">
        <w:rPr>
          <w:lang w:val="uk-UA"/>
        </w:rPr>
        <w:t>)</w:t>
      </w:r>
      <w:r w:rsidRPr="002D1857">
        <w:rPr>
          <w:i/>
          <w:lang w:val="uk-UA"/>
        </w:rPr>
        <w:t>.</w:t>
      </w:r>
      <w:r w:rsidRPr="002D1857">
        <w:rPr>
          <w:lang w:val="uk-UA"/>
        </w:rPr>
        <w:t xml:space="preserve"> </w:t>
      </w:r>
      <w:r w:rsidRPr="002D1857">
        <w:t xml:space="preserve">Спіраміцин зберігає активність проти окремих штамів грампозитивних коків, резистентних до 14- та 15-членних макролідів. Це пов’язано з М-фенотипом резистентності, який характеризується активним виведенням </w:t>
      </w:r>
      <w:r w:rsidRPr="002D1857">
        <w:rPr>
          <w:lang w:val="uk-UA"/>
        </w:rPr>
        <w:t xml:space="preserve">спіраміцину </w:t>
      </w:r>
      <w:r w:rsidRPr="002D1857">
        <w:t xml:space="preserve">з </w:t>
      </w:r>
      <w:r w:rsidRPr="002D1857">
        <w:rPr>
          <w:lang w:val="uk-UA"/>
        </w:rPr>
        <w:t xml:space="preserve">бактеріальної </w:t>
      </w:r>
      <w:r w:rsidRPr="002D1857">
        <w:t xml:space="preserve">клітини (ефлюкс). Найчастіше такий механізм зустрічається у штамів </w:t>
      </w:r>
      <w:r w:rsidRPr="002D1857">
        <w:rPr>
          <w:i/>
        </w:rPr>
        <w:t>S. pneumoniae</w:t>
      </w:r>
      <w:r w:rsidRPr="002D1857">
        <w:t xml:space="preserve"> та </w:t>
      </w:r>
      <w:r w:rsidRPr="002D1857">
        <w:rPr>
          <w:i/>
        </w:rPr>
        <w:t>S. pyogenes.</w:t>
      </w:r>
      <w:r w:rsidR="008328FC" w:rsidRPr="002D1857">
        <w:rPr>
          <w:lang w:val="uk-UA"/>
        </w:rPr>
        <w:t xml:space="preserve">  </w:t>
      </w:r>
    </w:p>
    <w:p w:rsidR="00681C40" w:rsidRPr="002D1857" w:rsidRDefault="00681C40" w:rsidP="00681C40">
      <w:pPr>
        <w:ind w:firstLine="709"/>
        <w:jc w:val="both"/>
        <w:rPr>
          <w:shd w:val="clear" w:color="auto" w:fill="FFFFFF"/>
          <w:lang w:val="uk-UA"/>
        </w:rPr>
      </w:pPr>
      <w:r w:rsidRPr="002D1857">
        <w:rPr>
          <w:lang w:val="uk-UA"/>
        </w:rPr>
        <w:t xml:space="preserve">За перорального застосування спіраміцин швидко всмоктується з травного каналу </w:t>
      </w:r>
      <w:r w:rsidRPr="002D1857">
        <w:rPr>
          <w:shd w:val="clear" w:color="auto" w:fill="FFFFFF"/>
        </w:rPr>
        <w:t>(біодоступність близько 100%)</w:t>
      </w:r>
      <w:r w:rsidRPr="002D1857">
        <w:rPr>
          <w:lang w:val="uk-UA"/>
        </w:rPr>
        <w:t>, добре проникає в біологічні рідини (</w:t>
      </w:r>
      <w:r w:rsidR="00BB59EE" w:rsidRPr="002D1857">
        <w:rPr>
          <w:lang w:val="uk-UA"/>
        </w:rPr>
        <w:t>в</w:t>
      </w:r>
      <w:r w:rsidRPr="002D1857">
        <w:rPr>
          <w:lang w:val="uk-UA"/>
        </w:rPr>
        <w:t xml:space="preserve"> тому числі</w:t>
      </w:r>
      <w:r w:rsidR="00BB59EE" w:rsidRPr="002D1857">
        <w:rPr>
          <w:lang w:val="uk-UA"/>
        </w:rPr>
        <w:t>,</w:t>
      </w:r>
      <w:r w:rsidRPr="002D1857">
        <w:rPr>
          <w:lang w:val="uk-UA"/>
        </w:rPr>
        <w:t xml:space="preserve"> слину), органи та тканини. Максимальна концентрація спіраміцину </w:t>
      </w:r>
      <w:r w:rsidR="00BB59EE" w:rsidRPr="002D1857">
        <w:rPr>
          <w:lang w:val="uk-UA"/>
        </w:rPr>
        <w:t>в</w:t>
      </w:r>
      <w:r w:rsidRPr="002D1857">
        <w:rPr>
          <w:lang w:val="uk-UA"/>
        </w:rPr>
        <w:t xml:space="preserve"> плазмі крові, що становить 4,4 мкг/мл, </w:t>
      </w:r>
      <w:r w:rsidR="00B06838" w:rsidRPr="002D1857">
        <w:rPr>
          <w:lang w:val="uk-UA"/>
        </w:rPr>
        <w:t>досягається</w:t>
      </w:r>
      <w:r w:rsidRPr="002D1857">
        <w:rPr>
          <w:lang w:val="uk-UA"/>
        </w:rPr>
        <w:t xml:space="preserve"> протягом </w:t>
      </w:r>
      <w:r w:rsidRPr="002D1857">
        <w:rPr>
          <w:shd w:val="clear" w:color="auto" w:fill="FFFFFF"/>
        </w:rPr>
        <w:t>1,5 - 3 години</w:t>
      </w:r>
      <w:r w:rsidRPr="002D1857">
        <w:rPr>
          <w:lang w:val="uk-UA"/>
        </w:rPr>
        <w:t xml:space="preserve">. Спіраміцин швидко досягає високих рівнів у тканинах, які в 10-15 разів перевищують рівень у плазмі крові. Кінцевий період напіввиведення його становить близько 8,6 години. Спіраміцин виводиться з жовчю. </w:t>
      </w:r>
    </w:p>
    <w:p w:rsidR="00681C40" w:rsidRPr="002D1857" w:rsidRDefault="00681C40" w:rsidP="00681C40">
      <w:pPr>
        <w:ind w:firstLine="709"/>
        <w:jc w:val="both"/>
        <w:rPr>
          <w:lang w:val="uk-UA"/>
        </w:rPr>
      </w:pPr>
      <w:r w:rsidRPr="002D1857">
        <w:rPr>
          <w:i/>
          <w:lang w:val="uk-UA"/>
        </w:rPr>
        <w:t>Метронідазол</w:t>
      </w:r>
      <w:r w:rsidRPr="002D1857">
        <w:rPr>
          <w:lang w:val="uk-UA"/>
        </w:rPr>
        <w:t xml:space="preserve"> – антипротозойний засіб групи нітро-5-імідазолу. Активний щодо грампозитивних</w:t>
      </w:r>
      <w:r w:rsidRPr="002D1857">
        <w:rPr>
          <w:rFonts w:eastAsia="Microsoft Sans Serif"/>
          <w:i/>
          <w:lang w:val="uk-UA" w:eastAsia="uk-UA" w:bidi="uk-UA"/>
        </w:rPr>
        <w:t xml:space="preserve"> (</w:t>
      </w:r>
      <w:r w:rsidRPr="002D1857">
        <w:rPr>
          <w:rFonts w:eastAsia="Microsoft Sans Serif"/>
          <w:i/>
          <w:lang w:eastAsia="uk-UA" w:bidi="uk-UA"/>
        </w:rPr>
        <w:t>Clostridium</w:t>
      </w:r>
      <w:r w:rsidRPr="002D1857">
        <w:rPr>
          <w:rFonts w:eastAsia="Microsoft Sans Serif"/>
          <w:i/>
          <w:lang w:val="uk-UA" w:eastAsia="uk-UA" w:bidi="uk-UA"/>
        </w:rPr>
        <w:t xml:space="preserve"> </w:t>
      </w:r>
      <w:r w:rsidRPr="002D1857">
        <w:rPr>
          <w:rFonts w:eastAsia="Microsoft Sans Serif"/>
          <w:i/>
          <w:lang w:eastAsia="uk-UA" w:bidi="uk-UA"/>
        </w:rPr>
        <w:t>spp</w:t>
      </w:r>
      <w:r w:rsidRPr="002D1857">
        <w:rPr>
          <w:rFonts w:eastAsia="Microsoft Sans Serif"/>
          <w:i/>
          <w:lang w:val="uk-UA" w:eastAsia="uk-UA" w:bidi="uk-UA"/>
        </w:rPr>
        <w:t xml:space="preserve">., </w:t>
      </w:r>
      <w:r w:rsidRPr="002D1857">
        <w:rPr>
          <w:rFonts w:eastAsia="Microsoft Sans Serif"/>
          <w:i/>
          <w:lang w:eastAsia="uk-UA" w:bidi="uk-UA"/>
        </w:rPr>
        <w:t>Peptococcus</w:t>
      </w:r>
      <w:r w:rsidRPr="002D1857">
        <w:rPr>
          <w:rFonts w:eastAsia="Microsoft Sans Serif"/>
          <w:i/>
          <w:lang w:val="uk-UA" w:eastAsia="uk-UA" w:bidi="uk-UA"/>
        </w:rPr>
        <w:t xml:space="preserve"> </w:t>
      </w:r>
      <w:r w:rsidRPr="002D1857">
        <w:rPr>
          <w:rFonts w:eastAsia="Microsoft Sans Serif"/>
          <w:i/>
          <w:lang w:eastAsia="uk-UA" w:bidi="uk-UA"/>
        </w:rPr>
        <w:t>spp</w:t>
      </w:r>
      <w:r w:rsidRPr="002D1857">
        <w:rPr>
          <w:rFonts w:eastAsia="Microsoft Sans Serif"/>
          <w:i/>
          <w:lang w:val="uk-UA" w:eastAsia="uk-UA" w:bidi="uk-UA"/>
        </w:rPr>
        <w:t xml:space="preserve">., </w:t>
      </w:r>
      <w:r w:rsidRPr="002D1857">
        <w:rPr>
          <w:i/>
          <w:lang w:val="uk-UA"/>
        </w:rPr>
        <w:t xml:space="preserve">Eubacter spp., </w:t>
      </w:r>
      <w:r w:rsidRPr="002D1857">
        <w:rPr>
          <w:rFonts w:eastAsia="Microsoft Sans Serif"/>
          <w:i/>
          <w:lang w:eastAsia="uk-UA" w:bidi="uk-UA"/>
        </w:rPr>
        <w:t>Peptostreptococcus</w:t>
      </w:r>
      <w:r w:rsidRPr="002D1857">
        <w:rPr>
          <w:rFonts w:eastAsia="Microsoft Sans Serif"/>
          <w:i/>
          <w:lang w:val="uk-UA" w:eastAsia="uk-UA" w:bidi="uk-UA"/>
        </w:rPr>
        <w:t xml:space="preserve"> </w:t>
      </w:r>
      <w:r w:rsidRPr="002D1857">
        <w:rPr>
          <w:rFonts w:eastAsia="Microsoft Sans Serif"/>
          <w:i/>
          <w:lang w:eastAsia="uk-UA" w:bidi="uk-UA"/>
        </w:rPr>
        <w:t>spp</w:t>
      </w:r>
      <w:r w:rsidRPr="002D1857">
        <w:rPr>
          <w:rFonts w:eastAsia="Microsoft Sans Serif"/>
          <w:i/>
          <w:lang w:val="uk-UA" w:eastAsia="uk-UA" w:bidi="uk-UA"/>
        </w:rPr>
        <w:t>.</w:t>
      </w:r>
      <w:r w:rsidRPr="002D1857">
        <w:rPr>
          <w:rFonts w:eastAsia="Microsoft Sans Serif"/>
          <w:lang w:val="uk-UA" w:eastAsia="uk-UA" w:bidi="uk-UA"/>
        </w:rPr>
        <w:t>)</w:t>
      </w:r>
      <w:r w:rsidRPr="002D1857">
        <w:rPr>
          <w:lang w:val="uk-UA"/>
        </w:rPr>
        <w:t xml:space="preserve">, грамнегативних </w:t>
      </w:r>
      <w:r w:rsidRPr="002D1857">
        <w:rPr>
          <w:rFonts w:eastAsia="Microsoft Sans Serif"/>
          <w:lang w:val="uk-UA" w:eastAsia="uk-UA" w:bidi="uk-UA"/>
        </w:rPr>
        <w:t>(</w:t>
      </w:r>
      <w:r w:rsidRPr="002D1857">
        <w:rPr>
          <w:rFonts w:eastAsia="Microsoft Sans Serif"/>
          <w:i/>
          <w:lang w:eastAsia="uk-UA" w:bidi="uk-UA"/>
        </w:rPr>
        <w:t>Fusobacterium</w:t>
      </w:r>
      <w:r w:rsidRPr="002D1857">
        <w:rPr>
          <w:rFonts w:eastAsia="Microsoft Sans Serif"/>
          <w:i/>
          <w:lang w:val="uk-UA" w:eastAsia="uk-UA" w:bidi="uk-UA"/>
        </w:rPr>
        <w:t xml:space="preserve"> </w:t>
      </w:r>
      <w:r w:rsidRPr="002D1857">
        <w:rPr>
          <w:rFonts w:eastAsia="Microsoft Sans Serif"/>
          <w:i/>
          <w:lang w:eastAsia="uk-UA" w:bidi="uk-UA"/>
        </w:rPr>
        <w:t>spp</w:t>
      </w:r>
      <w:r w:rsidRPr="002D1857">
        <w:rPr>
          <w:rFonts w:eastAsia="Microsoft Sans Serif"/>
          <w:i/>
          <w:lang w:val="uk-UA" w:eastAsia="uk-UA" w:bidi="uk-UA"/>
        </w:rPr>
        <w:t xml:space="preserve">., </w:t>
      </w:r>
      <w:r w:rsidRPr="002D1857">
        <w:rPr>
          <w:i/>
          <w:lang w:val="uk-UA"/>
        </w:rPr>
        <w:t xml:space="preserve">Porphyromonas spp., Prevotella spp., </w:t>
      </w:r>
      <w:r w:rsidRPr="002D1857">
        <w:rPr>
          <w:rFonts w:eastAsia="Microsoft Sans Serif"/>
          <w:i/>
          <w:lang w:eastAsia="uk-UA" w:bidi="uk-UA"/>
        </w:rPr>
        <w:t>Veillonela</w:t>
      </w:r>
      <w:r w:rsidRPr="002D1857">
        <w:rPr>
          <w:rFonts w:eastAsia="Microsoft Sans Serif"/>
          <w:i/>
          <w:lang w:val="uk-UA" w:eastAsia="uk-UA" w:bidi="uk-UA"/>
        </w:rPr>
        <w:t xml:space="preserve"> </w:t>
      </w:r>
      <w:r w:rsidRPr="002D1857">
        <w:rPr>
          <w:rFonts w:eastAsia="Microsoft Sans Serif"/>
          <w:i/>
          <w:lang w:eastAsia="uk-UA" w:bidi="uk-UA"/>
        </w:rPr>
        <w:t>spp</w:t>
      </w:r>
      <w:r w:rsidRPr="002D1857">
        <w:rPr>
          <w:rFonts w:eastAsia="Microsoft Sans Serif"/>
          <w:i/>
          <w:lang w:val="uk-UA" w:eastAsia="uk-UA" w:bidi="uk-UA"/>
        </w:rPr>
        <w:t>.</w:t>
      </w:r>
      <w:r w:rsidRPr="002D1857">
        <w:rPr>
          <w:rFonts w:eastAsia="Microsoft Sans Serif"/>
          <w:lang w:val="uk-UA" w:eastAsia="uk-UA" w:bidi="uk-UA"/>
        </w:rPr>
        <w:t xml:space="preserve">) </w:t>
      </w:r>
      <w:r w:rsidRPr="002D1857">
        <w:rPr>
          <w:lang w:val="uk-UA"/>
        </w:rPr>
        <w:lastRenderedPageBreak/>
        <w:t>мікроорганізмів і найпростіших (</w:t>
      </w:r>
      <w:r w:rsidRPr="002D1857">
        <w:rPr>
          <w:i/>
          <w:lang w:val="uk-UA"/>
        </w:rPr>
        <w:t>Entamoeba spp., Giardia spp., Spirochaete spp.).</w:t>
      </w:r>
      <w:r w:rsidRPr="002D1857">
        <w:rPr>
          <w:shd w:val="clear" w:color="auto" w:fill="FFFFFF"/>
          <w:lang w:val="uk-UA"/>
        </w:rPr>
        <w:t xml:space="preserve"> Метронідазол - це неактивна молекула, яка проникає в цитоплазму клітини шляхом пасивної дифузії, де перетворюється на відновлений пром</w:t>
      </w:r>
      <w:r w:rsidR="001B74F7">
        <w:rPr>
          <w:shd w:val="clear" w:color="auto" w:fill="FFFFFF"/>
          <w:lang w:val="uk-UA"/>
        </w:rPr>
        <w:t>іжний продукт, здатний спричиняти</w:t>
      </w:r>
      <w:r w:rsidRPr="002D1857">
        <w:rPr>
          <w:shd w:val="clear" w:color="auto" w:fill="FFFFFF"/>
          <w:lang w:val="uk-UA"/>
        </w:rPr>
        <w:t xml:space="preserve"> окисне пошкодження ланцюгів ДНК.</w:t>
      </w:r>
      <w:r w:rsidRPr="002D1857">
        <w:rPr>
          <w:lang w:val="uk-UA"/>
        </w:rPr>
        <w:t xml:space="preserve"> </w:t>
      </w:r>
      <w:r w:rsidRPr="002D1857">
        <w:rPr>
          <w:shd w:val="clear" w:color="auto" w:fill="FFFFFF"/>
          <w:lang w:val="uk-UA"/>
        </w:rPr>
        <w:t>Має швидку бактерицидну дію, що залежить від концентрації та незалежно від розміру інокулята та фази росту бактеріальної популяції.</w:t>
      </w:r>
    </w:p>
    <w:p w:rsidR="00681C40" w:rsidRPr="002D1857" w:rsidRDefault="00681C40" w:rsidP="00681C40">
      <w:pPr>
        <w:ind w:firstLine="709"/>
        <w:jc w:val="both"/>
        <w:rPr>
          <w:lang w:val="uk-UA"/>
        </w:rPr>
      </w:pPr>
      <w:r w:rsidRPr="002D1857">
        <w:rPr>
          <w:lang w:val="uk-UA"/>
        </w:rPr>
        <w:t>Після перорального застосування метронідазол швидко і майже повністю всмоктується в травному каналі, досягаючи максимальної концентрації (18 мкг/мл) в плазмі крові та слині через 1,4 годину. </w:t>
      </w:r>
    </w:p>
    <w:p w:rsidR="00681C40" w:rsidRPr="002D1857" w:rsidRDefault="00681C40" w:rsidP="00681C40">
      <w:pPr>
        <w:ind w:firstLine="709"/>
        <w:jc w:val="both"/>
        <w:rPr>
          <w:lang w:val="uk-UA"/>
        </w:rPr>
      </w:pPr>
      <w:r w:rsidRPr="002D1857">
        <w:rPr>
          <w:shd w:val="clear" w:color="auto" w:fill="FFFFFF"/>
          <w:lang w:val="uk-UA"/>
        </w:rPr>
        <w:t xml:space="preserve">Біодоступність метронідазолу за перорального застосування становить 100% і значно не знижується </w:t>
      </w:r>
      <w:r w:rsidR="001B74F7">
        <w:rPr>
          <w:shd w:val="clear" w:color="auto" w:fill="FFFFFF"/>
          <w:lang w:val="uk-UA"/>
        </w:rPr>
        <w:t>за одночасного</w:t>
      </w:r>
      <w:r w:rsidRPr="002D1857">
        <w:rPr>
          <w:shd w:val="clear" w:color="auto" w:fill="FFFFFF"/>
          <w:lang w:val="uk-UA"/>
        </w:rPr>
        <w:t xml:space="preserve"> прийом</w:t>
      </w:r>
      <w:r w:rsidR="001B74F7">
        <w:rPr>
          <w:shd w:val="clear" w:color="auto" w:fill="FFFFFF"/>
          <w:lang w:val="uk-UA"/>
        </w:rPr>
        <w:t>у</w:t>
      </w:r>
      <w:r w:rsidRPr="002D1857">
        <w:rPr>
          <w:shd w:val="clear" w:color="auto" w:fill="FFFFFF"/>
          <w:lang w:val="uk-UA"/>
        </w:rPr>
        <w:t xml:space="preserve"> корму. </w:t>
      </w:r>
      <w:r w:rsidRPr="002D1857">
        <w:rPr>
          <w:lang w:val="uk-UA"/>
        </w:rPr>
        <w:t>Метаболізм метронідазолу відбувається в печінці шляхом окислення та зв'язування з глюкуроновою кислотою.</w:t>
      </w:r>
    </w:p>
    <w:p w:rsidR="008328FC" w:rsidRPr="002D1857" w:rsidRDefault="00B06838" w:rsidP="00681C40">
      <w:pPr>
        <w:ind w:firstLine="709"/>
        <w:jc w:val="both"/>
        <w:rPr>
          <w:lang w:val="uk-UA"/>
        </w:rPr>
      </w:pPr>
      <w:r w:rsidRPr="002D1857">
        <w:rPr>
          <w:lang w:val="uk-UA"/>
        </w:rPr>
        <w:t xml:space="preserve">Виводиться </w:t>
      </w:r>
      <w:r w:rsidRPr="002D1857">
        <w:rPr>
          <w:shd w:val="clear" w:color="auto" w:fill="FFFFFF"/>
          <w:lang w:val="uk-UA"/>
        </w:rPr>
        <w:t>метронідазол</w:t>
      </w:r>
      <w:r w:rsidR="00681C40" w:rsidRPr="002D1857">
        <w:rPr>
          <w:lang w:val="uk-UA"/>
        </w:rPr>
        <w:t xml:space="preserve"> з організму, головним чином, із сечею та частково з фекаліями, Метронідазол проходить через плацентарний бар'єр та екскретується лактуючих тварин у молоко.</w:t>
      </w:r>
      <w:r w:rsidR="008328FC" w:rsidRPr="002D1857">
        <w:rPr>
          <w:lang w:val="uk-UA"/>
        </w:rPr>
        <w:t xml:space="preserve"> </w:t>
      </w:r>
    </w:p>
    <w:p w:rsidR="008328FC" w:rsidRPr="002D1857" w:rsidRDefault="008328FC" w:rsidP="008328FC">
      <w:pPr>
        <w:ind w:firstLine="709"/>
        <w:jc w:val="both"/>
        <w:rPr>
          <w:b/>
          <w:lang w:val="uk-UA"/>
        </w:rPr>
      </w:pPr>
      <w:r w:rsidRPr="002D1857">
        <w:rPr>
          <w:b/>
          <w:lang w:val="uk-UA"/>
        </w:rPr>
        <w:t>5. Клінічні особливості</w:t>
      </w:r>
    </w:p>
    <w:p w:rsidR="008328FC" w:rsidRPr="002D1857" w:rsidRDefault="008328FC" w:rsidP="008328FC">
      <w:pPr>
        <w:ind w:firstLine="709"/>
        <w:jc w:val="both"/>
        <w:rPr>
          <w:b/>
          <w:lang w:val="uk-UA"/>
        </w:rPr>
      </w:pPr>
      <w:r w:rsidRPr="002D1857">
        <w:rPr>
          <w:b/>
          <w:lang w:val="uk-UA"/>
        </w:rPr>
        <w:t>5.1 Вид тварин</w:t>
      </w:r>
    </w:p>
    <w:p w:rsidR="008328FC" w:rsidRPr="002D1857" w:rsidRDefault="008328FC" w:rsidP="008328FC">
      <w:pPr>
        <w:ind w:firstLine="709"/>
        <w:jc w:val="both"/>
        <w:rPr>
          <w:i/>
          <w:iCs/>
          <w:lang w:val="uk-UA" w:eastAsia="en-US"/>
        </w:rPr>
      </w:pPr>
      <w:r w:rsidRPr="002D1857">
        <w:rPr>
          <w:lang w:val="uk-UA" w:eastAsia="en-US"/>
        </w:rPr>
        <w:t>Собаки та коти.</w:t>
      </w:r>
    </w:p>
    <w:p w:rsidR="008328FC" w:rsidRPr="002D1857" w:rsidRDefault="008328FC" w:rsidP="008328FC">
      <w:pPr>
        <w:ind w:firstLine="709"/>
        <w:jc w:val="both"/>
        <w:rPr>
          <w:lang w:val="uk-UA"/>
        </w:rPr>
      </w:pPr>
      <w:r w:rsidRPr="002D1857">
        <w:rPr>
          <w:b/>
          <w:lang w:val="uk-UA"/>
        </w:rPr>
        <w:t>5.2 Показання до застосування</w:t>
      </w:r>
      <w:r w:rsidRPr="002D1857">
        <w:rPr>
          <w:lang w:val="uk-UA"/>
        </w:rPr>
        <w:t xml:space="preserve"> </w:t>
      </w:r>
    </w:p>
    <w:p w:rsidR="008328FC" w:rsidRPr="002D1857" w:rsidRDefault="00681C40" w:rsidP="00F240E7">
      <w:pPr>
        <w:ind w:firstLine="709"/>
        <w:jc w:val="both"/>
        <w:rPr>
          <w:lang w:val="uk-UA"/>
        </w:rPr>
      </w:pPr>
      <w:r w:rsidRPr="002D1857">
        <w:rPr>
          <w:lang w:val="uk-UA"/>
        </w:rPr>
        <w:t xml:space="preserve">Лікування собак та котів, хворих на  тонзиліт, фарингіт, синусит отит, а також за захворювань ротової порожнини (стоматит, гінгівіт, піорея, періодонтит), слинних залоз,  шкіри та м’яких тканин (акне, фурункульоз), що спричинені мікроорганізмами, чутливими до спірамицину і метронідазолу. Як допоміжна терапія за захворювань травного каналу, спричинених </w:t>
      </w:r>
      <w:r w:rsidRPr="002D1857">
        <w:rPr>
          <w:i/>
          <w:lang w:val="uk-UA"/>
        </w:rPr>
        <w:t>Clostridium perfringens, Clostridium spp., Campylobacter spp., Bacteroides, Entamoeba, Giardia, Trichomonas</w:t>
      </w:r>
      <w:r w:rsidRPr="002D1857">
        <w:rPr>
          <w:lang w:val="uk-UA"/>
        </w:rPr>
        <w:t>, що чутливі до спірамицину і метронідазолу.</w:t>
      </w:r>
    </w:p>
    <w:p w:rsidR="008328FC" w:rsidRPr="002D1857" w:rsidRDefault="008328FC" w:rsidP="008328FC">
      <w:pPr>
        <w:ind w:firstLine="709"/>
        <w:jc w:val="both"/>
        <w:rPr>
          <w:lang w:val="uk-UA"/>
        </w:rPr>
      </w:pPr>
      <w:r w:rsidRPr="002D1857">
        <w:rPr>
          <w:b/>
          <w:lang w:val="uk-UA"/>
        </w:rPr>
        <w:t>5.3 Протипоказання</w:t>
      </w:r>
      <w:r w:rsidRPr="002D1857">
        <w:rPr>
          <w:lang w:val="uk-UA"/>
        </w:rPr>
        <w:t xml:space="preserve"> </w:t>
      </w:r>
    </w:p>
    <w:p w:rsidR="008328FC" w:rsidRPr="002D1857" w:rsidRDefault="008328FC" w:rsidP="008328FC">
      <w:pPr>
        <w:ind w:firstLine="709"/>
        <w:jc w:val="both"/>
        <w:rPr>
          <w:bCs/>
          <w:lang w:val="uk-UA"/>
        </w:rPr>
      </w:pPr>
      <w:r w:rsidRPr="002D1857">
        <w:rPr>
          <w:bCs/>
          <w:lang w:val="uk-UA"/>
        </w:rPr>
        <w:t xml:space="preserve">Не застосовувати </w:t>
      </w:r>
      <w:r w:rsidR="00600E1B" w:rsidRPr="002D1857">
        <w:rPr>
          <w:bCs/>
          <w:lang w:val="uk-UA"/>
        </w:rPr>
        <w:t>за підвищеної</w:t>
      </w:r>
      <w:r w:rsidRPr="002D1857">
        <w:rPr>
          <w:bCs/>
          <w:lang w:val="uk-UA"/>
        </w:rPr>
        <w:t xml:space="preserve"> чутливості до спіраміцину, метронідазолу або будь-якої з допоміжних речовин.</w:t>
      </w:r>
    </w:p>
    <w:p w:rsidR="00681C40" w:rsidRPr="002D1857" w:rsidRDefault="00681C40" w:rsidP="00681C40">
      <w:pPr>
        <w:ind w:firstLine="709"/>
        <w:jc w:val="both"/>
        <w:rPr>
          <w:bCs/>
          <w:lang w:val="uk-UA"/>
        </w:rPr>
      </w:pPr>
      <w:r w:rsidRPr="002D1857">
        <w:rPr>
          <w:bCs/>
        </w:rPr>
        <w:t xml:space="preserve">Не застосовувати </w:t>
      </w:r>
      <w:r w:rsidRPr="002D1857">
        <w:rPr>
          <w:bCs/>
          <w:lang w:val="uk-UA"/>
        </w:rPr>
        <w:t>за</w:t>
      </w:r>
      <w:r w:rsidRPr="002D1857">
        <w:rPr>
          <w:bCs/>
        </w:rPr>
        <w:t xml:space="preserve"> захворюван</w:t>
      </w:r>
      <w:r w:rsidRPr="002D1857">
        <w:rPr>
          <w:bCs/>
          <w:lang w:val="uk-UA"/>
        </w:rPr>
        <w:t>ь</w:t>
      </w:r>
      <w:r w:rsidRPr="002D1857">
        <w:rPr>
          <w:bCs/>
        </w:rPr>
        <w:t xml:space="preserve"> печінки.</w:t>
      </w:r>
    </w:p>
    <w:p w:rsidR="008328FC" w:rsidRPr="002D1857" w:rsidRDefault="008328FC" w:rsidP="008328FC">
      <w:pPr>
        <w:ind w:firstLine="709"/>
        <w:jc w:val="both"/>
        <w:rPr>
          <w:bCs/>
          <w:lang w:val="uk-UA"/>
        </w:rPr>
      </w:pPr>
      <w:r w:rsidRPr="002D1857">
        <w:rPr>
          <w:bCs/>
          <w:lang w:val="uk-UA"/>
        </w:rPr>
        <w:t>Не застосовувати одночасно з антибіотиками</w:t>
      </w:r>
      <w:r w:rsidR="001B74F7" w:rsidRPr="001B74F7">
        <w:rPr>
          <w:bCs/>
          <w:lang w:val="uk-UA"/>
        </w:rPr>
        <w:t xml:space="preserve"> </w:t>
      </w:r>
      <w:r w:rsidR="001B74F7" w:rsidRPr="002D1857">
        <w:rPr>
          <w:bCs/>
          <w:lang w:val="uk-UA"/>
        </w:rPr>
        <w:t>бактерицидн</w:t>
      </w:r>
      <w:r w:rsidR="001B74F7">
        <w:rPr>
          <w:bCs/>
          <w:lang w:val="uk-UA"/>
        </w:rPr>
        <w:t>ої дії</w:t>
      </w:r>
      <w:r w:rsidRPr="002D1857">
        <w:rPr>
          <w:bCs/>
          <w:lang w:val="uk-UA"/>
        </w:rPr>
        <w:t>.</w:t>
      </w:r>
    </w:p>
    <w:p w:rsidR="00C56B47" w:rsidRPr="002D1857" w:rsidRDefault="00681C40" w:rsidP="008328FC">
      <w:pPr>
        <w:ind w:firstLine="709"/>
        <w:jc w:val="both"/>
        <w:rPr>
          <w:bCs/>
          <w:lang w:val="uk-UA"/>
        </w:rPr>
      </w:pPr>
      <w:r w:rsidRPr="002D1857">
        <w:rPr>
          <w:bCs/>
        </w:rPr>
        <w:t>Не застосовувати тваринам у період вагітності та лактації</w:t>
      </w:r>
      <w:r w:rsidRPr="002D1857">
        <w:rPr>
          <w:bCs/>
          <w:lang w:val="uk-UA"/>
        </w:rPr>
        <w:t>.</w:t>
      </w:r>
    </w:p>
    <w:p w:rsidR="00194B7E" w:rsidRPr="002D1857" w:rsidRDefault="00194B7E" w:rsidP="00194B7E">
      <w:pPr>
        <w:ind w:firstLine="709"/>
        <w:jc w:val="both"/>
        <w:rPr>
          <w:bCs/>
        </w:rPr>
      </w:pPr>
      <w:r w:rsidRPr="002D1857">
        <w:rPr>
          <w:shd w:val="clear" w:color="auto" w:fill="FFFFFF"/>
          <w:lang w:val="uk-UA"/>
        </w:rPr>
        <w:t xml:space="preserve">Не застосовувати </w:t>
      </w:r>
      <w:r w:rsidR="001B74F7">
        <w:rPr>
          <w:shd w:val="clear" w:color="auto" w:fill="FFFFFF"/>
          <w:lang w:val="uk-UA"/>
        </w:rPr>
        <w:t xml:space="preserve">за </w:t>
      </w:r>
      <w:r w:rsidRPr="002D1857">
        <w:rPr>
          <w:shd w:val="clear" w:color="auto" w:fill="FFFFFF"/>
          <w:lang w:val="uk-UA"/>
        </w:rPr>
        <w:t>виявленн</w:t>
      </w:r>
      <w:r w:rsidR="001B74F7">
        <w:rPr>
          <w:shd w:val="clear" w:color="auto" w:fill="FFFFFF"/>
          <w:lang w:val="uk-UA"/>
        </w:rPr>
        <w:t>я</w:t>
      </w:r>
      <w:r w:rsidRPr="002D1857">
        <w:rPr>
          <w:shd w:val="clear" w:color="auto" w:fill="FFFFFF"/>
          <w:lang w:val="uk-UA"/>
        </w:rPr>
        <w:t xml:space="preserve"> резистентних штамів збудників інфекційного захворювання.</w:t>
      </w:r>
    </w:p>
    <w:p w:rsidR="008328FC" w:rsidRPr="002D1857" w:rsidRDefault="008328FC" w:rsidP="008328FC">
      <w:pPr>
        <w:ind w:firstLine="709"/>
        <w:jc w:val="both"/>
        <w:rPr>
          <w:b/>
          <w:snapToGrid w:val="0"/>
          <w:lang w:val="uk-UA"/>
        </w:rPr>
      </w:pPr>
      <w:r w:rsidRPr="002D1857">
        <w:rPr>
          <w:b/>
          <w:snapToGrid w:val="0"/>
          <w:lang w:val="uk-UA"/>
        </w:rPr>
        <w:t>5.4 Побічна дія</w:t>
      </w:r>
    </w:p>
    <w:p w:rsidR="008328FC" w:rsidRPr="002D1857" w:rsidRDefault="001B74F7" w:rsidP="008328FC">
      <w:pPr>
        <w:ind w:firstLine="709"/>
        <w:jc w:val="both"/>
        <w:rPr>
          <w:lang w:val="uk-UA"/>
        </w:rPr>
      </w:pPr>
      <w:r>
        <w:rPr>
          <w:lang w:val="uk-UA"/>
        </w:rPr>
        <w:t>За</w:t>
      </w:r>
      <w:r w:rsidR="008328FC" w:rsidRPr="002D1857">
        <w:rPr>
          <w:lang w:val="uk-UA"/>
        </w:rPr>
        <w:t xml:space="preserve"> застосуванн</w:t>
      </w:r>
      <w:r>
        <w:rPr>
          <w:lang w:val="uk-UA"/>
        </w:rPr>
        <w:t>я</w:t>
      </w:r>
      <w:r w:rsidR="008328FC" w:rsidRPr="002D1857">
        <w:rPr>
          <w:lang w:val="uk-UA"/>
        </w:rPr>
        <w:t xml:space="preserve"> препарату відповідно до листівки-вкладки зазвичай побічні явища і ускладнення не відзначаються.</w:t>
      </w:r>
    </w:p>
    <w:p w:rsidR="008328FC" w:rsidRPr="002D1857" w:rsidRDefault="00EB61AB" w:rsidP="008328FC">
      <w:pPr>
        <w:ind w:firstLine="709"/>
        <w:jc w:val="both"/>
        <w:rPr>
          <w:lang w:val="uk-UA"/>
        </w:rPr>
      </w:pPr>
      <w:r w:rsidRPr="002D1857">
        <w:rPr>
          <w:lang w:val="uk-UA"/>
        </w:rPr>
        <w:t>Можуть спостерігатися реакції гіперчутливості (алергічні реакції шкіри), розлади  травного каналу (блювання, діарея), анорексія, неврологічні розлади (атаксія, тремор, судоми).</w:t>
      </w:r>
      <w:r w:rsidRPr="002D1857">
        <w:rPr>
          <w:lang w:val="uk-UA" w:eastAsia="en-US"/>
        </w:rPr>
        <w:t xml:space="preserve"> У таких випадках застосування повинно бути припинено та </w:t>
      </w:r>
      <w:r w:rsidRPr="002D1857">
        <w:rPr>
          <w:lang w:val="uk-UA"/>
        </w:rPr>
        <w:t>призначають антигістамінні та симптоматичні засоби</w:t>
      </w:r>
      <w:r w:rsidRPr="002D1857">
        <w:rPr>
          <w:lang w:val="uk-UA" w:eastAsia="en-US"/>
        </w:rPr>
        <w:t>.</w:t>
      </w:r>
    </w:p>
    <w:p w:rsidR="008328FC" w:rsidRPr="002D1857" w:rsidRDefault="008328FC" w:rsidP="008328FC">
      <w:pPr>
        <w:widowControl w:val="0"/>
        <w:ind w:right="454" w:firstLine="709"/>
        <w:jc w:val="both"/>
        <w:rPr>
          <w:b/>
          <w:snapToGrid w:val="0"/>
          <w:lang w:val="uk-UA"/>
        </w:rPr>
      </w:pPr>
      <w:r w:rsidRPr="002D1857">
        <w:rPr>
          <w:b/>
          <w:snapToGrid w:val="0"/>
          <w:lang w:val="uk-UA"/>
        </w:rPr>
        <w:t>5.5 Особливі застереження при використанні</w:t>
      </w:r>
    </w:p>
    <w:p w:rsidR="00EB61AB" w:rsidRPr="002D1857" w:rsidRDefault="00EB61AB" w:rsidP="00EB61AB">
      <w:pPr>
        <w:ind w:firstLine="567"/>
        <w:jc w:val="both"/>
        <w:rPr>
          <w:lang w:val="uk-UA"/>
        </w:rPr>
      </w:pPr>
      <w:r w:rsidRPr="002D1857">
        <w:rPr>
          <w:lang w:val="uk-UA"/>
        </w:rPr>
        <w:t>Застосування ветеринарного лікарського засобу повинно ґрунтуватись на проведенні тесту на чутливість цільових патогенів до спіраміцину та метронідазолу. Якщо це неможливо, лікування повинно базуватися на епізоотичній  інформації про чутливість цільових патогенів на  місцевому/регіональному рівні.</w:t>
      </w:r>
    </w:p>
    <w:p w:rsidR="008328FC" w:rsidRPr="002D1857" w:rsidRDefault="008328FC" w:rsidP="008328FC">
      <w:pPr>
        <w:ind w:firstLine="709"/>
        <w:jc w:val="both"/>
        <w:rPr>
          <w:lang w:val="uk-UA"/>
        </w:rPr>
      </w:pPr>
      <w:r w:rsidRPr="002D1857">
        <w:rPr>
          <w:lang w:val="uk-UA"/>
        </w:rPr>
        <w:t xml:space="preserve">Препарат застосовувати згідно з листівкою-вкладкою. </w:t>
      </w:r>
    </w:p>
    <w:p w:rsidR="008328FC" w:rsidRPr="002D1857" w:rsidRDefault="008328FC" w:rsidP="008328FC">
      <w:pPr>
        <w:shd w:val="clear" w:color="auto" w:fill="FFFFFF"/>
        <w:ind w:firstLine="709"/>
        <w:jc w:val="both"/>
        <w:rPr>
          <w:spacing w:val="-1"/>
          <w:lang w:val="uk-UA"/>
        </w:rPr>
      </w:pPr>
      <w:r w:rsidRPr="002D1857">
        <w:rPr>
          <w:spacing w:val="-1"/>
          <w:lang w:val="uk-UA"/>
        </w:rPr>
        <w:t>Слід дотримуватися рекомендованих доз.</w:t>
      </w:r>
    </w:p>
    <w:p w:rsidR="008328FC" w:rsidRPr="002D1857" w:rsidRDefault="008328FC" w:rsidP="00F240E7">
      <w:pPr>
        <w:ind w:firstLine="709"/>
        <w:jc w:val="both"/>
        <w:rPr>
          <w:lang w:val="uk-UA"/>
        </w:rPr>
      </w:pPr>
      <w:r w:rsidRPr="002D1857">
        <w:rPr>
          <w:lang w:val="uk-UA"/>
        </w:rPr>
        <w:t>Тваринам</w:t>
      </w:r>
      <w:r w:rsidR="00AB23D0" w:rsidRPr="002D1857">
        <w:rPr>
          <w:lang w:val="uk-UA"/>
        </w:rPr>
        <w:t>,</w:t>
      </w:r>
      <w:r w:rsidRPr="002D1857">
        <w:rPr>
          <w:lang w:val="uk-UA"/>
        </w:rPr>
        <w:t xml:space="preserve"> молодш</w:t>
      </w:r>
      <w:r w:rsidR="00AB23D0" w:rsidRPr="002D1857">
        <w:rPr>
          <w:lang w:val="uk-UA"/>
        </w:rPr>
        <w:t>им за</w:t>
      </w:r>
      <w:r w:rsidRPr="002D1857">
        <w:rPr>
          <w:lang w:val="uk-UA"/>
        </w:rPr>
        <w:t xml:space="preserve"> 2 місяці</w:t>
      </w:r>
      <w:r w:rsidR="00AB23D0" w:rsidRPr="002D1857">
        <w:rPr>
          <w:lang w:val="uk-UA"/>
        </w:rPr>
        <w:t>,</w:t>
      </w:r>
      <w:r w:rsidRPr="002D1857">
        <w:rPr>
          <w:lang w:val="uk-UA"/>
        </w:rPr>
        <w:t xml:space="preserve"> препарат застосовувати виключно за призначенням та під наглядом ветеринарного лікаря. </w:t>
      </w:r>
    </w:p>
    <w:p w:rsidR="008328FC" w:rsidRPr="002D1857" w:rsidRDefault="001B74F7" w:rsidP="00F240E7">
      <w:pPr>
        <w:ind w:firstLine="709"/>
        <w:jc w:val="both"/>
        <w:rPr>
          <w:lang w:val="uk-UA"/>
        </w:rPr>
      </w:pPr>
      <w:r w:rsidRPr="001B74F7">
        <w:rPr>
          <w:lang w:val="uk-UA"/>
        </w:rPr>
        <w:lastRenderedPageBreak/>
        <w:t xml:space="preserve">Порушення інтервалів між застосуванням препарату </w:t>
      </w:r>
      <w:r w:rsidR="008328FC" w:rsidRPr="002D1857">
        <w:rPr>
          <w:lang w:val="uk-UA"/>
        </w:rPr>
        <w:t>може призвести до з</w:t>
      </w:r>
      <w:r w:rsidR="00FE0AA3" w:rsidRPr="002D1857">
        <w:rPr>
          <w:lang w:val="uk-UA"/>
        </w:rPr>
        <w:t xml:space="preserve">ниження ефективності лікування. </w:t>
      </w:r>
      <w:r w:rsidRPr="001B74F7">
        <w:rPr>
          <w:lang w:val="uk-UA"/>
        </w:rPr>
        <w:t>За порушення інтервалів, застосування препарату відновлюють якнайшвидше в тій же дозі та за тією ж схемою</w:t>
      </w:r>
      <w:r w:rsidR="008328FC" w:rsidRPr="002D1857">
        <w:rPr>
          <w:lang w:val="uk-UA"/>
        </w:rPr>
        <w:t>.</w:t>
      </w:r>
    </w:p>
    <w:p w:rsidR="008328FC" w:rsidRPr="002D1857" w:rsidRDefault="008328FC" w:rsidP="00F240E7">
      <w:pPr>
        <w:ind w:firstLine="709"/>
        <w:jc w:val="both"/>
        <w:rPr>
          <w:shd w:val="clear" w:color="auto" w:fill="FFFFFF"/>
          <w:lang w:val="uk-UA"/>
        </w:rPr>
      </w:pPr>
      <w:r w:rsidRPr="002D1857">
        <w:rPr>
          <w:shd w:val="clear" w:color="auto" w:fill="FFFFFF"/>
          <w:lang w:val="uk-UA"/>
        </w:rPr>
        <w:t>Через наявність</w:t>
      </w:r>
      <w:r w:rsidR="001B74F7">
        <w:rPr>
          <w:shd w:val="clear" w:color="auto" w:fill="FFFFFF"/>
          <w:lang w:val="uk-UA"/>
        </w:rPr>
        <w:t xml:space="preserve"> у складі препарату  лактози за гіперглікемії, цукрового</w:t>
      </w:r>
      <w:r w:rsidRPr="002D1857">
        <w:rPr>
          <w:shd w:val="clear" w:color="auto" w:fill="FFFFFF"/>
          <w:lang w:val="uk-UA"/>
        </w:rPr>
        <w:t xml:space="preserve"> діабет</w:t>
      </w:r>
      <w:r w:rsidR="001B74F7">
        <w:rPr>
          <w:shd w:val="clear" w:color="auto" w:fill="FFFFFF"/>
          <w:lang w:val="uk-UA"/>
        </w:rPr>
        <w:t>у</w:t>
      </w:r>
      <w:r w:rsidRPr="002D1857">
        <w:rPr>
          <w:shd w:val="clear" w:color="auto" w:fill="FFFFFF"/>
          <w:lang w:val="uk-UA"/>
        </w:rPr>
        <w:t xml:space="preserve"> та алергії на молочні продукти </w:t>
      </w:r>
      <w:r w:rsidR="009B554C" w:rsidRPr="002D1857">
        <w:rPr>
          <w:shd w:val="clear" w:color="auto" w:fill="FFFFFF"/>
          <w:lang w:val="uk-UA"/>
        </w:rPr>
        <w:t>в</w:t>
      </w:r>
      <w:r w:rsidRPr="002D1857">
        <w:rPr>
          <w:shd w:val="clear" w:color="auto" w:fill="FFFFFF"/>
          <w:lang w:val="uk-UA"/>
        </w:rPr>
        <w:t xml:space="preserve"> тварин застосування препарату можливе тільки після консультації з </w:t>
      </w:r>
      <w:r w:rsidRPr="002D1857">
        <w:rPr>
          <w:lang w:val="uk-UA"/>
        </w:rPr>
        <w:t>ветеринарним лікарем</w:t>
      </w:r>
      <w:r w:rsidRPr="002D1857">
        <w:rPr>
          <w:shd w:val="clear" w:color="auto" w:fill="FFFFFF"/>
          <w:lang w:val="uk-UA"/>
        </w:rPr>
        <w:t>.</w:t>
      </w:r>
    </w:p>
    <w:p w:rsidR="008328FC" w:rsidRPr="002D1857" w:rsidRDefault="008328FC" w:rsidP="00F240E7">
      <w:pPr>
        <w:widowControl w:val="0"/>
        <w:ind w:right="454" w:firstLine="709"/>
        <w:jc w:val="both"/>
        <w:rPr>
          <w:b/>
          <w:snapToGrid w:val="0"/>
          <w:lang w:val="uk-UA"/>
        </w:rPr>
      </w:pPr>
      <w:r w:rsidRPr="002D1857">
        <w:rPr>
          <w:b/>
          <w:snapToGrid w:val="0"/>
          <w:lang w:val="uk-UA"/>
        </w:rPr>
        <w:t>5.6 Використання під час вагітності, лактації, несучості</w:t>
      </w:r>
    </w:p>
    <w:p w:rsidR="008328FC" w:rsidRPr="002D1857" w:rsidRDefault="008328FC" w:rsidP="00F240E7">
      <w:pPr>
        <w:ind w:firstLine="709"/>
        <w:jc w:val="both"/>
        <w:rPr>
          <w:lang w:val="uk-UA"/>
        </w:rPr>
      </w:pPr>
      <w:r w:rsidRPr="002D1857">
        <w:rPr>
          <w:shd w:val="clear" w:color="auto" w:fill="FFFFFF"/>
          <w:lang w:val="uk-UA"/>
        </w:rPr>
        <w:t>Не застосовувати вагітним та лактуючим тваринам.</w:t>
      </w:r>
    </w:p>
    <w:p w:rsidR="008328FC" w:rsidRPr="002D1857" w:rsidRDefault="008328FC" w:rsidP="00F240E7">
      <w:pPr>
        <w:shd w:val="clear" w:color="auto" w:fill="FFFFFF"/>
        <w:ind w:firstLine="709"/>
        <w:jc w:val="both"/>
        <w:rPr>
          <w:b/>
          <w:snapToGrid w:val="0"/>
          <w:lang w:val="uk-UA"/>
        </w:rPr>
      </w:pPr>
      <w:r w:rsidRPr="002D1857">
        <w:rPr>
          <w:b/>
          <w:snapToGrid w:val="0"/>
          <w:lang w:val="uk-UA"/>
        </w:rPr>
        <w:t>5.7 Взаємодія з іншими засобами та інші форми взаємодії</w:t>
      </w:r>
    </w:p>
    <w:p w:rsidR="008328FC" w:rsidRPr="002D1857" w:rsidRDefault="00F240E7" w:rsidP="009B554C">
      <w:pPr>
        <w:widowControl w:val="0"/>
        <w:ind w:right="-1" w:firstLine="709"/>
        <w:jc w:val="both"/>
        <w:rPr>
          <w:lang w:val="uk-UA"/>
        </w:rPr>
      </w:pPr>
      <w:r w:rsidRPr="002D1857">
        <w:t xml:space="preserve">Не застосовувати одночасно з іншими антибіотиками групи макролідів та нітроімідазолів та з препаратами, що містять етиловий спирт. Метронідазол посилює дію непрямих антикоагулянтів. Макроліди, </w:t>
      </w:r>
      <w:r w:rsidR="00402B5A" w:rsidRPr="002D1857">
        <w:rPr>
          <w:lang w:val="uk-UA"/>
        </w:rPr>
        <w:t>а саме,</w:t>
      </w:r>
      <w:r w:rsidRPr="002D1857">
        <w:t xml:space="preserve"> спіраміцин, є антогоністами пеніцилінів та цефалоспоринів. Метронідазол може пригнічувати </w:t>
      </w:r>
      <w:r w:rsidR="001B74F7" w:rsidRPr="001B74F7">
        <w:t xml:space="preserve">метаболізм у печінці інших препаратів </w:t>
      </w:r>
      <w:r w:rsidRPr="002D1857">
        <w:t>таких як фенітоїн, циклоспорин та варфарин. Фенобарбітал може посилювати</w:t>
      </w:r>
      <w:r w:rsidR="001B74F7">
        <w:rPr>
          <w:lang w:val="uk-UA"/>
        </w:rPr>
        <w:t xml:space="preserve"> </w:t>
      </w:r>
      <w:r w:rsidR="001B74F7" w:rsidRPr="001B74F7">
        <w:t>метаболізм у печінці інших препаратів</w:t>
      </w:r>
      <w:r w:rsidRPr="001B74F7">
        <w:t>,</w:t>
      </w:r>
      <w:r w:rsidRPr="002D1857">
        <w:t xml:space="preserve"> що призводить до зниження концентрації метронідазолу в сироватці крові.</w:t>
      </w:r>
    </w:p>
    <w:p w:rsidR="008328FC" w:rsidRPr="002D1857" w:rsidRDefault="008328FC" w:rsidP="00F240E7">
      <w:pPr>
        <w:widowControl w:val="0"/>
        <w:ind w:right="454" w:firstLine="709"/>
        <w:jc w:val="both"/>
        <w:rPr>
          <w:b/>
          <w:snapToGrid w:val="0"/>
          <w:lang w:val="uk-UA"/>
        </w:rPr>
      </w:pPr>
      <w:r w:rsidRPr="002D1857">
        <w:rPr>
          <w:b/>
          <w:snapToGrid w:val="0"/>
          <w:lang w:val="uk-UA"/>
        </w:rPr>
        <w:t>5.8 Дози і способи введення тваринам різного віку</w:t>
      </w:r>
    </w:p>
    <w:p w:rsidR="008328FC" w:rsidRPr="002D1857" w:rsidRDefault="008328FC" w:rsidP="00F240E7">
      <w:pPr>
        <w:ind w:firstLine="709"/>
        <w:jc w:val="both"/>
        <w:rPr>
          <w:lang w:val="uk-UA"/>
        </w:rPr>
      </w:pPr>
      <w:r w:rsidRPr="002D1857">
        <w:rPr>
          <w:lang w:val="uk-UA"/>
        </w:rPr>
        <w:t xml:space="preserve">Препарат СПІРОЗОЛ- ВС застосовують собакам і </w:t>
      </w:r>
      <w:r w:rsidR="00C56B47" w:rsidRPr="002D1857">
        <w:rPr>
          <w:lang w:val="uk-UA"/>
        </w:rPr>
        <w:t>котам</w:t>
      </w:r>
      <w:r w:rsidRPr="002D1857">
        <w:rPr>
          <w:lang w:val="uk-UA"/>
        </w:rPr>
        <w:t xml:space="preserve"> індивідуально перорально один раз на добу в дозі 75.000 MО спіраміцину та 12,5 мг метронідазолу на 1 кг маси тварини, що відповідає:</w:t>
      </w:r>
    </w:p>
    <w:p w:rsidR="008328FC" w:rsidRPr="002D1857" w:rsidRDefault="008328FC" w:rsidP="008328FC">
      <w:pPr>
        <w:widowControl w:val="0"/>
        <w:numPr>
          <w:ilvl w:val="0"/>
          <w:numId w:val="1"/>
        </w:numPr>
        <w:ind w:left="0" w:firstLine="709"/>
        <w:jc w:val="both"/>
        <w:rPr>
          <w:lang w:val="uk-UA"/>
        </w:rPr>
      </w:pPr>
      <w:r w:rsidRPr="002D1857">
        <w:rPr>
          <w:lang w:val="uk-UA"/>
        </w:rPr>
        <w:t>1 таблетка СПІРОЗОЛ- ВС, масою 120 мг – на 2 кг маси тіла тварини;</w:t>
      </w:r>
    </w:p>
    <w:p w:rsidR="008328FC" w:rsidRPr="002D1857" w:rsidRDefault="008328FC" w:rsidP="008328FC">
      <w:pPr>
        <w:widowControl w:val="0"/>
        <w:numPr>
          <w:ilvl w:val="0"/>
          <w:numId w:val="1"/>
        </w:numPr>
        <w:ind w:left="0" w:firstLine="709"/>
        <w:jc w:val="both"/>
        <w:rPr>
          <w:lang w:val="uk-UA"/>
        </w:rPr>
      </w:pPr>
      <w:r w:rsidRPr="002D1857">
        <w:rPr>
          <w:lang w:val="uk-UA"/>
        </w:rPr>
        <w:t>1 таблетка СПІРОЗОЛ- ВС, масою 600 мг – на 10 кг маси тіла тварини;</w:t>
      </w:r>
    </w:p>
    <w:p w:rsidR="008328FC" w:rsidRPr="002D1857" w:rsidRDefault="008328FC" w:rsidP="008328FC">
      <w:pPr>
        <w:widowControl w:val="0"/>
        <w:numPr>
          <w:ilvl w:val="0"/>
          <w:numId w:val="1"/>
        </w:numPr>
        <w:ind w:left="0" w:firstLine="709"/>
        <w:jc w:val="both"/>
        <w:rPr>
          <w:lang w:val="uk-UA"/>
        </w:rPr>
      </w:pPr>
      <w:r w:rsidRPr="002D1857">
        <w:rPr>
          <w:lang w:val="uk-UA"/>
        </w:rPr>
        <w:t>1 таблетка СПІРОЗОЛ- ВС, масою 1,2 г– на 20 кг маси тіла тварини.</w:t>
      </w:r>
    </w:p>
    <w:p w:rsidR="008328FC" w:rsidRPr="002D1857" w:rsidRDefault="00EB61AB" w:rsidP="009731E1">
      <w:pPr>
        <w:ind w:firstLine="709"/>
        <w:jc w:val="both"/>
        <w:rPr>
          <w:lang w:val="uk-UA"/>
        </w:rPr>
      </w:pPr>
      <w:r w:rsidRPr="002D1857">
        <w:rPr>
          <w:lang w:val="uk-UA"/>
        </w:rPr>
        <w:t xml:space="preserve">Тривалість курсу лікування </w:t>
      </w:r>
      <w:r w:rsidR="007D345C" w:rsidRPr="002D1857">
        <w:rPr>
          <w:lang w:val="uk-UA"/>
        </w:rPr>
        <w:t>залежно</w:t>
      </w:r>
      <w:r w:rsidRPr="002D1857">
        <w:rPr>
          <w:lang w:val="uk-UA"/>
        </w:rPr>
        <w:t xml:space="preserve"> від стану тварини в середньому становить 5-10 діб та визначається лікуючим лікарем ветеринарної медицини. У важких випадках лікування можна </w:t>
      </w:r>
      <w:r w:rsidR="001B74F7">
        <w:rPr>
          <w:lang w:val="uk-UA"/>
        </w:rPr>
        <w:t>роз</w:t>
      </w:r>
      <w:r w:rsidRPr="002D1857">
        <w:rPr>
          <w:lang w:val="uk-UA"/>
        </w:rPr>
        <w:t>почати з вищої дози (100 000 МО спіраміцину та 16,7 мг метронідазолу на 1 кг маси тіла)</w:t>
      </w:r>
      <w:r w:rsidR="00402B5A" w:rsidRPr="002D1857">
        <w:rPr>
          <w:lang w:val="uk-UA"/>
        </w:rPr>
        <w:t>,</w:t>
      </w:r>
      <w:r w:rsidRPr="002D1857">
        <w:rPr>
          <w:lang w:val="uk-UA"/>
        </w:rPr>
        <w:t xml:space="preserve"> та </w:t>
      </w:r>
      <w:r w:rsidR="00402B5A" w:rsidRPr="002D1857">
        <w:rPr>
          <w:lang w:val="uk-UA"/>
        </w:rPr>
        <w:t>продовжити в</w:t>
      </w:r>
      <w:r w:rsidR="00B06838" w:rsidRPr="002D1857">
        <w:rPr>
          <w:lang w:val="uk-UA"/>
        </w:rPr>
        <w:t xml:space="preserve"> рекомендованій дозі під час подальшого лікування.</w:t>
      </w:r>
      <w:r w:rsidRPr="002D1857">
        <w:rPr>
          <w:lang w:val="uk-UA"/>
        </w:rPr>
        <w:t xml:space="preserve"> </w:t>
      </w:r>
      <w:r w:rsidR="00875DD2" w:rsidRPr="002D1857">
        <w:rPr>
          <w:lang w:val="uk-UA"/>
        </w:rPr>
        <w:t xml:space="preserve">Лікування завжди слід продовжувати протягом 1-2 діб після зникнення симптомів, щоб запобігти рецидивам. </w:t>
      </w:r>
      <w:r w:rsidR="001B74F7">
        <w:rPr>
          <w:lang w:val="uk-UA"/>
        </w:rPr>
        <w:t xml:space="preserve">За </w:t>
      </w:r>
      <w:r w:rsidRPr="002D1857">
        <w:rPr>
          <w:lang w:val="uk-UA"/>
        </w:rPr>
        <w:t>застосуванн</w:t>
      </w:r>
      <w:r w:rsidR="001B74F7">
        <w:rPr>
          <w:lang w:val="uk-UA"/>
        </w:rPr>
        <w:t>я</w:t>
      </w:r>
      <w:r w:rsidRPr="002D1857">
        <w:rPr>
          <w:lang w:val="uk-UA"/>
        </w:rPr>
        <w:t xml:space="preserve"> препарату таблетку не слід подрібнювати, дозволений поділ таблетки навпіл.</w:t>
      </w:r>
      <w:r w:rsidR="008328FC" w:rsidRPr="002D1857">
        <w:rPr>
          <w:lang w:val="uk-UA"/>
        </w:rPr>
        <w:t xml:space="preserve"> </w:t>
      </w:r>
    </w:p>
    <w:p w:rsidR="008328FC" w:rsidRPr="002D1857" w:rsidRDefault="008328FC" w:rsidP="009731E1">
      <w:pPr>
        <w:widowControl w:val="0"/>
        <w:ind w:right="454" w:firstLine="709"/>
        <w:jc w:val="both"/>
        <w:rPr>
          <w:b/>
          <w:snapToGrid w:val="0"/>
          <w:lang w:val="uk-UA"/>
        </w:rPr>
      </w:pPr>
      <w:r w:rsidRPr="002D1857">
        <w:rPr>
          <w:b/>
          <w:snapToGrid w:val="0"/>
          <w:lang w:val="uk-UA"/>
        </w:rPr>
        <w:t>5.9 Передозування (симптоми, невідкладні заходи, антидоти)</w:t>
      </w:r>
    </w:p>
    <w:p w:rsidR="008328FC" w:rsidRPr="002D1857" w:rsidRDefault="00EB61AB" w:rsidP="009731E1">
      <w:pPr>
        <w:ind w:firstLine="709"/>
        <w:jc w:val="both"/>
        <w:rPr>
          <w:lang w:val="uk-UA"/>
        </w:rPr>
      </w:pPr>
      <w:r w:rsidRPr="002D1857">
        <w:rPr>
          <w:lang w:val="uk-UA"/>
        </w:rPr>
        <w:t xml:space="preserve">За передозування препарату або підвищеній індивідуальній чутливості тварин до препарату під час лікування може спостерігатися надмірне слиновиділення, розлад роботи травного каналу, пригнічений стан, тремор, судоми тощо. </w:t>
      </w:r>
      <w:r w:rsidR="001B74F7">
        <w:rPr>
          <w:lang w:val="uk-UA"/>
        </w:rPr>
        <w:t>За</w:t>
      </w:r>
      <w:r w:rsidRPr="002D1857">
        <w:rPr>
          <w:lang w:val="uk-UA"/>
        </w:rPr>
        <w:t xml:space="preserve"> появ</w:t>
      </w:r>
      <w:r w:rsidR="001B74F7">
        <w:rPr>
          <w:lang w:val="uk-UA"/>
        </w:rPr>
        <w:t>и</w:t>
      </w:r>
      <w:r w:rsidRPr="002D1857">
        <w:rPr>
          <w:lang w:val="uk-UA"/>
        </w:rPr>
        <w:t xml:space="preserve"> подібних симптомів потрібно негайно звернутися до лікаря ветеринарної медицини для можливого коригування дози та рекомендацій щодо подальшого лікування, при собі мати листівку-вкладку до препарату.</w:t>
      </w:r>
    </w:p>
    <w:p w:rsidR="008328FC" w:rsidRPr="002D1857" w:rsidRDefault="008328FC" w:rsidP="009731E1">
      <w:pPr>
        <w:pStyle w:val="cs80d9435b"/>
        <w:ind w:firstLine="709"/>
        <w:rPr>
          <w:shd w:val="clear" w:color="auto" w:fill="FFFFFF"/>
        </w:rPr>
      </w:pPr>
      <w:r w:rsidRPr="002D1857">
        <w:rPr>
          <w:shd w:val="clear" w:color="auto" w:fill="FFFFFF"/>
        </w:rPr>
        <w:t>Слід дотримуватися рекомендованих доз.</w:t>
      </w:r>
    </w:p>
    <w:p w:rsidR="008328FC" w:rsidRPr="002D1857" w:rsidRDefault="008328FC" w:rsidP="009731E1">
      <w:pPr>
        <w:widowControl w:val="0"/>
        <w:ind w:right="454" w:firstLine="709"/>
        <w:jc w:val="both"/>
        <w:rPr>
          <w:b/>
          <w:snapToGrid w:val="0"/>
          <w:lang w:val="uk-UA"/>
        </w:rPr>
      </w:pPr>
      <w:r w:rsidRPr="002D1857">
        <w:rPr>
          <w:b/>
          <w:snapToGrid w:val="0"/>
          <w:lang w:val="uk-UA"/>
        </w:rPr>
        <w:t>5.10 Спеціальні застереження</w:t>
      </w:r>
    </w:p>
    <w:p w:rsidR="008328FC" w:rsidRPr="002D1857" w:rsidRDefault="008328FC" w:rsidP="009731E1">
      <w:pPr>
        <w:ind w:firstLine="709"/>
        <w:jc w:val="both"/>
        <w:rPr>
          <w:lang w:val="uk-UA"/>
        </w:rPr>
      </w:pPr>
      <w:r w:rsidRPr="002D1857">
        <w:rPr>
          <w:lang w:val="uk-UA"/>
        </w:rPr>
        <w:t xml:space="preserve">Препарат застосовувати згідно з листівкою-вкладкою. </w:t>
      </w:r>
    </w:p>
    <w:p w:rsidR="008328FC" w:rsidRPr="002D1857" w:rsidRDefault="008328FC" w:rsidP="009731E1">
      <w:pPr>
        <w:shd w:val="clear" w:color="auto" w:fill="FFFFFF"/>
        <w:ind w:firstLine="709"/>
        <w:jc w:val="both"/>
        <w:rPr>
          <w:spacing w:val="-1"/>
          <w:lang w:val="uk-UA"/>
        </w:rPr>
      </w:pPr>
      <w:r w:rsidRPr="002D1857">
        <w:rPr>
          <w:spacing w:val="-1"/>
          <w:lang w:val="uk-UA"/>
        </w:rPr>
        <w:t>Слід дотримуватися рекомендованих доз.</w:t>
      </w:r>
    </w:p>
    <w:p w:rsidR="008328FC" w:rsidRPr="002D1857" w:rsidRDefault="008328FC" w:rsidP="009731E1">
      <w:pPr>
        <w:widowControl w:val="0"/>
        <w:ind w:firstLine="709"/>
        <w:jc w:val="both"/>
        <w:rPr>
          <w:rStyle w:val="cs7fb5c6073"/>
          <w:lang w:val="uk-UA"/>
        </w:rPr>
      </w:pPr>
      <w:r w:rsidRPr="002D1857">
        <w:rPr>
          <w:rStyle w:val="cs5efed22f10"/>
          <w:snapToGrid w:val="0"/>
          <w:color w:val="auto"/>
          <w:lang w:val="uk-UA"/>
        </w:rPr>
        <w:t xml:space="preserve">Клінічних ознак передозування </w:t>
      </w:r>
      <w:r w:rsidR="001B74F7">
        <w:rPr>
          <w:rStyle w:val="cs5efed22f10"/>
          <w:snapToGrid w:val="0"/>
          <w:color w:val="auto"/>
          <w:lang w:val="uk-UA"/>
        </w:rPr>
        <w:t>за</w:t>
      </w:r>
      <w:r w:rsidRPr="002D1857">
        <w:rPr>
          <w:rStyle w:val="cs5efed22f10"/>
          <w:snapToGrid w:val="0"/>
          <w:color w:val="auto"/>
          <w:lang w:val="uk-UA"/>
        </w:rPr>
        <w:t xml:space="preserve"> застосуванн</w:t>
      </w:r>
      <w:r w:rsidR="001B74F7">
        <w:rPr>
          <w:rStyle w:val="cs5efed22f10"/>
          <w:snapToGrid w:val="0"/>
          <w:color w:val="auto"/>
          <w:lang w:val="uk-UA"/>
        </w:rPr>
        <w:t>я</w:t>
      </w:r>
      <w:r w:rsidRPr="002D1857">
        <w:rPr>
          <w:rStyle w:val="cs5efed22f10"/>
          <w:snapToGrid w:val="0"/>
          <w:color w:val="auto"/>
          <w:lang w:val="uk-UA"/>
        </w:rPr>
        <w:t xml:space="preserve"> препарату </w:t>
      </w:r>
      <w:r w:rsidR="00AB23D0" w:rsidRPr="002D1857">
        <w:rPr>
          <w:rStyle w:val="cs5efed22f10"/>
          <w:snapToGrid w:val="0"/>
          <w:color w:val="auto"/>
          <w:lang w:val="uk-UA"/>
        </w:rPr>
        <w:t>в</w:t>
      </w:r>
      <w:r w:rsidRPr="002D1857">
        <w:rPr>
          <w:rStyle w:val="cs5efed22f10"/>
          <w:snapToGrid w:val="0"/>
          <w:color w:val="auto"/>
          <w:lang w:val="uk-UA"/>
        </w:rPr>
        <w:t xml:space="preserve"> рекомендованих дозах не спостерігається.</w:t>
      </w:r>
    </w:p>
    <w:p w:rsidR="008328FC" w:rsidRPr="002D1857" w:rsidRDefault="008328FC" w:rsidP="009731E1">
      <w:pPr>
        <w:widowControl w:val="0"/>
        <w:ind w:right="454" w:firstLine="709"/>
        <w:jc w:val="both"/>
        <w:rPr>
          <w:b/>
          <w:snapToGrid w:val="0"/>
          <w:lang w:val="uk-UA"/>
        </w:rPr>
      </w:pPr>
      <w:r w:rsidRPr="002D1857">
        <w:rPr>
          <w:b/>
          <w:snapToGrid w:val="0"/>
          <w:lang w:val="uk-UA"/>
        </w:rPr>
        <w:t>5.11 Період виведення (каренція)</w:t>
      </w:r>
    </w:p>
    <w:p w:rsidR="002D1857" w:rsidRPr="002D1857" w:rsidRDefault="002D1857" w:rsidP="002D1857">
      <w:pPr>
        <w:ind w:right="454" w:firstLine="709"/>
        <w:jc w:val="both"/>
        <w:rPr>
          <w:lang w:val="uk-UA" w:eastAsia="uk-UA"/>
        </w:rPr>
      </w:pPr>
      <w:r w:rsidRPr="002D1857">
        <w:rPr>
          <w:lang w:val="uk-UA" w:eastAsia="uk-UA"/>
        </w:rPr>
        <w:t>Для непродуктивних тварин не застосовується.</w:t>
      </w:r>
    </w:p>
    <w:p w:rsidR="008328FC" w:rsidRPr="002D1857" w:rsidRDefault="008328FC" w:rsidP="009731E1">
      <w:pPr>
        <w:ind w:right="454" w:firstLine="709"/>
        <w:jc w:val="both"/>
        <w:rPr>
          <w:b/>
          <w:lang w:val="uk-UA"/>
        </w:rPr>
      </w:pPr>
      <w:r w:rsidRPr="002D1857">
        <w:rPr>
          <w:b/>
          <w:lang w:val="uk-UA"/>
        </w:rPr>
        <w:t>5.12 Спеціальні застереження для осіб і обслуговуючого персоналу</w:t>
      </w:r>
    </w:p>
    <w:p w:rsidR="008328FC" w:rsidRPr="002D1857" w:rsidRDefault="00C56B47" w:rsidP="009731E1">
      <w:pPr>
        <w:pStyle w:val="cs80d9435b"/>
        <w:ind w:firstLine="709"/>
      </w:pPr>
      <w:r w:rsidRPr="002D1857">
        <w:rPr>
          <w:rStyle w:val="cs5efed22f6"/>
          <w:color w:val="auto"/>
        </w:rPr>
        <w:t xml:space="preserve">Під час роботи з препаратом необхідно дотримуватись загальних правил особистої гігієни та правил роботи з ветеринарними препаратами. Людям з гіперчутливістю до компонентів препарату СПІРОЗОЛ-ВС слід уникати прямого контакту з таблетками. В разі появи алергічних реакцій та/або </w:t>
      </w:r>
      <w:r w:rsidR="001B74F7">
        <w:rPr>
          <w:rStyle w:val="cs5efed22f6"/>
          <w:color w:val="auto"/>
        </w:rPr>
        <w:t>за</w:t>
      </w:r>
      <w:r w:rsidRPr="002D1857">
        <w:rPr>
          <w:rStyle w:val="cs5efed22f6"/>
          <w:color w:val="auto"/>
        </w:rPr>
        <w:t xml:space="preserve"> випадково</w:t>
      </w:r>
      <w:r w:rsidR="001B74F7">
        <w:rPr>
          <w:rStyle w:val="cs5efed22f6"/>
          <w:color w:val="auto"/>
        </w:rPr>
        <w:t>го</w:t>
      </w:r>
      <w:r w:rsidRPr="002D1857">
        <w:rPr>
          <w:rStyle w:val="cs5efed22f6"/>
          <w:color w:val="auto"/>
        </w:rPr>
        <w:t xml:space="preserve"> потраплянн</w:t>
      </w:r>
      <w:r w:rsidR="001B74F7">
        <w:rPr>
          <w:rStyle w:val="cs5efed22f6"/>
          <w:color w:val="auto"/>
        </w:rPr>
        <w:t>я</w:t>
      </w:r>
      <w:r w:rsidRPr="002D1857">
        <w:rPr>
          <w:rStyle w:val="cs5efed22f6"/>
          <w:color w:val="auto"/>
        </w:rPr>
        <w:t xml:space="preserve"> препарату СПІРОЗОЛ-ВС в організм людини необхідно звернутися до медичного закладу, маючи при собі інструкцію щодо застосування препарату або етикетку.</w:t>
      </w:r>
    </w:p>
    <w:p w:rsidR="008328FC" w:rsidRPr="002D1857" w:rsidRDefault="008328FC" w:rsidP="009731E1">
      <w:pPr>
        <w:widowControl w:val="0"/>
        <w:ind w:right="454" w:firstLine="709"/>
        <w:jc w:val="both"/>
        <w:rPr>
          <w:b/>
          <w:snapToGrid w:val="0"/>
          <w:lang w:val="uk-UA"/>
        </w:rPr>
      </w:pPr>
      <w:r w:rsidRPr="002D1857">
        <w:rPr>
          <w:b/>
          <w:snapToGrid w:val="0"/>
          <w:lang w:val="uk-UA"/>
        </w:rPr>
        <w:lastRenderedPageBreak/>
        <w:t>6. Фармацевтичні особливості</w:t>
      </w:r>
    </w:p>
    <w:p w:rsidR="008328FC" w:rsidRPr="002D1857" w:rsidRDefault="008328FC" w:rsidP="009731E1">
      <w:pPr>
        <w:pStyle w:val="31"/>
        <w:spacing w:after="0"/>
        <w:ind w:left="0" w:right="454" w:firstLine="709"/>
        <w:rPr>
          <w:b/>
          <w:sz w:val="24"/>
          <w:szCs w:val="24"/>
          <w:lang w:val="uk-UA"/>
        </w:rPr>
      </w:pPr>
      <w:r w:rsidRPr="002D1857">
        <w:rPr>
          <w:b/>
          <w:sz w:val="24"/>
          <w:szCs w:val="24"/>
          <w:lang w:val="uk-UA"/>
        </w:rPr>
        <w:t>6.1 Форми несумісності (основні)</w:t>
      </w:r>
    </w:p>
    <w:p w:rsidR="008328FC" w:rsidRPr="002D1857" w:rsidRDefault="008328FC" w:rsidP="009731E1">
      <w:pPr>
        <w:ind w:firstLine="709"/>
        <w:jc w:val="both"/>
        <w:rPr>
          <w:bCs/>
          <w:lang w:val="uk-UA"/>
        </w:rPr>
      </w:pPr>
      <w:r w:rsidRPr="002D1857">
        <w:rPr>
          <w:bCs/>
          <w:lang w:val="uk-UA"/>
        </w:rPr>
        <w:t xml:space="preserve">Не застосовувати одночасно з </w:t>
      </w:r>
      <w:r w:rsidR="001B74F7">
        <w:rPr>
          <w:bCs/>
          <w:lang w:val="uk-UA"/>
        </w:rPr>
        <w:t>антибіотиками бактерицидної дії.</w:t>
      </w:r>
      <w:bookmarkStart w:id="0" w:name="_GoBack"/>
      <w:bookmarkEnd w:id="0"/>
    </w:p>
    <w:p w:rsidR="008328FC" w:rsidRPr="002D1857" w:rsidRDefault="008328FC" w:rsidP="009731E1">
      <w:pPr>
        <w:shd w:val="clear" w:color="auto" w:fill="FFFFFF"/>
        <w:ind w:firstLine="709"/>
        <w:jc w:val="both"/>
        <w:rPr>
          <w:b/>
          <w:snapToGrid w:val="0"/>
          <w:lang w:val="uk-UA"/>
        </w:rPr>
      </w:pPr>
      <w:r w:rsidRPr="002D1857">
        <w:rPr>
          <w:b/>
          <w:snapToGrid w:val="0"/>
          <w:lang w:val="uk-UA"/>
        </w:rPr>
        <w:t>6.2 Термін придатності</w:t>
      </w:r>
    </w:p>
    <w:p w:rsidR="008328FC" w:rsidRPr="002D1857" w:rsidRDefault="008328FC" w:rsidP="009731E1">
      <w:pPr>
        <w:widowControl w:val="0"/>
        <w:ind w:right="454" w:firstLine="709"/>
        <w:jc w:val="both"/>
        <w:rPr>
          <w:snapToGrid w:val="0"/>
          <w:lang w:val="uk-UA"/>
        </w:rPr>
      </w:pPr>
      <w:r w:rsidRPr="002D1857">
        <w:rPr>
          <w:rStyle w:val="cs5efed22f13"/>
          <w:snapToGrid w:val="0"/>
          <w:color w:val="auto"/>
          <w:lang w:val="uk-UA"/>
        </w:rPr>
        <w:t>3 роки.</w:t>
      </w:r>
    </w:p>
    <w:p w:rsidR="008328FC" w:rsidRPr="002D1857" w:rsidRDefault="008328FC" w:rsidP="009731E1">
      <w:pPr>
        <w:widowControl w:val="0"/>
        <w:ind w:right="454" w:firstLine="709"/>
        <w:jc w:val="both"/>
        <w:rPr>
          <w:b/>
          <w:snapToGrid w:val="0"/>
          <w:lang w:val="uk-UA"/>
        </w:rPr>
      </w:pPr>
      <w:r w:rsidRPr="002D1857">
        <w:rPr>
          <w:b/>
          <w:snapToGrid w:val="0"/>
          <w:lang w:val="uk-UA"/>
        </w:rPr>
        <w:t>6.3 Особливі заходи зберігання</w:t>
      </w:r>
    </w:p>
    <w:p w:rsidR="008328FC" w:rsidRPr="002D1857" w:rsidRDefault="008328FC" w:rsidP="009731E1">
      <w:pPr>
        <w:ind w:firstLine="709"/>
        <w:jc w:val="both"/>
        <w:rPr>
          <w:lang w:val="uk-UA"/>
        </w:rPr>
      </w:pPr>
      <w:r w:rsidRPr="002D1857">
        <w:rPr>
          <w:lang w:val="uk-UA"/>
        </w:rPr>
        <w:t xml:space="preserve">Зберігають препарат у закритій упаковці виробника, окремо від продуктів харчування та кормів, у сухому, захищеному від прямих сонячних променів </w:t>
      </w:r>
      <w:r w:rsidR="009731E1" w:rsidRPr="002D1857">
        <w:rPr>
          <w:lang w:val="uk-UA"/>
        </w:rPr>
        <w:t>місці, за температури від 5</w:t>
      </w:r>
      <w:r w:rsidRPr="002D1857">
        <w:rPr>
          <w:lang w:val="uk-UA"/>
        </w:rPr>
        <w:t xml:space="preserve"> до 25 °С, у недоступному для дітей місці.</w:t>
      </w:r>
    </w:p>
    <w:p w:rsidR="008328FC" w:rsidRPr="002D1857" w:rsidRDefault="008328FC" w:rsidP="009731E1">
      <w:pPr>
        <w:widowControl w:val="0"/>
        <w:ind w:right="-36" w:firstLine="709"/>
        <w:jc w:val="both"/>
        <w:rPr>
          <w:b/>
          <w:snapToGrid w:val="0"/>
          <w:lang w:val="uk-UA"/>
        </w:rPr>
      </w:pPr>
      <w:r w:rsidRPr="002D1857">
        <w:rPr>
          <w:b/>
          <w:snapToGrid w:val="0"/>
          <w:lang w:val="uk-UA"/>
        </w:rPr>
        <w:t>6.4 Природа і склад контейнера первинного пакування</w:t>
      </w:r>
    </w:p>
    <w:p w:rsidR="008328FC" w:rsidRPr="002D1857" w:rsidRDefault="008328FC" w:rsidP="009731E1">
      <w:pPr>
        <w:shd w:val="clear" w:color="auto" w:fill="FFFFFF"/>
        <w:ind w:firstLine="709"/>
        <w:jc w:val="both"/>
        <w:rPr>
          <w:spacing w:val="-1"/>
          <w:lang w:val="uk-UA"/>
        </w:rPr>
      </w:pPr>
      <w:r w:rsidRPr="002D1857">
        <w:rPr>
          <w:spacing w:val="-1"/>
          <w:lang w:val="uk-UA"/>
        </w:rPr>
        <w:t xml:space="preserve">Блістери по 10 таблеток. Вторинна упаковка-картонна коробка, яка містить 1, 2, 3 або 5 блістерів з листівкою-вкладкою. </w:t>
      </w:r>
    </w:p>
    <w:p w:rsidR="008328FC" w:rsidRPr="002D1857" w:rsidRDefault="008328FC" w:rsidP="009731E1">
      <w:pPr>
        <w:shd w:val="clear" w:color="auto" w:fill="FFFFFF"/>
        <w:ind w:firstLine="709"/>
        <w:jc w:val="both"/>
        <w:rPr>
          <w:spacing w:val="-1"/>
          <w:lang w:val="uk-UA"/>
        </w:rPr>
      </w:pPr>
      <w:r w:rsidRPr="002D1857">
        <w:rPr>
          <w:spacing w:val="-1"/>
          <w:lang w:val="uk-UA"/>
        </w:rPr>
        <w:t>Контейнери полімерні по 10, 20 або 30 таблеток, упаковані разом із листівкою-вкладкою у картонну коробку.</w:t>
      </w:r>
    </w:p>
    <w:p w:rsidR="008328FC" w:rsidRPr="002D1857" w:rsidRDefault="008328FC" w:rsidP="009731E1">
      <w:pPr>
        <w:pStyle w:val="31"/>
        <w:spacing w:after="0"/>
        <w:ind w:left="0" w:right="-36" w:firstLine="709"/>
        <w:jc w:val="both"/>
        <w:rPr>
          <w:b/>
          <w:sz w:val="24"/>
          <w:szCs w:val="24"/>
          <w:lang w:val="uk-UA"/>
        </w:rPr>
      </w:pPr>
      <w:r w:rsidRPr="002D1857">
        <w:rPr>
          <w:b/>
          <w:sz w:val="24"/>
          <w:szCs w:val="24"/>
          <w:lang w:val="uk-UA"/>
        </w:rPr>
        <w:t>6.5 Особливі заходи безпеки при поводженні з невикористаним препаратом або із його залишками</w:t>
      </w:r>
    </w:p>
    <w:p w:rsidR="008328FC" w:rsidRPr="002D1857" w:rsidRDefault="008328FC" w:rsidP="009731E1">
      <w:pPr>
        <w:pStyle w:val="31"/>
        <w:spacing w:after="0"/>
        <w:ind w:left="0" w:right="-36" w:firstLine="709"/>
        <w:jc w:val="both"/>
        <w:rPr>
          <w:sz w:val="24"/>
          <w:szCs w:val="24"/>
          <w:lang w:val="uk-UA"/>
        </w:rPr>
      </w:pPr>
      <w:r w:rsidRPr="002D1857">
        <w:rPr>
          <w:rStyle w:val="cs5efed22f16"/>
          <w:color w:val="auto"/>
          <w:lang w:val="uk-UA"/>
        </w:rPr>
        <w:t>Невикористаний або протермінований препарат утилізують відповідно до вимог чинного законодавства.</w:t>
      </w:r>
    </w:p>
    <w:p w:rsidR="008328FC" w:rsidRPr="002D1857" w:rsidRDefault="008328FC" w:rsidP="009731E1">
      <w:pPr>
        <w:pStyle w:val="31"/>
        <w:spacing w:after="0"/>
        <w:ind w:left="0" w:right="454" w:firstLine="709"/>
        <w:jc w:val="both"/>
        <w:rPr>
          <w:sz w:val="24"/>
          <w:szCs w:val="24"/>
          <w:lang w:val="uk-UA"/>
        </w:rPr>
      </w:pPr>
      <w:r w:rsidRPr="002D1857">
        <w:rPr>
          <w:b/>
          <w:sz w:val="24"/>
          <w:szCs w:val="24"/>
          <w:lang w:val="uk-UA"/>
        </w:rPr>
        <w:t>7. Назва і місце знаходження власника реєстраційного посвідчення</w:t>
      </w:r>
    </w:p>
    <w:p w:rsidR="008328FC" w:rsidRPr="002D1857" w:rsidRDefault="008328FC" w:rsidP="009731E1">
      <w:pPr>
        <w:ind w:firstLine="709"/>
        <w:jc w:val="both"/>
        <w:rPr>
          <w:lang w:val="uk-UA"/>
        </w:rPr>
      </w:pPr>
      <w:r w:rsidRPr="002D1857">
        <w:rPr>
          <w:lang w:val="uk-UA"/>
        </w:rPr>
        <w:t xml:space="preserve">Товариство з обмеженою відповідальністю “Ветсинтез” </w:t>
      </w:r>
    </w:p>
    <w:p w:rsidR="008328FC" w:rsidRPr="002D1857" w:rsidRDefault="00AB23D0" w:rsidP="009731E1">
      <w:pPr>
        <w:ind w:firstLine="709"/>
        <w:jc w:val="both"/>
        <w:rPr>
          <w:lang w:val="uk-UA"/>
        </w:rPr>
      </w:pPr>
      <w:r w:rsidRPr="002D1857">
        <w:rPr>
          <w:lang w:val="uk-UA"/>
        </w:rPr>
        <w:t>Україна,</w:t>
      </w:r>
      <w:r w:rsidR="008328FC" w:rsidRPr="002D1857">
        <w:rPr>
          <w:lang w:val="uk-UA"/>
        </w:rPr>
        <w:t>61001, м. Харків, в</w:t>
      </w:r>
      <w:r w:rsidRPr="002D1857">
        <w:rPr>
          <w:lang w:val="uk-UA"/>
        </w:rPr>
        <w:t>ул. Бобанича Тараса, 30</w:t>
      </w:r>
    </w:p>
    <w:p w:rsidR="008328FC" w:rsidRPr="002D1857" w:rsidRDefault="008328FC" w:rsidP="009731E1">
      <w:pPr>
        <w:ind w:firstLine="709"/>
        <w:jc w:val="both"/>
        <w:rPr>
          <w:b/>
          <w:bCs/>
          <w:lang w:val="uk-UA"/>
        </w:rPr>
      </w:pPr>
      <w:r w:rsidRPr="002D1857">
        <w:rPr>
          <w:b/>
          <w:bCs/>
          <w:lang w:val="uk-UA"/>
        </w:rPr>
        <w:t>8. Назва та місцезнаходження виробника (виробників)</w:t>
      </w:r>
    </w:p>
    <w:p w:rsidR="008328FC" w:rsidRPr="002D1857" w:rsidRDefault="008328FC" w:rsidP="009731E1">
      <w:pPr>
        <w:ind w:firstLine="709"/>
        <w:jc w:val="both"/>
        <w:rPr>
          <w:lang w:val="uk-UA"/>
        </w:rPr>
      </w:pPr>
      <w:r w:rsidRPr="002D1857">
        <w:rPr>
          <w:lang w:val="uk-UA"/>
        </w:rPr>
        <w:t xml:space="preserve">Товариство з обмеженою відповідальністю “Ветсинтез” </w:t>
      </w:r>
    </w:p>
    <w:p w:rsidR="008328FC" w:rsidRPr="002D1857" w:rsidRDefault="00AB23D0" w:rsidP="009731E1">
      <w:pPr>
        <w:ind w:firstLine="709"/>
        <w:jc w:val="both"/>
        <w:rPr>
          <w:lang w:val="uk-UA"/>
        </w:rPr>
      </w:pPr>
      <w:r w:rsidRPr="002D1857">
        <w:rPr>
          <w:lang w:val="uk-UA"/>
        </w:rPr>
        <w:t xml:space="preserve">Україна, </w:t>
      </w:r>
      <w:r w:rsidR="008328FC" w:rsidRPr="002D1857">
        <w:rPr>
          <w:lang w:val="uk-UA"/>
        </w:rPr>
        <w:t>61001, м. Харків, в</w:t>
      </w:r>
      <w:r w:rsidRPr="002D1857">
        <w:rPr>
          <w:lang w:val="uk-UA"/>
        </w:rPr>
        <w:t>ул. Бобанича Тараса, 30</w:t>
      </w:r>
    </w:p>
    <w:p w:rsidR="008328FC" w:rsidRPr="002D1857" w:rsidRDefault="008328FC" w:rsidP="009731E1">
      <w:pPr>
        <w:ind w:right="454" w:firstLine="709"/>
        <w:jc w:val="both"/>
        <w:rPr>
          <w:b/>
          <w:lang w:val="uk-UA"/>
        </w:rPr>
      </w:pPr>
      <w:r w:rsidRPr="002D1857">
        <w:rPr>
          <w:b/>
          <w:lang w:val="uk-UA"/>
        </w:rPr>
        <w:t>9. Додаткова інформація</w:t>
      </w:r>
    </w:p>
    <w:p w:rsidR="00DB10F8" w:rsidRPr="002D1857" w:rsidRDefault="00DB10F8" w:rsidP="009731E1">
      <w:pPr>
        <w:ind w:firstLine="709"/>
        <w:jc w:val="both"/>
        <w:rPr>
          <w:lang w:val="uk-UA"/>
        </w:rPr>
      </w:pPr>
    </w:p>
    <w:sectPr w:rsidR="00DB10F8" w:rsidRPr="002D1857" w:rsidSect="00AB0397">
      <w:headerReference w:type="default" r:id="rId7"/>
      <w:footerReference w:type="default" r:id="rId8"/>
      <w:headerReference w:type="first" r:id="rId9"/>
      <w:footerReference w:type="first" r:id="rId1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B95" w:rsidRDefault="000E4B95" w:rsidP="00CD0B03">
      <w:r>
        <w:separator/>
      </w:r>
    </w:p>
  </w:endnote>
  <w:endnote w:type="continuationSeparator" w:id="0">
    <w:p w:rsidR="000E4B95" w:rsidRDefault="000E4B95" w:rsidP="00CD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41328"/>
      <w:docPartObj>
        <w:docPartGallery w:val="Page Numbers (Bottom of Page)"/>
        <w:docPartUnique/>
      </w:docPartObj>
    </w:sdtPr>
    <w:sdtEndPr/>
    <w:sdtContent>
      <w:p w:rsidR="004F2359" w:rsidRDefault="004F2359">
        <w:pPr>
          <w:pStyle w:val="a8"/>
          <w:jc w:val="center"/>
        </w:pPr>
        <w:r>
          <w:fldChar w:fldCharType="begin"/>
        </w:r>
        <w:r>
          <w:instrText>PAGE   \* MERGEFORMAT</w:instrText>
        </w:r>
        <w:r>
          <w:fldChar w:fldCharType="separate"/>
        </w:r>
        <w:r w:rsidR="001B74F7">
          <w:rPr>
            <w:noProof/>
          </w:rPr>
          <w:t>3</w:t>
        </w:r>
        <w:r>
          <w:fldChar w:fldCharType="end"/>
        </w:r>
      </w:p>
    </w:sdtContent>
  </w:sdt>
  <w:p w:rsidR="004F2359" w:rsidRDefault="004F235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032122"/>
      <w:docPartObj>
        <w:docPartGallery w:val="Page Numbers (Bottom of Page)"/>
        <w:docPartUnique/>
      </w:docPartObj>
    </w:sdtPr>
    <w:sdtEndPr/>
    <w:sdtContent>
      <w:p w:rsidR="004F2359" w:rsidRDefault="004F2359">
        <w:pPr>
          <w:pStyle w:val="a8"/>
          <w:jc w:val="center"/>
        </w:pPr>
        <w:r>
          <w:fldChar w:fldCharType="begin"/>
        </w:r>
        <w:r>
          <w:instrText>PAGE   \* MERGEFORMAT</w:instrText>
        </w:r>
        <w:r>
          <w:fldChar w:fldCharType="separate"/>
        </w:r>
        <w:r w:rsidR="001B74F7">
          <w:rPr>
            <w:noProof/>
          </w:rPr>
          <w:t>1</w:t>
        </w:r>
        <w:r>
          <w:fldChar w:fldCharType="end"/>
        </w:r>
      </w:p>
    </w:sdtContent>
  </w:sdt>
  <w:p w:rsidR="004F2359" w:rsidRDefault="004F23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B95" w:rsidRDefault="000E4B95" w:rsidP="00CD0B03">
      <w:r>
        <w:separator/>
      </w:r>
    </w:p>
  </w:footnote>
  <w:footnote w:type="continuationSeparator" w:id="0">
    <w:p w:rsidR="000E4B95" w:rsidRDefault="000E4B95" w:rsidP="00CD0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AB" w:rsidRDefault="00EB61AB" w:rsidP="00C8790A">
    <w:pPr>
      <w:pStyle w:val="a6"/>
      <w:ind w:left="5670"/>
      <w:jc w:val="right"/>
      <w:rPr>
        <w:lang w:val="uk-UA"/>
      </w:rPr>
    </w:pPr>
    <w:r>
      <w:rPr>
        <w:lang w:val="uk-UA"/>
      </w:rPr>
      <w:t>Продовження додатку 1</w:t>
    </w:r>
  </w:p>
  <w:p w:rsidR="00EB61AB" w:rsidRDefault="00EB61AB" w:rsidP="00C8790A">
    <w:pPr>
      <w:pStyle w:val="a6"/>
      <w:ind w:left="5670"/>
      <w:jc w:val="right"/>
    </w:pPr>
    <w:r>
      <w:rPr>
        <w:lang w:val="uk-UA"/>
      </w:rPr>
      <w:t>до реєстраційного посвідчення</w:t>
    </w:r>
  </w:p>
  <w:p w:rsidR="00EB61AB" w:rsidRDefault="00EB61A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AB" w:rsidRDefault="00EB61AB" w:rsidP="00C8790A">
    <w:pPr>
      <w:pStyle w:val="a6"/>
      <w:ind w:left="5529"/>
      <w:jc w:val="right"/>
      <w:rPr>
        <w:lang w:val="uk-UA"/>
      </w:rPr>
    </w:pPr>
    <w:r>
      <w:rPr>
        <w:lang w:val="uk-UA"/>
      </w:rPr>
      <w:t>Додаток 1</w:t>
    </w:r>
  </w:p>
  <w:p w:rsidR="00EB61AB" w:rsidRDefault="00EB61AB" w:rsidP="00C8790A">
    <w:pPr>
      <w:pStyle w:val="a6"/>
      <w:ind w:left="5529"/>
      <w:jc w:val="right"/>
    </w:pPr>
    <w:r>
      <w:rPr>
        <w:lang w:val="uk-UA"/>
      </w:rPr>
      <w:t>до реєстраційного посвідчення</w:t>
    </w:r>
  </w:p>
  <w:p w:rsidR="00EB61AB" w:rsidRDefault="00EB61A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01650"/>
    <w:multiLevelType w:val="hybridMultilevel"/>
    <w:tmpl w:val="45B22700"/>
    <w:lvl w:ilvl="0" w:tplc="71A2ECCE">
      <w:start w:val="1"/>
      <w:numFmt w:val="bullet"/>
      <w:lvlText w:val=""/>
      <w:lvlJc w:val="left"/>
      <w:pPr>
        <w:tabs>
          <w:tab w:val="num" w:pos="720"/>
        </w:tabs>
        <w:ind w:left="720" w:hanging="360"/>
      </w:pPr>
      <w:rPr>
        <w:rFonts w:ascii="Symbol" w:hAnsi="Symbol" w:hint="default"/>
        <w:sz w:val="20"/>
      </w:rPr>
    </w:lvl>
    <w:lvl w:ilvl="1" w:tplc="3EDE4D2C">
      <w:start w:val="1"/>
      <w:numFmt w:val="bullet"/>
      <w:lvlText w:val="o"/>
      <w:lvlJc w:val="left"/>
      <w:pPr>
        <w:tabs>
          <w:tab w:val="num" w:pos="1440"/>
        </w:tabs>
        <w:ind w:left="1440" w:hanging="360"/>
      </w:pPr>
      <w:rPr>
        <w:rFonts w:ascii="Courier New" w:hAnsi="Courier New" w:hint="default"/>
        <w:sz w:val="20"/>
      </w:rPr>
    </w:lvl>
    <w:lvl w:ilvl="2" w:tplc="E6D40C80">
      <w:start w:val="1"/>
      <w:numFmt w:val="bullet"/>
      <w:lvlText w:val=""/>
      <w:lvlJc w:val="left"/>
      <w:pPr>
        <w:tabs>
          <w:tab w:val="num" w:pos="2160"/>
        </w:tabs>
        <w:ind w:left="2160" w:hanging="360"/>
      </w:pPr>
      <w:rPr>
        <w:rFonts w:ascii="Wingdings" w:hAnsi="Wingdings" w:hint="default"/>
        <w:sz w:val="20"/>
      </w:rPr>
    </w:lvl>
    <w:lvl w:ilvl="3" w:tplc="C574AAF0">
      <w:start w:val="1"/>
      <w:numFmt w:val="bullet"/>
      <w:lvlText w:val=""/>
      <w:lvlJc w:val="left"/>
      <w:pPr>
        <w:tabs>
          <w:tab w:val="num" w:pos="2880"/>
        </w:tabs>
        <w:ind w:left="2880" w:hanging="360"/>
      </w:pPr>
      <w:rPr>
        <w:rFonts w:ascii="Wingdings" w:hAnsi="Wingdings" w:hint="default"/>
        <w:sz w:val="20"/>
      </w:rPr>
    </w:lvl>
    <w:lvl w:ilvl="4" w:tplc="6A32810A">
      <w:start w:val="1"/>
      <w:numFmt w:val="bullet"/>
      <w:lvlText w:val=""/>
      <w:lvlJc w:val="left"/>
      <w:pPr>
        <w:tabs>
          <w:tab w:val="num" w:pos="3600"/>
        </w:tabs>
        <w:ind w:left="3600" w:hanging="360"/>
      </w:pPr>
      <w:rPr>
        <w:rFonts w:ascii="Wingdings" w:hAnsi="Wingdings" w:hint="default"/>
        <w:sz w:val="20"/>
      </w:rPr>
    </w:lvl>
    <w:lvl w:ilvl="5" w:tplc="E500D16C">
      <w:start w:val="1"/>
      <w:numFmt w:val="bullet"/>
      <w:lvlText w:val=""/>
      <w:lvlJc w:val="left"/>
      <w:pPr>
        <w:tabs>
          <w:tab w:val="num" w:pos="4320"/>
        </w:tabs>
        <w:ind w:left="4320" w:hanging="360"/>
      </w:pPr>
      <w:rPr>
        <w:rFonts w:ascii="Wingdings" w:hAnsi="Wingdings" w:hint="default"/>
        <w:sz w:val="20"/>
      </w:rPr>
    </w:lvl>
    <w:lvl w:ilvl="6" w:tplc="D7D81C10">
      <w:start w:val="1"/>
      <w:numFmt w:val="bullet"/>
      <w:lvlText w:val=""/>
      <w:lvlJc w:val="left"/>
      <w:pPr>
        <w:tabs>
          <w:tab w:val="num" w:pos="5040"/>
        </w:tabs>
        <w:ind w:left="5040" w:hanging="360"/>
      </w:pPr>
      <w:rPr>
        <w:rFonts w:ascii="Wingdings" w:hAnsi="Wingdings" w:hint="default"/>
        <w:sz w:val="20"/>
      </w:rPr>
    </w:lvl>
    <w:lvl w:ilvl="7" w:tplc="F8E03E9A">
      <w:start w:val="1"/>
      <w:numFmt w:val="bullet"/>
      <w:lvlText w:val=""/>
      <w:lvlJc w:val="left"/>
      <w:pPr>
        <w:tabs>
          <w:tab w:val="num" w:pos="5760"/>
        </w:tabs>
        <w:ind w:left="5760" w:hanging="360"/>
      </w:pPr>
      <w:rPr>
        <w:rFonts w:ascii="Wingdings" w:hAnsi="Wingdings" w:hint="default"/>
        <w:sz w:val="20"/>
      </w:rPr>
    </w:lvl>
    <w:lvl w:ilvl="8" w:tplc="290E823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E2F10"/>
    <w:multiLevelType w:val="multilevel"/>
    <w:tmpl w:val="6602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270B"/>
    <w:rsid w:val="00017E47"/>
    <w:rsid w:val="000400F7"/>
    <w:rsid w:val="0004328C"/>
    <w:rsid w:val="000848E1"/>
    <w:rsid w:val="000B65B5"/>
    <w:rsid w:val="000E4B95"/>
    <w:rsid w:val="001657E4"/>
    <w:rsid w:val="00171125"/>
    <w:rsid w:val="00182E01"/>
    <w:rsid w:val="00184D48"/>
    <w:rsid w:val="00194B7E"/>
    <w:rsid w:val="001B74F7"/>
    <w:rsid w:val="001C2990"/>
    <w:rsid w:val="002D1857"/>
    <w:rsid w:val="0031619E"/>
    <w:rsid w:val="0036555D"/>
    <w:rsid w:val="00402B5A"/>
    <w:rsid w:val="00423E47"/>
    <w:rsid w:val="00426035"/>
    <w:rsid w:val="004F2359"/>
    <w:rsid w:val="005E632F"/>
    <w:rsid w:val="00600E1B"/>
    <w:rsid w:val="00681C40"/>
    <w:rsid w:val="007D345C"/>
    <w:rsid w:val="007D5172"/>
    <w:rsid w:val="008328FC"/>
    <w:rsid w:val="00875DD2"/>
    <w:rsid w:val="00892F84"/>
    <w:rsid w:val="008A6904"/>
    <w:rsid w:val="00901AF4"/>
    <w:rsid w:val="0097270B"/>
    <w:rsid w:val="009731E1"/>
    <w:rsid w:val="009B554C"/>
    <w:rsid w:val="00A923A5"/>
    <w:rsid w:val="00A923E0"/>
    <w:rsid w:val="00AB0397"/>
    <w:rsid w:val="00AB23D0"/>
    <w:rsid w:val="00B04142"/>
    <w:rsid w:val="00B06838"/>
    <w:rsid w:val="00B83648"/>
    <w:rsid w:val="00BB59EE"/>
    <w:rsid w:val="00C56B47"/>
    <w:rsid w:val="00C8790A"/>
    <w:rsid w:val="00CA29AD"/>
    <w:rsid w:val="00CC579A"/>
    <w:rsid w:val="00CD0B03"/>
    <w:rsid w:val="00D01109"/>
    <w:rsid w:val="00D461E1"/>
    <w:rsid w:val="00D512CA"/>
    <w:rsid w:val="00DB10F8"/>
    <w:rsid w:val="00EB61AB"/>
    <w:rsid w:val="00F240E7"/>
    <w:rsid w:val="00FB221A"/>
    <w:rsid w:val="00FE0AA3"/>
    <w:rsid w:val="00FE2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9CF8"/>
  <w15:docId w15:val="{C3D4A209-FB9A-4C0C-9175-7481139E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8FC"/>
    <w:pPr>
      <w:spacing w:after="0" w:line="240" w:lineRule="auto"/>
    </w:pPr>
    <w:rPr>
      <w:rFonts w:eastAsia="Times New Roman"/>
      <w:sz w:val="24"/>
      <w:szCs w:val="24"/>
      <w:lang w:eastAsia="ru-RU"/>
    </w:rPr>
  </w:style>
  <w:style w:type="paragraph" w:styleId="1">
    <w:name w:val="heading 1"/>
    <w:basedOn w:val="a"/>
    <w:next w:val="a"/>
    <w:link w:val="10"/>
    <w:uiPriority w:val="9"/>
    <w:qFormat/>
    <w:rsid w:val="00184D48"/>
    <w:pPr>
      <w:keepNext/>
      <w:keepLines/>
      <w:spacing w:before="360" w:after="80"/>
      <w:jc w:val="center"/>
      <w:outlineLvl w:val="0"/>
    </w:pPr>
    <w:rPr>
      <w:rFonts w:eastAsiaTheme="majorEastAsia" w:cstheme="majorBidi"/>
      <w:b/>
      <w:color w:val="000000" w:themeColor="text1"/>
      <w:sz w:val="28"/>
      <w:szCs w:val="40"/>
    </w:rPr>
  </w:style>
  <w:style w:type="paragraph" w:styleId="2">
    <w:name w:val="heading 2"/>
    <w:basedOn w:val="a"/>
    <w:next w:val="a"/>
    <w:link w:val="20"/>
    <w:uiPriority w:val="9"/>
    <w:unhideWhenUsed/>
    <w:qFormat/>
    <w:rsid w:val="00901AF4"/>
    <w:pPr>
      <w:keepNext/>
      <w:keepLines/>
      <w:spacing w:before="480" w:after="480"/>
      <w:outlineLvl w:val="1"/>
    </w:pPr>
    <w:rPr>
      <w:rFonts w:eastAsiaTheme="majorEastAsia" w:cstheme="majorBidi"/>
      <w:b/>
      <w:color w:val="000000" w:themeColor="text1"/>
      <w:sz w:val="28"/>
      <w:szCs w:val="26"/>
    </w:rPr>
  </w:style>
  <w:style w:type="paragraph" w:styleId="3">
    <w:name w:val="heading 3"/>
    <w:basedOn w:val="a"/>
    <w:next w:val="a"/>
    <w:link w:val="30"/>
    <w:rsid w:val="00FB221A"/>
    <w:pPr>
      <w:keepNext/>
      <w:keepLines/>
      <w:spacing w:before="480" w:after="480"/>
      <w:outlineLvl w:val="2"/>
    </w:pPr>
    <w:rPr>
      <w:b/>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D48"/>
    <w:rPr>
      <w:rFonts w:eastAsiaTheme="majorEastAsia" w:cstheme="majorBidi"/>
      <w:b/>
      <w:color w:val="000000" w:themeColor="text1"/>
      <w:sz w:val="28"/>
      <w:szCs w:val="40"/>
    </w:rPr>
  </w:style>
  <w:style w:type="paragraph" w:customStyle="1" w:styleId="a3">
    <w:name w:val="Курсачи"/>
    <w:basedOn w:val="a"/>
    <w:link w:val="a4"/>
    <w:qFormat/>
    <w:rsid w:val="008A6904"/>
    <w:rPr>
      <w:sz w:val="28"/>
    </w:rPr>
  </w:style>
  <w:style w:type="character" w:customStyle="1" w:styleId="a4">
    <w:name w:val="Курсачи Знак"/>
    <w:basedOn w:val="a0"/>
    <w:link w:val="a3"/>
    <w:rsid w:val="008A6904"/>
    <w:rPr>
      <w:sz w:val="28"/>
    </w:rPr>
  </w:style>
  <w:style w:type="character" w:customStyle="1" w:styleId="20">
    <w:name w:val="Заголовок 2 Знак"/>
    <w:basedOn w:val="a0"/>
    <w:link w:val="2"/>
    <w:uiPriority w:val="9"/>
    <w:rsid w:val="00901AF4"/>
    <w:rPr>
      <w:rFonts w:eastAsiaTheme="majorEastAsia" w:cstheme="majorBidi"/>
      <w:b/>
      <w:color w:val="000000" w:themeColor="text1"/>
      <w:sz w:val="28"/>
      <w:szCs w:val="26"/>
    </w:rPr>
  </w:style>
  <w:style w:type="character" w:customStyle="1" w:styleId="30">
    <w:name w:val="Заголовок 3 Знак"/>
    <w:basedOn w:val="a0"/>
    <w:link w:val="3"/>
    <w:rsid w:val="00FB221A"/>
    <w:rPr>
      <w:rFonts w:eastAsia="Times New Roman"/>
      <w:b/>
      <w:sz w:val="28"/>
      <w:szCs w:val="28"/>
      <w:lang w:val="uk-UA" w:eastAsia="ru-RU"/>
    </w:rPr>
  </w:style>
  <w:style w:type="paragraph" w:customStyle="1" w:styleId="a5">
    <w:name w:val="Таблиця"/>
    <w:basedOn w:val="a"/>
    <w:qFormat/>
    <w:rsid w:val="000848E1"/>
    <w:pPr>
      <w:spacing w:line="256" w:lineRule="auto"/>
    </w:pPr>
    <w:rPr>
      <w:rFonts w:cstheme="minorBidi"/>
      <w:bCs/>
      <w:kern w:val="2"/>
      <w:sz w:val="28"/>
      <w:lang w:val="uk-UA"/>
    </w:rPr>
  </w:style>
  <w:style w:type="paragraph" w:styleId="31">
    <w:name w:val="Body Text Indent 3"/>
    <w:basedOn w:val="a"/>
    <w:link w:val="32"/>
    <w:rsid w:val="008328FC"/>
    <w:pPr>
      <w:spacing w:after="120"/>
      <w:ind w:left="283"/>
    </w:pPr>
    <w:rPr>
      <w:sz w:val="16"/>
      <w:szCs w:val="16"/>
    </w:rPr>
  </w:style>
  <w:style w:type="character" w:customStyle="1" w:styleId="32">
    <w:name w:val="Основний текст з відступом 3 Знак"/>
    <w:basedOn w:val="a0"/>
    <w:link w:val="31"/>
    <w:rsid w:val="008328FC"/>
    <w:rPr>
      <w:rFonts w:eastAsia="Times New Roman"/>
      <w:sz w:val="16"/>
      <w:szCs w:val="16"/>
      <w:lang w:eastAsia="ru-RU"/>
    </w:rPr>
  </w:style>
  <w:style w:type="paragraph" w:customStyle="1" w:styleId="Style3">
    <w:name w:val="Style3"/>
    <w:basedOn w:val="a"/>
    <w:rsid w:val="008328FC"/>
    <w:pPr>
      <w:widowControl w:val="0"/>
      <w:autoSpaceDE w:val="0"/>
      <w:autoSpaceDN w:val="0"/>
      <w:adjustRightInd w:val="0"/>
    </w:pPr>
    <w:rPr>
      <w:lang w:val="en-US" w:eastAsia="en-US"/>
    </w:rPr>
  </w:style>
  <w:style w:type="paragraph" w:customStyle="1" w:styleId="11">
    <w:name w:val="Обычный1"/>
    <w:rsid w:val="008328FC"/>
    <w:pPr>
      <w:widowControl w:val="0"/>
      <w:spacing w:after="0" w:line="240" w:lineRule="auto"/>
    </w:pPr>
    <w:rPr>
      <w:rFonts w:eastAsia="Times New Roman"/>
      <w:snapToGrid w:val="0"/>
      <w:sz w:val="20"/>
      <w:szCs w:val="20"/>
      <w:lang w:eastAsia="ru-RU"/>
    </w:rPr>
  </w:style>
  <w:style w:type="character" w:customStyle="1" w:styleId="cs5efed22f1">
    <w:name w:val="cs5efed22f1"/>
    <w:rsid w:val="008328FC"/>
    <w:rPr>
      <w:rFonts w:ascii="Times New Roman" w:hAnsi="Times New Roman" w:cs="Times New Roman" w:hint="default"/>
      <w:b w:val="0"/>
      <w:bCs w:val="0"/>
      <w:i w:val="0"/>
      <w:iCs w:val="0"/>
      <w:color w:val="000000"/>
      <w:sz w:val="24"/>
      <w:szCs w:val="24"/>
      <w:shd w:val="clear" w:color="auto" w:fill="auto"/>
    </w:rPr>
  </w:style>
  <w:style w:type="paragraph" w:customStyle="1" w:styleId="cs80d9435b">
    <w:name w:val="cs80d9435b"/>
    <w:basedOn w:val="a"/>
    <w:rsid w:val="008328FC"/>
    <w:pPr>
      <w:jc w:val="both"/>
    </w:pPr>
    <w:rPr>
      <w:lang w:val="uk-UA" w:eastAsia="uk-UA"/>
    </w:rPr>
  </w:style>
  <w:style w:type="character" w:customStyle="1" w:styleId="cs7fb5c6073">
    <w:name w:val="cs7fb5c6073"/>
    <w:basedOn w:val="a0"/>
    <w:rsid w:val="008328FC"/>
  </w:style>
  <w:style w:type="character" w:customStyle="1" w:styleId="cs5efed22f6">
    <w:name w:val="cs5efed22f6"/>
    <w:rsid w:val="008328FC"/>
    <w:rPr>
      <w:rFonts w:ascii="Times New Roman" w:hAnsi="Times New Roman" w:cs="Times New Roman" w:hint="default"/>
      <w:b w:val="0"/>
      <w:bCs w:val="0"/>
      <w:i w:val="0"/>
      <w:iCs w:val="0"/>
      <w:color w:val="000000"/>
      <w:sz w:val="24"/>
      <w:szCs w:val="24"/>
      <w:shd w:val="clear" w:color="auto" w:fill="auto"/>
    </w:rPr>
  </w:style>
  <w:style w:type="character" w:customStyle="1" w:styleId="cs5efed22f10">
    <w:name w:val="cs5efed22f10"/>
    <w:rsid w:val="008328FC"/>
    <w:rPr>
      <w:rFonts w:ascii="Times New Roman" w:hAnsi="Times New Roman" w:cs="Times New Roman" w:hint="default"/>
      <w:b w:val="0"/>
      <w:bCs w:val="0"/>
      <w:i w:val="0"/>
      <w:iCs w:val="0"/>
      <w:color w:val="000000"/>
      <w:sz w:val="24"/>
      <w:szCs w:val="24"/>
      <w:shd w:val="clear" w:color="auto" w:fill="auto"/>
    </w:rPr>
  </w:style>
  <w:style w:type="character" w:customStyle="1" w:styleId="cs5efed22f13">
    <w:name w:val="cs5efed22f13"/>
    <w:rsid w:val="008328FC"/>
    <w:rPr>
      <w:rFonts w:ascii="Times New Roman" w:hAnsi="Times New Roman" w:cs="Times New Roman" w:hint="default"/>
      <w:b w:val="0"/>
      <w:bCs w:val="0"/>
      <w:i w:val="0"/>
      <w:iCs w:val="0"/>
      <w:color w:val="000000"/>
      <w:sz w:val="24"/>
      <w:szCs w:val="24"/>
      <w:shd w:val="clear" w:color="auto" w:fill="auto"/>
    </w:rPr>
  </w:style>
  <w:style w:type="character" w:customStyle="1" w:styleId="cs5efed22f16">
    <w:name w:val="cs5efed22f16"/>
    <w:rsid w:val="008328FC"/>
    <w:rPr>
      <w:rFonts w:ascii="Times New Roman" w:hAnsi="Times New Roman" w:cs="Times New Roman" w:hint="default"/>
      <w:b w:val="0"/>
      <w:bCs w:val="0"/>
      <w:i w:val="0"/>
      <w:iCs w:val="0"/>
      <w:color w:val="000000"/>
      <w:sz w:val="24"/>
      <w:szCs w:val="24"/>
      <w:shd w:val="clear" w:color="auto" w:fill="auto"/>
    </w:rPr>
  </w:style>
  <w:style w:type="paragraph" w:styleId="a6">
    <w:name w:val="header"/>
    <w:basedOn w:val="a"/>
    <w:link w:val="a7"/>
    <w:uiPriority w:val="99"/>
    <w:unhideWhenUsed/>
    <w:rsid w:val="00CD0B03"/>
    <w:pPr>
      <w:tabs>
        <w:tab w:val="center" w:pos="4677"/>
        <w:tab w:val="right" w:pos="9355"/>
      </w:tabs>
    </w:pPr>
  </w:style>
  <w:style w:type="character" w:customStyle="1" w:styleId="a7">
    <w:name w:val="Верхній колонтитул Знак"/>
    <w:basedOn w:val="a0"/>
    <w:link w:val="a6"/>
    <w:uiPriority w:val="99"/>
    <w:rsid w:val="00CD0B03"/>
    <w:rPr>
      <w:rFonts w:eastAsia="Times New Roman"/>
      <w:sz w:val="24"/>
      <w:szCs w:val="24"/>
      <w:lang w:eastAsia="ru-RU"/>
    </w:rPr>
  </w:style>
  <w:style w:type="paragraph" w:styleId="a8">
    <w:name w:val="footer"/>
    <w:basedOn w:val="a"/>
    <w:link w:val="a9"/>
    <w:uiPriority w:val="99"/>
    <w:unhideWhenUsed/>
    <w:rsid w:val="00CD0B03"/>
    <w:pPr>
      <w:tabs>
        <w:tab w:val="center" w:pos="4677"/>
        <w:tab w:val="right" w:pos="9355"/>
      </w:tabs>
    </w:pPr>
  </w:style>
  <w:style w:type="character" w:customStyle="1" w:styleId="a9">
    <w:name w:val="Нижній колонтитул Знак"/>
    <w:basedOn w:val="a0"/>
    <w:link w:val="a8"/>
    <w:uiPriority w:val="99"/>
    <w:rsid w:val="00CD0B03"/>
    <w:rPr>
      <w:rFonts w:eastAsia="Times New Roman"/>
      <w:sz w:val="24"/>
      <w:szCs w:val="24"/>
      <w:lang w:eastAsia="ru-RU"/>
    </w:rPr>
  </w:style>
  <w:style w:type="paragraph" w:styleId="aa">
    <w:name w:val="Normal (Web)"/>
    <w:basedOn w:val="a"/>
    <w:uiPriority w:val="99"/>
    <w:semiHidden/>
    <w:unhideWhenUsed/>
    <w:rsid w:val="00423E47"/>
    <w:pPr>
      <w:spacing w:before="100" w:beforeAutospacing="1" w:after="100" w:afterAutospacing="1"/>
    </w:pPr>
    <w:rPr>
      <w:lang w:val="en-US" w:eastAsia="en-US"/>
    </w:rPr>
  </w:style>
  <w:style w:type="character" w:customStyle="1" w:styleId="math-inline">
    <w:name w:val="math-inline"/>
    <w:basedOn w:val="a0"/>
    <w:rsid w:val="00423E47"/>
  </w:style>
  <w:style w:type="character" w:styleId="ab">
    <w:name w:val="annotation reference"/>
    <w:basedOn w:val="a0"/>
    <w:uiPriority w:val="99"/>
    <w:semiHidden/>
    <w:unhideWhenUsed/>
    <w:rsid w:val="00CA29AD"/>
    <w:rPr>
      <w:sz w:val="16"/>
      <w:szCs w:val="16"/>
    </w:rPr>
  </w:style>
  <w:style w:type="paragraph" w:styleId="ac">
    <w:name w:val="annotation text"/>
    <w:basedOn w:val="a"/>
    <w:link w:val="ad"/>
    <w:uiPriority w:val="99"/>
    <w:semiHidden/>
    <w:unhideWhenUsed/>
    <w:rsid w:val="00CA29AD"/>
    <w:rPr>
      <w:sz w:val="20"/>
      <w:szCs w:val="20"/>
    </w:rPr>
  </w:style>
  <w:style w:type="character" w:customStyle="1" w:styleId="ad">
    <w:name w:val="Текст примітки Знак"/>
    <w:basedOn w:val="a0"/>
    <w:link w:val="ac"/>
    <w:uiPriority w:val="99"/>
    <w:semiHidden/>
    <w:rsid w:val="00CA29AD"/>
    <w:rPr>
      <w:rFonts w:eastAsia="Times New Roman"/>
      <w:sz w:val="20"/>
      <w:szCs w:val="20"/>
      <w:lang w:eastAsia="ru-RU"/>
    </w:rPr>
  </w:style>
  <w:style w:type="paragraph" w:styleId="ae">
    <w:name w:val="annotation subject"/>
    <w:basedOn w:val="ac"/>
    <w:next w:val="ac"/>
    <w:link w:val="af"/>
    <w:uiPriority w:val="99"/>
    <w:semiHidden/>
    <w:unhideWhenUsed/>
    <w:rsid w:val="00CA29AD"/>
    <w:rPr>
      <w:b/>
      <w:bCs/>
    </w:rPr>
  </w:style>
  <w:style w:type="character" w:customStyle="1" w:styleId="af">
    <w:name w:val="Тема примітки Знак"/>
    <w:basedOn w:val="ad"/>
    <w:link w:val="ae"/>
    <w:uiPriority w:val="99"/>
    <w:semiHidden/>
    <w:rsid w:val="00CA29AD"/>
    <w:rPr>
      <w:rFonts w:eastAsia="Times New Roman"/>
      <w:b/>
      <w:bCs/>
      <w:sz w:val="20"/>
      <w:szCs w:val="20"/>
      <w:lang w:eastAsia="ru-RU"/>
    </w:rPr>
  </w:style>
  <w:style w:type="paragraph" w:styleId="af0">
    <w:name w:val="Balloon Text"/>
    <w:basedOn w:val="a"/>
    <w:link w:val="af1"/>
    <w:uiPriority w:val="99"/>
    <w:semiHidden/>
    <w:unhideWhenUsed/>
    <w:rsid w:val="00CA29AD"/>
    <w:rPr>
      <w:rFonts w:ascii="Tahoma" w:hAnsi="Tahoma" w:cs="Tahoma"/>
      <w:sz w:val="16"/>
      <w:szCs w:val="16"/>
    </w:rPr>
  </w:style>
  <w:style w:type="character" w:customStyle="1" w:styleId="af1">
    <w:name w:val="Текст у виносці Знак"/>
    <w:basedOn w:val="a0"/>
    <w:link w:val="af0"/>
    <w:uiPriority w:val="99"/>
    <w:semiHidden/>
    <w:rsid w:val="00CA29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60460">
      <w:bodyDiv w:val="1"/>
      <w:marLeft w:val="0"/>
      <w:marRight w:val="0"/>
      <w:marTop w:val="0"/>
      <w:marBottom w:val="0"/>
      <w:divBdr>
        <w:top w:val="none" w:sz="0" w:space="0" w:color="auto"/>
        <w:left w:val="none" w:sz="0" w:space="0" w:color="auto"/>
        <w:bottom w:val="none" w:sz="0" w:space="0" w:color="auto"/>
        <w:right w:val="none" w:sz="0" w:space="0" w:color="auto"/>
      </w:divBdr>
    </w:div>
    <w:div w:id="15446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6798</Words>
  <Characters>3876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22</cp:revision>
  <dcterms:created xsi:type="dcterms:W3CDTF">2026-01-05T13:56:00Z</dcterms:created>
  <dcterms:modified xsi:type="dcterms:W3CDTF">2026-01-17T09:38:00Z</dcterms:modified>
</cp:coreProperties>
</file>