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42C4" w:rsidRPr="00DC0389" w:rsidRDefault="00AD42C4">
      <w:pPr>
        <w:jc w:val="center"/>
        <w:rPr>
          <w:b/>
        </w:rPr>
      </w:pPr>
      <w:r w:rsidRPr="00DC0389">
        <w:rPr>
          <w:b/>
          <w:lang w:val="uk-UA"/>
        </w:rPr>
        <w:t>Коротка характеристика препарату</w:t>
      </w:r>
      <w:r w:rsidRPr="00DC0389">
        <w:rPr>
          <w:b/>
        </w:rPr>
        <w:t xml:space="preserve"> </w:t>
      </w:r>
    </w:p>
    <w:p w:rsidR="000114AF" w:rsidRPr="00DC0389" w:rsidRDefault="000114AF">
      <w:pPr>
        <w:jc w:val="center"/>
        <w:rPr>
          <w:b/>
        </w:rPr>
      </w:pPr>
    </w:p>
    <w:p w:rsidR="000114AF" w:rsidRPr="00DC0389" w:rsidRDefault="000114AF">
      <w:pPr>
        <w:jc w:val="center"/>
        <w:rPr>
          <w:b/>
        </w:rPr>
      </w:pP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1. Назва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СТОМАВЕТТАБ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2. Склад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100 мг препарату містить діючі речовини: 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          спіраміцину – 125 000 МО, 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 метронідазолу – 20,83 мг.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Допоміжні речовини: лактози моногідрат, целюлоза мікрокристалічна, кальцію стеарат, полівінілпіролідон, кремнію діоксид.</w:t>
      </w:r>
    </w:p>
    <w:p w:rsidR="003E4396" w:rsidRPr="00DC0389" w:rsidRDefault="003E4396" w:rsidP="003E4396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СТОМАВЕТТАБ випускають у трьох дозуваннях:</w:t>
      </w:r>
    </w:p>
    <w:p w:rsidR="003E4396" w:rsidRPr="00DC0389" w:rsidRDefault="003E4396" w:rsidP="003E4396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таблетка масою 120 мг (містить </w:t>
      </w:r>
      <w:r w:rsidR="0077088D" w:rsidRPr="00DC0389">
        <w:rPr>
          <w:lang w:val="uk-UA" w:eastAsia="en-US"/>
        </w:rPr>
        <w:t>спіраміцину – 150 000 МО і метронідазолу –</w:t>
      </w:r>
      <w:r w:rsidRPr="00DC0389">
        <w:rPr>
          <w:lang w:val="uk-UA" w:eastAsia="en-US"/>
        </w:rPr>
        <w:t xml:space="preserve"> </w:t>
      </w:r>
      <w:r w:rsidR="0077088D" w:rsidRPr="00DC0389">
        <w:rPr>
          <w:lang w:val="uk-UA" w:eastAsia="en-US"/>
        </w:rPr>
        <w:t>25 мг</w:t>
      </w:r>
      <w:r w:rsidRPr="00DC0389">
        <w:rPr>
          <w:lang w:val="uk-UA" w:eastAsia="en-US"/>
        </w:rPr>
        <w:t>);</w:t>
      </w:r>
    </w:p>
    <w:p w:rsidR="003E4396" w:rsidRPr="00DC0389" w:rsidRDefault="00FC5049" w:rsidP="003E4396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таблетка масою 60</w:t>
      </w:r>
      <w:r w:rsidR="003E4396" w:rsidRPr="00DC0389">
        <w:rPr>
          <w:lang w:val="uk-UA" w:eastAsia="en-US"/>
        </w:rPr>
        <w:t xml:space="preserve">0 мг </w:t>
      </w:r>
      <w:r w:rsidRPr="00DC0389">
        <w:rPr>
          <w:lang w:val="uk-UA" w:eastAsia="en-US"/>
        </w:rPr>
        <w:t>(містить спіраміцину – 750 000 МО і метронідазолу – 125 мг);</w:t>
      </w:r>
    </w:p>
    <w:p w:rsidR="003E4396" w:rsidRPr="00DC0389" w:rsidRDefault="00FC5049" w:rsidP="003E4396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таблетка масою 1200</w:t>
      </w:r>
      <w:r w:rsidR="003E4396" w:rsidRPr="00DC0389">
        <w:rPr>
          <w:lang w:val="uk-UA" w:eastAsia="en-US"/>
        </w:rPr>
        <w:t xml:space="preserve"> мг </w:t>
      </w:r>
      <w:r w:rsidRPr="00DC0389">
        <w:rPr>
          <w:lang w:val="uk-UA" w:eastAsia="en-US"/>
        </w:rPr>
        <w:t>(містить спіраміцину – 1 500 000 МО і метронідазолу – 250 мг).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3. Фармацевтична форма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Таблетки.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4. Фармакологічні властивості</w:t>
      </w:r>
    </w:p>
    <w:p w:rsidR="00B4074A" w:rsidRPr="00DC0389" w:rsidRDefault="00E51620" w:rsidP="00B4074A">
      <w:pPr>
        <w:ind w:firstLine="567"/>
        <w:jc w:val="both"/>
        <w:rPr>
          <w:b/>
          <w:i/>
          <w:lang w:val="uk-UA"/>
        </w:rPr>
      </w:pPr>
      <w:r w:rsidRPr="00DC0389">
        <w:rPr>
          <w:b/>
          <w:i/>
        </w:rPr>
        <w:t>ATC</w:t>
      </w:r>
      <w:r w:rsidRPr="00DC0389">
        <w:rPr>
          <w:b/>
          <w:i/>
          <w:lang w:val="uk-UA"/>
        </w:rPr>
        <w:t>-</w:t>
      </w:r>
      <w:r w:rsidRPr="00DC0389">
        <w:rPr>
          <w:b/>
          <w:i/>
        </w:rPr>
        <w:t>vet</w:t>
      </w:r>
      <w:r w:rsidRPr="00DC0389">
        <w:rPr>
          <w:b/>
          <w:i/>
          <w:lang w:val="uk-UA"/>
        </w:rPr>
        <w:t xml:space="preserve"> класифікаційний код:</w:t>
      </w:r>
      <w:r w:rsidRPr="00DC0389">
        <w:rPr>
          <w:b/>
          <w:i/>
          <w:snapToGrid w:val="0"/>
          <w:lang w:val="uk-UA"/>
        </w:rPr>
        <w:t xml:space="preserve">  </w:t>
      </w:r>
      <w:r w:rsidR="00B4074A" w:rsidRPr="00DC0389">
        <w:rPr>
          <w:b/>
          <w:i/>
          <w:lang w:val="uk-UA"/>
        </w:rPr>
        <w:t xml:space="preserve">QJ01 - антибактеріальні ветеринарні препарати для системного застосування. QJ01RA04 – Спіраміцин і метронідазол </w:t>
      </w:r>
    </w:p>
    <w:p w:rsidR="00B4074A" w:rsidRPr="00DC0389" w:rsidRDefault="00B4074A" w:rsidP="00B4074A">
      <w:pPr>
        <w:ind w:firstLine="567"/>
        <w:jc w:val="both"/>
        <w:rPr>
          <w:lang w:val="uk-UA"/>
        </w:rPr>
      </w:pPr>
      <w:r w:rsidRPr="00DC0389">
        <w:rPr>
          <w:lang w:val="uk-UA"/>
        </w:rPr>
        <w:t xml:space="preserve">СТОМАВЕТТАБ – антибактеріальний препарат широкого спектру дії. Комбінація метронідазолу і спіраміцину, що входять до складу СТОМАВЕТТАБ, має широкий спектр дії </w:t>
      </w:r>
      <w:r w:rsidR="00DD1F4B" w:rsidRPr="00DC0389">
        <w:rPr>
          <w:lang w:val="uk-UA"/>
        </w:rPr>
        <w:t>проти</w:t>
      </w:r>
      <w:r w:rsidRPr="00DC0389">
        <w:rPr>
          <w:lang w:val="uk-UA"/>
        </w:rPr>
        <w:t xml:space="preserve"> грампозитивних і грамнегативних </w:t>
      </w:r>
      <w:r w:rsidR="00DD1F4B" w:rsidRPr="00DC0389">
        <w:rPr>
          <w:lang w:val="uk-UA"/>
        </w:rPr>
        <w:t>бактерій</w:t>
      </w:r>
      <w:r w:rsidRPr="00DC0389">
        <w:rPr>
          <w:lang w:val="uk-UA"/>
        </w:rPr>
        <w:t>, а також найпростіших і мікоплазм</w:t>
      </w:r>
      <w:r w:rsidR="00DD1F4B" w:rsidRPr="00DC0389">
        <w:rPr>
          <w:lang w:val="uk-UA"/>
        </w:rPr>
        <w:t>.</w:t>
      </w:r>
    </w:p>
    <w:p w:rsidR="00B4074A" w:rsidRPr="00DC0389" w:rsidRDefault="00B4074A" w:rsidP="00B4074A">
      <w:pPr>
        <w:ind w:firstLine="567"/>
        <w:jc w:val="both"/>
        <w:rPr>
          <w:lang w:val="uk-UA"/>
        </w:rPr>
      </w:pPr>
      <w:r w:rsidRPr="00DC0389">
        <w:rPr>
          <w:lang w:val="uk-UA"/>
        </w:rPr>
        <w:t xml:space="preserve">Спіраміцин – антибіотик групи макролідів, </w:t>
      </w:r>
      <w:r w:rsidR="00DD1F4B" w:rsidRPr="00DC0389">
        <w:rPr>
          <w:lang w:val="uk-UA"/>
        </w:rPr>
        <w:t>діє</w:t>
      </w:r>
      <w:r w:rsidRPr="00DC0389">
        <w:rPr>
          <w:lang w:val="uk-UA"/>
        </w:rPr>
        <w:t xml:space="preserve"> </w:t>
      </w:r>
      <w:r w:rsidR="00DD1F4B" w:rsidRPr="00DC0389">
        <w:rPr>
          <w:lang w:val="uk-UA"/>
        </w:rPr>
        <w:t>бактеріостатично</w:t>
      </w:r>
      <w:r w:rsidRPr="00DC0389">
        <w:rPr>
          <w:lang w:val="uk-UA"/>
        </w:rPr>
        <w:t>. Оборотно зв'язуючись з 50S субодиницею рибосом, пригнічує синтез білка в мікробній клітині. Спіраміцин активний щодо грампозитивних (</w:t>
      </w:r>
      <w:r w:rsidRPr="00DC0389">
        <w:rPr>
          <w:i/>
        </w:rPr>
        <w:t>Staphylococcus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Streptococcus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Corynebacterium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Actinomyces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Listeria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Clostridium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="00DD1F4B" w:rsidRPr="00DC0389">
        <w:rPr>
          <w:lang w:val="uk-UA"/>
        </w:rPr>
        <w:t xml:space="preserve">) та </w:t>
      </w:r>
      <w:r w:rsidRPr="00DC0389">
        <w:rPr>
          <w:lang w:val="uk-UA"/>
        </w:rPr>
        <w:t>грамнегативних (</w:t>
      </w:r>
      <w:r w:rsidRPr="00DC0389">
        <w:rPr>
          <w:i/>
        </w:rPr>
        <w:t>Neisseria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Haemophilus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Bacteroides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Campylobacter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Bordetella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pertussis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 xml:space="preserve">., </w:t>
      </w:r>
      <w:r w:rsidRPr="00DC0389">
        <w:rPr>
          <w:i/>
        </w:rPr>
        <w:t>Legionella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>.</w:t>
      </w:r>
      <w:r w:rsidRPr="00DC0389">
        <w:rPr>
          <w:lang w:val="uk-UA"/>
        </w:rPr>
        <w:t>)</w:t>
      </w:r>
      <w:r w:rsidR="00DD1F4B" w:rsidRPr="00DC0389">
        <w:rPr>
          <w:lang w:val="uk-UA"/>
        </w:rPr>
        <w:t xml:space="preserve"> бактерій</w:t>
      </w:r>
      <w:r w:rsidRPr="00DC0389">
        <w:rPr>
          <w:lang w:val="uk-UA"/>
        </w:rPr>
        <w:t>, хламідій (</w:t>
      </w:r>
      <w:r w:rsidRPr="00DC0389">
        <w:rPr>
          <w:i/>
        </w:rPr>
        <w:t>Chlamydia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>.</w:t>
      </w:r>
      <w:r w:rsidRPr="00DC0389">
        <w:rPr>
          <w:lang w:val="uk-UA"/>
        </w:rPr>
        <w:t>), рикетсій (</w:t>
      </w:r>
      <w:r w:rsidRPr="00DC0389">
        <w:rPr>
          <w:i/>
        </w:rPr>
        <w:t>Rickettsia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>.</w:t>
      </w:r>
      <w:r w:rsidRPr="00DC0389">
        <w:rPr>
          <w:lang w:val="uk-UA"/>
        </w:rPr>
        <w:t>), мікоплазм (</w:t>
      </w:r>
      <w:r w:rsidRPr="00DC0389">
        <w:rPr>
          <w:i/>
        </w:rPr>
        <w:t>Mycoplasma</w:t>
      </w:r>
      <w:r w:rsidRPr="00DC0389">
        <w:rPr>
          <w:i/>
          <w:lang w:val="uk-UA"/>
        </w:rPr>
        <w:t xml:space="preserve"> </w:t>
      </w:r>
      <w:r w:rsidRPr="00DC0389">
        <w:rPr>
          <w:i/>
        </w:rPr>
        <w:t>spp</w:t>
      </w:r>
      <w:r w:rsidRPr="00DC0389">
        <w:rPr>
          <w:i/>
          <w:lang w:val="uk-UA"/>
        </w:rPr>
        <w:t>.</w:t>
      </w:r>
      <w:r w:rsidRPr="00DC0389">
        <w:rPr>
          <w:lang w:val="uk-UA"/>
        </w:rPr>
        <w:t xml:space="preserve">).  </w:t>
      </w:r>
    </w:p>
    <w:p w:rsidR="00B4074A" w:rsidRPr="00DC0389" w:rsidRDefault="00B4074A" w:rsidP="00B4074A">
      <w:pPr>
        <w:ind w:firstLine="567"/>
        <w:jc w:val="both"/>
        <w:rPr>
          <w:rFonts w:eastAsia="Microsoft Sans Serif"/>
          <w:lang w:val="uk-UA" w:eastAsia="uk-UA" w:bidi="uk-UA"/>
        </w:rPr>
      </w:pPr>
      <w:r w:rsidRPr="00DC0389">
        <w:rPr>
          <w:lang w:val="uk-UA"/>
        </w:rPr>
        <w:t xml:space="preserve">Метронідазол – антипротозойний засіб групи нітро-5-імідазолу. </w:t>
      </w:r>
      <w:r w:rsidRPr="00DC0389">
        <w:rPr>
          <w:rFonts w:eastAsia="Microsoft Sans Serif"/>
          <w:lang w:val="uk-UA" w:eastAsia="uk-UA" w:bidi="uk-UA"/>
        </w:rPr>
        <w:t xml:space="preserve">Ефективний </w:t>
      </w:r>
      <w:r w:rsidR="00DD1F4B" w:rsidRPr="00DC0389">
        <w:rPr>
          <w:rFonts w:eastAsia="Microsoft Sans Serif"/>
          <w:lang w:val="uk-UA" w:eastAsia="uk-UA" w:bidi="uk-UA"/>
        </w:rPr>
        <w:t>відносно</w:t>
      </w:r>
      <w:r w:rsidRPr="00DC0389">
        <w:rPr>
          <w:rFonts w:eastAsia="Microsoft Sans Serif"/>
          <w:lang w:val="uk-UA" w:eastAsia="uk-UA" w:bidi="uk-UA"/>
        </w:rPr>
        <w:t xml:space="preserve"> найпростіших </w:t>
      </w:r>
      <w:r w:rsidR="00DD1F4B" w:rsidRPr="00DC0389">
        <w:rPr>
          <w:rFonts w:eastAsia="Microsoft Sans Serif"/>
          <w:lang w:val="uk-UA" w:eastAsia="uk-UA" w:bidi="uk-UA"/>
        </w:rPr>
        <w:t>(</w:t>
      </w:r>
      <w:r w:rsidRPr="00DC0389">
        <w:rPr>
          <w:rFonts w:eastAsia="Microsoft Sans Serif"/>
          <w:i/>
          <w:lang w:eastAsia="uk-UA" w:bidi="uk-UA"/>
        </w:rPr>
        <w:t>Trichomonas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vaginalis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Gardnerella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vaginalis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Giardia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intestinalis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Entamoeba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histolytica</w:t>
      </w:r>
      <w:r w:rsidR="00DD1F4B" w:rsidRPr="00DC0389">
        <w:rPr>
          <w:rFonts w:eastAsia="Microsoft Sans Serif"/>
          <w:lang w:val="uk-UA" w:eastAsia="uk-UA" w:bidi="uk-UA"/>
        </w:rPr>
        <w:t>)</w:t>
      </w:r>
      <w:r w:rsidRPr="00DC0389">
        <w:rPr>
          <w:rFonts w:eastAsia="Microsoft Sans Serif"/>
          <w:lang w:val="uk-UA" w:eastAsia="uk-UA" w:bidi="uk-UA"/>
        </w:rPr>
        <w:t>, анаеробних бактерій (</w:t>
      </w:r>
      <w:r w:rsidRPr="00DC0389">
        <w:rPr>
          <w:rFonts w:eastAsia="Microsoft Sans Serif"/>
          <w:i/>
          <w:lang w:eastAsia="uk-UA" w:bidi="uk-UA"/>
        </w:rPr>
        <w:t>Bacteroides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fragilis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B</w:t>
      </w:r>
      <w:r w:rsidRPr="00DC0389">
        <w:rPr>
          <w:rFonts w:eastAsia="Microsoft Sans Serif"/>
          <w:i/>
          <w:lang w:val="uk-UA" w:eastAsia="uk-UA" w:bidi="uk-UA"/>
        </w:rPr>
        <w:t xml:space="preserve">. </w:t>
      </w:r>
      <w:r w:rsidRPr="00DC0389">
        <w:rPr>
          <w:rFonts w:eastAsia="Microsoft Sans Serif"/>
          <w:i/>
          <w:lang w:eastAsia="uk-UA" w:bidi="uk-UA"/>
        </w:rPr>
        <w:t>distasonis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B</w:t>
      </w:r>
      <w:r w:rsidRPr="00DC0389">
        <w:rPr>
          <w:rFonts w:eastAsia="Microsoft Sans Serif"/>
          <w:i/>
          <w:lang w:val="uk-UA" w:eastAsia="uk-UA" w:bidi="uk-UA"/>
        </w:rPr>
        <w:t xml:space="preserve">. </w:t>
      </w:r>
      <w:r w:rsidRPr="00DC0389">
        <w:rPr>
          <w:rFonts w:eastAsia="Microsoft Sans Serif"/>
          <w:i/>
          <w:lang w:eastAsia="uk-UA" w:bidi="uk-UA"/>
        </w:rPr>
        <w:t>ovatus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B</w:t>
      </w:r>
      <w:r w:rsidRPr="00DC0389">
        <w:rPr>
          <w:rFonts w:eastAsia="Microsoft Sans Serif"/>
          <w:i/>
          <w:lang w:val="uk-UA" w:eastAsia="uk-UA" w:bidi="uk-UA"/>
        </w:rPr>
        <w:t xml:space="preserve">. </w:t>
      </w:r>
      <w:r w:rsidRPr="00DC0389">
        <w:rPr>
          <w:rFonts w:eastAsia="Microsoft Sans Serif"/>
          <w:i/>
          <w:lang w:eastAsia="uk-UA" w:bidi="uk-UA"/>
        </w:rPr>
        <w:t>thetaiotaomicron</w:t>
      </w:r>
      <w:r w:rsidRPr="00DC0389">
        <w:rPr>
          <w:rFonts w:eastAsia="Microsoft Sans Serif"/>
          <w:i/>
          <w:lang w:val="uk-UA" w:eastAsia="uk-UA" w:bidi="uk-UA"/>
        </w:rPr>
        <w:t xml:space="preserve">, </w:t>
      </w:r>
      <w:r w:rsidRPr="00DC0389">
        <w:rPr>
          <w:rFonts w:eastAsia="Microsoft Sans Serif"/>
          <w:i/>
          <w:lang w:eastAsia="uk-UA" w:bidi="uk-UA"/>
        </w:rPr>
        <w:t>B</w:t>
      </w:r>
      <w:r w:rsidRPr="00DC0389">
        <w:rPr>
          <w:rFonts w:eastAsia="Microsoft Sans Serif"/>
          <w:i/>
          <w:lang w:val="uk-UA" w:eastAsia="uk-UA" w:bidi="uk-UA"/>
        </w:rPr>
        <w:t xml:space="preserve">. </w:t>
      </w:r>
      <w:r w:rsidRPr="00DC0389">
        <w:rPr>
          <w:rFonts w:eastAsia="Microsoft Sans Serif"/>
          <w:i/>
          <w:lang w:eastAsia="uk-UA" w:bidi="uk-UA"/>
        </w:rPr>
        <w:t>vulgatus</w:t>
      </w:r>
      <w:r w:rsidR="00DD1F4B" w:rsidRPr="00DC0389">
        <w:rPr>
          <w:rFonts w:eastAsia="Microsoft Sans Serif"/>
          <w:lang w:val="uk-UA" w:eastAsia="uk-UA" w:bidi="uk-UA"/>
        </w:rPr>
        <w:t>), грамнегативних</w:t>
      </w:r>
      <w:r w:rsidRPr="00DC0389">
        <w:rPr>
          <w:rFonts w:eastAsia="Microsoft Sans Serif"/>
          <w:lang w:val="uk-UA" w:eastAsia="uk-UA" w:bidi="uk-UA"/>
        </w:rPr>
        <w:t xml:space="preserve"> (</w:t>
      </w:r>
      <w:r w:rsidRPr="00DC0389">
        <w:rPr>
          <w:rFonts w:eastAsia="Microsoft Sans Serif"/>
          <w:i/>
          <w:lang w:eastAsia="uk-UA" w:bidi="uk-UA"/>
        </w:rPr>
        <w:t>Fusobacterium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Pr="00DC0389">
        <w:rPr>
          <w:rFonts w:eastAsia="Microsoft Sans Serif"/>
          <w:i/>
          <w:lang w:val="uk-UA" w:eastAsia="uk-UA" w:bidi="uk-UA"/>
        </w:rPr>
        <w:t xml:space="preserve">., </w:t>
      </w:r>
      <w:r w:rsidRPr="00DC0389">
        <w:rPr>
          <w:rFonts w:eastAsia="Microsoft Sans Serif"/>
          <w:i/>
          <w:lang w:eastAsia="uk-UA" w:bidi="uk-UA"/>
        </w:rPr>
        <w:t>Veillonela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Pr="00DC0389">
        <w:rPr>
          <w:rFonts w:eastAsia="Microsoft Sans Serif"/>
          <w:i/>
          <w:lang w:val="uk-UA" w:eastAsia="uk-UA" w:bidi="uk-UA"/>
        </w:rPr>
        <w:t>.</w:t>
      </w:r>
      <w:r w:rsidR="00DD1F4B" w:rsidRPr="00DC0389">
        <w:rPr>
          <w:rFonts w:eastAsia="Microsoft Sans Serif"/>
          <w:lang w:val="uk-UA" w:eastAsia="uk-UA" w:bidi="uk-UA"/>
        </w:rPr>
        <w:t>) та</w:t>
      </w:r>
      <w:r w:rsidRPr="00DC0389">
        <w:rPr>
          <w:rFonts w:eastAsia="Microsoft Sans Serif"/>
          <w:lang w:val="uk-UA" w:eastAsia="uk-UA" w:bidi="uk-UA"/>
        </w:rPr>
        <w:t xml:space="preserve"> деяких грампозитивних (</w:t>
      </w:r>
      <w:r w:rsidRPr="00DC0389">
        <w:rPr>
          <w:rFonts w:eastAsia="Microsoft Sans Serif"/>
          <w:i/>
          <w:lang w:eastAsia="uk-UA" w:bidi="uk-UA"/>
        </w:rPr>
        <w:t>Eubacterium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Pr="00DC0389">
        <w:rPr>
          <w:rFonts w:eastAsia="Microsoft Sans Serif"/>
          <w:i/>
          <w:lang w:val="uk-UA" w:eastAsia="uk-UA" w:bidi="uk-UA"/>
        </w:rPr>
        <w:t xml:space="preserve">., </w:t>
      </w:r>
      <w:r w:rsidRPr="00DC0389">
        <w:rPr>
          <w:rFonts w:eastAsia="Microsoft Sans Serif"/>
          <w:i/>
          <w:lang w:eastAsia="uk-UA" w:bidi="uk-UA"/>
        </w:rPr>
        <w:t>Clostridium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Pr="00DC0389">
        <w:rPr>
          <w:rFonts w:eastAsia="Microsoft Sans Serif"/>
          <w:i/>
          <w:lang w:val="uk-UA" w:eastAsia="uk-UA" w:bidi="uk-UA"/>
        </w:rPr>
        <w:t xml:space="preserve">., </w:t>
      </w:r>
      <w:r w:rsidRPr="00DC0389">
        <w:rPr>
          <w:rFonts w:eastAsia="Microsoft Sans Serif"/>
          <w:i/>
          <w:lang w:eastAsia="uk-UA" w:bidi="uk-UA"/>
        </w:rPr>
        <w:t>Peptococcus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Pr="00DC0389">
        <w:rPr>
          <w:rFonts w:eastAsia="Microsoft Sans Serif"/>
          <w:i/>
          <w:lang w:val="uk-UA" w:eastAsia="uk-UA" w:bidi="uk-UA"/>
        </w:rPr>
        <w:t xml:space="preserve">., </w:t>
      </w:r>
      <w:r w:rsidRPr="00DC0389">
        <w:rPr>
          <w:rFonts w:eastAsia="Microsoft Sans Serif"/>
          <w:i/>
          <w:lang w:eastAsia="uk-UA" w:bidi="uk-UA"/>
        </w:rPr>
        <w:t>Peptostreptococcus</w:t>
      </w:r>
      <w:r w:rsidRPr="00DC0389">
        <w:rPr>
          <w:rFonts w:eastAsia="Microsoft Sans Serif"/>
          <w:i/>
          <w:lang w:val="uk-UA" w:eastAsia="uk-UA" w:bidi="uk-UA"/>
        </w:rPr>
        <w:t xml:space="preserve"> </w:t>
      </w:r>
      <w:r w:rsidRPr="00DC0389">
        <w:rPr>
          <w:rFonts w:eastAsia="Microsoft Sans Serif"/>
          <w:i/>
          <w:lang w:eastAsia="uk-UA" w:bidi="uk-UA"/>
        </w:rPr>
        <w:t>spp</w:t>
      </w:r>
      <w:r w:rsidR="00DD1F4B" w:rsidRPr="00DC0389">
        <w:rPr>
          <w:rFonts w:eastAsia="Microsoft Sans Serif"/>
          <w:i/>
          <w:lang w:val="uk-UA" w:eastAsia="uk-UA" w:bidi="uk-UA"/>
        </w:rPr>
        <w:t>.</w:t>
      </w:r>
      <w:r w:rsidRPr="00DC0389">
        <w:rPr>
          <w:rFonts w:eastAsia="Microsoft Sans Serif"/>
          <w:lang w:val="uk-UA" w:eastAsia="uk-UA" w:bidi="uk-UA"/>
        </w:rPr>
        <w:t>) бактерій.</w:t>
      </w:r>
    </w:p>
    <w:p w:rsidR="00B4074A" w:rsidRPr="00DC0389" w:rsidRDefault="00B4074A" w:rsidP="00B4074A">
      <w:pPr>
        <w:ind w:firstLine="567"/>
        <w:jc w:val="both"/>
        <w:rPr>
          <w:lang w:val="uk-UA"/>
        </w:rPr>
      </w:pPr>
      <w:r w:rsidRPr="00DC0389">
        <w:rPr>
          <w:lang w:val="uk-UA"/>
        </w:rPr>
        <w:t xml:space="preserve">Після перорального застосування максимальна концентрація </w:t>
      </w:r>
      <w:r w:rsidR="00DD1F4B" w:rsidRPr="00DC0389">
        <w:rPr>
          <w:lang w:val="uk-UA"/>
        </w:rPr>
        <w:t xml:space="preserve">спіраміцину </w:t>
      </w:r>
      <w:r w:rsidRPr="00DC0389">
        <w:rPr>
          <w:lang w:val="uk-UA"/>
        </w:rPr>
        <w:t>в плазмі крові становить 4,4 мкг/мл, досягається пр</w:t>
      </w:r>
      <w:r w:rsidR="005963FB" w:rsidRPr="00DC0389">
        <w:rPr>
          <w:lang w:val="uk-UA"/>
        </w:rPr>
        <w:t>отягом 1,3 години і</w:t>
      </w:r>
      <w:r w:rsidR="00DD1F4B" w:rsidRPr="00DC0389">
        <w:rPr>
          <w:lang w:val="uk-UA"/>
        </w:rPr>
        <w:t xml:space="preserve"> </w:t>
      </w:r>
      <w:r w:rsidR="005963FB" w:rsidRPr="00DC0389">
        <w:rPr>
          <w:lang w:val="uk-UA"/>
        </w:rPr>
        <w:t xml:space="preserve">залишається протягом приблизно 30-40 годин. </w:t>
      </w:r>
      <w:r w:rsidR="00DD1F4B" w:rsidRPr="00DC0389">
        <w:rPr>
          <w:lang w:val="uk-UA"/>
        </w:rPr>
        <w:t>Концентрації</w:t>
      </w:r>
      <w:r w:rsidRPr="00DC0389">
        <w:rPr>
          <w:lang w:val="uk-UA"/>
        </w:rPr>
        <w:t xml:space="preserve"> спіраміцину у тканинах організму в кілька разів перевищують </w:t>
      </w:r>
      <w:r w:rsidR="00DD1F4B" w:rsidRPr="00DC0389">
        <w:rPr>
          <w:lang w:val="uk-UA"/>
        </w:rPr>
        <w:t xml:space="preserve">його </w:t>
      </w:r>
      <w:r w:rsidRPr="00DC0389">
        <w:rPr>
          <w:lang w:val="uk-UA"/>
        </w:rPr>
        <w:t xml:space="preserve">концентрації в плазмі крові. Концентрації </w:t>
      </w:r>
      <w:r w:rsidR="00DD1F4B" w:rsidRPr="00DC0389">
        <w:rPr>
          <w:lang w:val="uk-UA"/>
        </w:rPr>
        <w:t xml:space="preserve">спіраміцину </w:t>
      </w:r>
      <w:r w:rsidRPr="00DC0389">
        <w:rPr>
          <w:lang w:val="uk-UA"/>
        </w:rPr>
        <w:t>у слизових обол</w:t>
      </w:r>
      <w:r w:rsidR="005963FB" w:rsidRPr="00DC0389">
        <w:rPr>
          <w:lang w:val="uk-UA"/>
        </w:rPr>
        <w:t>онках та слині особливо високі.</w:t>
      </w:r>
      <w:r w:rsidRPr="00DC0389">
        <w:rPr>
          <w:lang w:val="uk-UA"/>
        </w:rPr>
        <w:t xml:space="preserve"> </w:t>
      </w:r>
      <w:r w:rsidR="005963FB" w:rsidRPr="00DC0389">
        <w:rPr>
          <w:lang w:val="uk-UA"/>
        </w:rPr>
        <w:t xml:space="preserve">Спіраміцин </w:t>
      </w:r>
      <w:r w:rsidRPr="00DC0389">
        <w:rPr>
          <w:lang w:val="uk-UA"/>
        </w:rPr>
        <w:t xml:space="preserve">виводиться з жовчю. Кінцевий період </w:t>
      </w:r>
      <w:r w:rsidR="005963FB" w:rsidRPr="00DC0389">
        <w:rPr>
          <w:lang w:val="uk-UA"/>
        </w:rPr>
        <w:t xml:space="preserve">його </w:t>
      </w:r>
      <w:r w:rsidRPr="00DC0389">
        <w:rPr>
          <w:lang w:val="uk-UA"/>
        </w:rPr>
        <w:t xml:space="preserve">напіввиведення становить приблизно 8,6 години. </w:t>
      </w:r>
      <w:r w:rsidR="00DD1F4B" w:rsidRPr="00DC0389">
        <w:rPr>
          <w:lang w:val="uk-UA"/>
        </w:rPr>
        <w:t xml:space="preserve"> </w:t>
      </w:r>
    </w:p>
    <w:p w:rsidR="008E2EC4" w:rsidRPr="00DC0389" w:rsidRDefault="00B4074A" w:rsidP="00B4074A">
      <w:pPr>
        <w:ind w:firstLine="567"/>
        <w:jc w:val="both"/>
        <w:rPr>
          <w:lang w:val="uk-UA" w:eastAsia="en-US"/>
        </w:rPr>
      </w:pPr>
      <w:r w:rsidRPr="00DC0389">
        <w:rPr>
          <w:lang w:val="uk-UA"/>
        </w:rPr>
        <w:t xml:space="preserve">Після перорального застосування максимальна концентрація метронідазолу в плазмі крові становить 18 мкг/мл і досягається протягом 1,4 години. Метронідазол швидко та повністю розподіляється в усі тканини організму. Через 24 години у більшості тварин все ще виявляються рівні </w:t>
      </w:r>
      <w:r w:rsidR="005963FB" w:rsidRPr="00DC0389">
        <w:rPr>
          <w:lang w:val="uk-UA"/>
        </w:rPr>
        <w:t xml:space="preserve">метронідазолу в крові &gt; </w:t>
      </w:r>
      <w:r w:rsidRPr="00DC0389">
        <w:rPr>
          <w:lang w:val="uk-UA"/>
        </w:rPr>
        <w:t xml:space="preserve">0,5 мкг/мл. Виводиться з організму з сечею. Кінцевий період напіввиведення </w:t>
      </w:r>
      <w:r w:rsidR="005963FB" w:rsidRPr="00DC0389">
        <w:rPr>
          <w:lang w:val="uk-UA"/>
        </w:rPr>
        <w:t xml:space="preserve">метронідазолу </w:t>
      </w:r>
      <w:r w:rsidRPr="00DC0389">
        <w:rPr>
          <w:lang w:val="uk-UA"/>
        </w:rPr>
        <w:t>становить приблизно 5,3 години.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 Клінічні особливості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5.1 Вид тварин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Собаки, коти.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5.2 Показання до застосування</w:t>
      </w:r>
    </w:p>
    <w:p w:rsidR="008E2EC4" w:rsidRPr="00DC0389" w:rsidRDefault="0056232D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/>
        </w:rPr>
        <w:t>Лікування собак та котів за захворювань ротової порожнини (стоматит, гінгівіт, пародонти</w:t>
      </w:r>
      <w:r w:rsidR="003258B2" w:rsidRPr="00DC0389">
        <w:rPr>
          <w:lang w:val="uk-UA"/>
        </w:rPr>
        <w:t>т</w:t>
      </w:r>
      <w:r w:rsidRPr="00DC0389">
        <w:rPr>
          <w:lang w:val="uk-UA"/>
        </w:rPr>
        <w:t xml:space="preserve"> тощо), органів дихання, сечостатевої системи (метрит, вагініт), шкіри та вух (отит), що спричинені мікроорганізмами, чутливими до спіраміцину та метронідазолу.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5.3 Протипоказання</w:t>
      </w:r>
    </w:p>
    <w:p w:rsidR="00FC1AC5" w:rsidRPr="00DC0389" w:rsidRDefault="00FC1AC5" w:rsidP="00FC1AC5">
      <w:pPr>
        <w:ind w:firstLine="709"/>
        <w:jc w:val="both"/>
        <w:rPr>
          <w:bCs/>
        </w:rPr>
      </w:pPr>
      <w:r w:rsidRPr="00DC0389">
        <w:rPr>
          <w:bCs/>
        </w:rPr>
        <w:t xml:space="preserve">Не застосовувати </w:t>
      </w:r>
      <w:r w:rsidRPr="00DC0389">
        <w:rPr>
          <w:bCs/>
          <w:lang w:val="uk-UA"/>
        </w:rPr>
        <w:t>за</w:t>
      </w:r>
      <w:r w:rsidRPr="00DC0389">
        <w:rPr>
          <w:bCs/>
        </w:rPr>
        <w:t xml:space="preserve"> підвищен</w:t>
      </w:r>
      <w:r w:rsidRPr="00DC0389">
        <w:rPr>
          <w:bCs/>
          <w:lang w:val="uk-UA"/>
        </w:rPr>
        <w:t>ої</w:t>
      </w:r>
      <w:r w:rsidRPr="00DC0389">
        <w:rPr>
          <w:bCs/>
        </w:rPr>
        <w:t xml:space="preserve"> чутливості до спіраміцину, метронідазолу або будь-якої з допоміжних речовин.</w:t>
      </w:r>
    </w:p>
    <w:p w:rsidR="00FC1AC5" w:rsidRPr="00DC0389" w:rsidRDefault="00FC1AC5" w:rsidP="00FC1AC5">
      <w:pPr>
        <w:ind w:firstLine="709"/>
        <w:jc w:val="both"/>
        <w:rPr>
          <w:bCs/>
        </w:rPr>
      </w:pPr>
      <w:r w:rsidRPr="00DC0389">
        <w:rPr>
          <w:bCs/>
        </w:rPr>
        <w:lastRenderedPageBreak/>
        <w:t xml:space="preserve">Не застосовувати </w:t>
      </w:r>
      <w:r w:rsidRPr="00DC0389">
        <w:rPr>
          <w:bCs/>
          <w:lang w:val="uk-UA"/>
        </w:rPr>
        <w:t>за</w:t>
      </w:r>
      <w:r w:rsidRPr="00DC0389">
        <w:rPr>
          <w:bCs/>
        </w:rPr>
        <w:t xml:space="preserve"> захворюван</w:t>
      </w:r>
      <w:r w:rsidRPr="00DC0389">
        <w:rPr>
          <w:bCs/>
          <w:lang w:val="uk-UA"/>
        </w:rPr>
        <w:t>ь</w:t>
      </w:r>
      <w:r w:rsidRPr="00DC0389">
        <w:rPr>
          <w:bCs/>
        </w:rPr>
        <w:t xml:space="preserve"> печінки.</w:t>
      </w:r>
    </w:p>
    <w:p w:rsidR="00FC1AC5" w:rsidRPr="00DC0389" w:rsidRDefault="00FC1AC5" w:rsidP="00FC1AC5">
      <w:pPr>
        <w:ind w:firstLine="709"/>
        <w:jc w:val="both"/>
        <w:rPr>
          <w:bCs/>
          <w:lang w:val="uk-UA"/>
        </w:rPr>
      </w:pPr>
      <w:r w:rsidRPr="00DC0389">
        <w:rPr>
          <w:bCs/>
        </w:rPr>
        <w:t>Не застосовувати одночасно з бактерицидними антибіотиками</w:t>
      </w:r>
      <w:r w:rsidR="004A2AA5" w:rsidRPr="00DC0389">
        <w:rPr>
          <w:bCs/>
          <w:lang w:val="uk-UA"/>
        </w:rPr>
        <w:t>, а також з іншими макролідами</w:t>
      </w:r>
      <w:r w:rsidRPr="00DC0389">
        <w:rPr>
          <w:bCs/>
        </w:rPr>
        <w:t>.</w:t>
      </w:r>
    </w:p>
    <w:p w:rsidR="008E2EC4" w:rsidRPr="00DC0389" w:rsidRDefault="00FC1AC5" w:rsidP="00FC1AC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bCs/>
        </w:rPr>
        <w:t>Не застосовувати тваринам у період вагітності та лактації</w:t>
      </w:r>
      <w:r w:rsidRPr="00DC0389">
        <w:rPr>
          <w:bCs/>
          <w:lang w:val="uk-UA"/>
        </w:rPr>
        <w:t>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5.4 Побічна дія</w:t>
      </w:r>
    </w:p>
    <w:p w:rsidR="008E2EC4" w:rsidRPr="00DC0389" w:rsidRDefault="00FC1AC5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/>
        </w:rPr>
        <w:t>Можуть спостерігатися реакції гіперчутливості (алергічні реакції шкіри</w:t>
      </w:r>
      <w:r w:rsidR="003258B2" w:rsidRPr="00DC0389">
        <w:rPr>
          <w:lang w:val="uk-UA"/>
        </w:rPr>
        <w:t xml:space="preserve">). Можуть спостерігатись також розлади </w:t>
      </w:r>
      <w:r w:rsidRPr="00DC0389">
        <w:rPr>
          <w:lang w:val="uk-UA"/>
        </w:rPr>
        <w:t>травного каналу (блювання, діарея).</w:t>
      </w:r>
      <w:r w:rsidRPr="00DC0389">
        <w:rPr>
          <w:lang w:val="uk-UA" w:eastAsia="en-US"/>
        </w:rPr>
        <w:t xml:space="preserve"> </w:t>
      </w:r>
      <w:r w:rsidR="008E2EC4" w:rsidRPr="00DC0389">
        <w:rPr>
          <w:lang w:val="uk-UA" w:eastAsia="en-US"/>
        </w:rPr>
        <w:t>У таких випадках застосування повинно бути припинено та вжите симптоматичне лікування.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5.5 Особливі застереження при використанні</w:t>
      </w:r>
    </w:p>
    <w:p w:rsidR="00FC1AC5" w:rsidRPr="00DC0389" w:rsidRDefault="00FC1AC5" w:rsidP="00FC1AC5">
      <w:pPr>
        <w:ind w:firstLine="567"/>
        <w:jc w:val="both"/>
        <w:rPr>
          <w:bCs/>
          <w:lang w:val="uk-UA"/>
        </w:rPr>
      </w:pPr>
      <w:r w:rsidRPr="00DC0389">
        <w:rPr>
          <w:lang w:val="uk-UA"/>
        </w:rPr>
        <w:t>Застосування препарату тваринам із підозрою або підтвердженими порушеннями функції печінки, серця та нирок може бути додатковим ризиком. У такому випадку застосовувати препарат необхідно за необхідності і під наглядом лікаря ветеринарної медицини.</w:t>
      </w:r>
      <w:r w:rsidRPr="00DC0389">
        <w:rPr>
          <w:bCs/>
          <w:lang w:val="uk-UA"/>
        </w:rPr>
        <w:t xml:space="preserve"> </w:t>
      </w:r>
    </w:p>
    <w:p w:rsidR="008E2EC4" w:rsidRPr="00DC0389" w:rsidRDefault="00FC1AC5" w:rsidP="00FC1AC5">
      <w:pPr>
        <w:ind w:firstLine="567"/>
        <w:jc w:val="both"/>
        <w:rPr>
          <w:lang w:val="uk-UA"/>
        </w:rPr>
      </w:pPr>
      <w:r w:rsidRPr="00DC0389">
        <w:rPr>
          <w:lang w:val="uk-UA"/>
        </w:rPr>
        <w:t>Застосування ветеринарного лікарсько</w:t>
      </w:r>
      <w:r w:rsidR="003258B2" w:rsidRPr="00DC0389">
        <w:rPr>
          <w:lang w:val="uk-UA"/>
        </w:rPr>
        <w:t xml:space="preserve">го засобу повинно ґрунтуватись </w:t>
      </w:r>
      <w:r w:rsidRPr="00DC0389">
        <w:rPr>
          <w:lang w:val="uk-UA"/>
        </w:rPr>
        <w:t>на ідентифікації та тестуванні чутливості цільових патогенів до спіраміцину та метронідазолу. Якщо це неможливо, лікування повинно базуватися на епізоотичній  інформації про чутливість цільових патогенів на  місцевому/регіональному рівні.</w:t>
      </w:r>
    </w:p>
    <w:p w:rsidR="004A2AA5" w:rsidRPr="00DC0389" w:rsidRDefault="004A2AA5" w:rsidP="00FC1AC5">
      <w:pPr>
        <w:ind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Комбінацію спіраміцину та метронідазолу не слід використовувати емпірично як терапію першої лінії.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5.6 Використання під час вагітності, лактації, несучості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Не застосовувати тваринам у період вагітності та лактації.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5.7 Взаємодія з іншими засобами та інші форми взаємодії</w:t>
      </w:r>
    </w:p>
    <w:p w:rsidR="004A2AA5" w:rsidRPr="00DC0389" w:rsidRDefault="008E2EC4" w:rsidP="004A2AA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/>
        </w:rPr>
      </w:pPr>
      <w:r w:rsidRPr="00DC0389">
        <w:rPr>
          <w:lang w:val="uk-UA" w:eastAsia="en-US"/>
        </w:rPr>
        <w:t>Не застосовувати одночасно з іншими макролідами та нітроімідазолами.</w:t>
      </w:r>
      <w:r w:rsidR="004A2AA5" w:rsidRPr="00DC0389">
        <w:t xml:space="preserve"> </w:t>
      </w:r>
    </w:p>
    <w:p w:rsidR="004A2AA5" w:rsidRPr="00DC0389" w:rsidRDefault="004A2AA5" w:rsidP="004A2AA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Макроліди, такі як спіраміцин, є антагоністами пеніцилінів та цефалоспоринів.</w:t>
      </w:r>
    </w:p>
    <w:p w:rsidR="004A2AA5" w:rsidRPr="00DC0389" w:rsidRDefault="004A2AA5" w:rsidP="004A2AA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Метронідазол може пригнічувати печінковий метаболізм інших препаратів, наприклад, фенітоїну, циклоспорину та варфарину.</w:t>
      </w:r>
    </w:p>
    <w:p w:rsidR="008E2EC4" w:rsidRPr="00DC0389" w:rsidRDefault="004A2AA5" w:rsidP="004A2AA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Фенобарбітал може посилювати печінковий метаболізм метронідазолу, що призводить до зниження концентрації метронідазолу в сироватці крові.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5.8 Дози і способи введення тваринам різного віку</w:t>
      </w:r>
    </w:p>
    <w:p w:rsidR="001F655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Препарат застосовують тваринам індивідуально перорально з кормом або примусово на корінь язика у дозі: 75 000 MО спіраміцину і 12,5 мг метронідазолу на 1 кг маси тіла тварини, один раз на добу. </w:t>
      </w:r>
    </w:p>
    <w:p w:rsidR="001F655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eastAsia="en-US"/>
        </w:rPr>
      </w:pPr>
      <w:r w:rsidRPr="00DC0389">
        <w:rPr>
          <w:lang w:val="uk-UA" w:eastAsia="en-US"/>
        </w:rPr>
        <w:t>Залежно від маси тіла тварини фактичне дозування становить:</w:t>
      </w:r>
      <w:r w:rsidRPr="00DC0389">
        <w:rPr>
          <w:lang w:eastAsia="en-US"/>
        </w:rPr>
        <w:t xml:space="preserve"> </w:t>
      </w:r>
    </w:p>
    <w:tbl>
      <w:tblPr>
        <w:tblW w:w="0" w:type="auto"/>
        <w:tblInd w:w="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410"/>
        <w:gridCol w:w="2410"/>
        <w:gridCol w:w="2268"/>
      </w:tblGrid>
      <w:tr w:rsidR="00DC0389" w:rsidRPr="00DC0389" w:rsidTr="006058B5"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en-US"/>
              </w:rPr>
            </w:pPr>
            <w:r w:rsidRPr="00DC0389">
              <w:rPr>
                <w:bCs/>
                <w:lang w:val="uk-UA" w:eastAsia="uk-UA"/>
              </w:rPr>
              <w:t>Маса тіла тварини</w:t>
            </w:r>
          </w:p>
        </w:tc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DC0389">
              <w:rPr>
                <w:bCs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DC0389" w:rsidRPr="00DC0389" w:rsidTr="006058B5">
        <w:tc>
          <w:tcPr>
            <w:tcW w:w="1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DC0389">
              <w:rPr>
                <w:lang w:val="uk-UA" w:eastAsia="en-US"/>
              </w:rPr>
              <w:t>СТОМАВЕТТАБ (масою 120 мг)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DC0389">
              <w:rPr>
                <w:lang w:val="uk-UA" w:eastAsia="en-US"/>
              </w:rPr>
              <w:t>СТОМАВЕТТАБ (масою 600 мг)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DC0389">
              <w:rPr>
                <w:lang w:val="uk-UA" w:eastAsia="en-US"/>
              </w:rPr>
              <w:t>СТОМАВЕТТАБ (масою 1200 мг)</w:t>
            </w:r>
          </w:p>
        </w:tc>
      </w:tr>
      <w:tr w:rsidR="00DC0389" w:rsidRPr="00DC0389" w:rsidTr="006058B5"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en-US" w:eastAsia="uk-UA"/>
              </w:rPr>
              <w:t>2</w:t>
            </w:r>
            <w:r w:rsidRPr="00DC0389">
              <w:rPr>
                <w:lang w:val="uk-UA" w:eastAsia="uk-UA"/>
              </w:rPr>
              <w:t xml:space="preserve"> кг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1 таблетка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</w:tr>
      <w:tr w:rsidR="00DC0389" w:rsidRPr="00DC0389" w:rsidTr="006058B5"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en-US" w:eastAsia="uk-UA"/>
              </w:rPr>
              <w:t>10</w:t>
            </w:r>
            <w:r w:rsidRPr="00DC0389">
              <w:rPr>
                <w:lang w:val="uk-UA" w:eastAsia="uk-UA"/>
              </w:rPr>
              <w:t xml:space="preserve"> кг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1 таблетка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</w:tr>
      <w:tr w:rsidR="00DC0389" w:rsidRPr="00DC0389" w:rsidTr="006058B5"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en-US" w:eastAsia="uk-UA"/>
              </w:rPr>
              <w:t xml:space="preserve">20 </w:t>
            </w:r>
            <w:r w:rsidRPr="00DC0389">
              <w:rPr>
                <w:lang w:val="uk-UA" w:eastAsia="uk-UA"/>
              </w:rPr>
              <w:t>кг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554" w:rsidRPr="00DC0389" w:rsidRDefault="001F6554" w:rsidP="006058B5">
            <w:pPr>
              <w:suppressAutoHyphens w:val="0"/>
              <w:jc w:val="center"/>
              <w:rPr>
                <w:lang w:val="uk-UA" w:eastAsia="uk-UA"/>
              </w:rPr>
            </w:pPr>
            <w:r w:rsidRPr="00DC0389">
              <w:rPr>
                <w:lang w:val="uk-UA" w:eastAsia="uk-UA"/>
              </w:rPr>
              <w:t>1 таблетка</w:t>
            </w:r>
          </w:p>
        </w:tc>
      </w:tr>
    </w:tbl>
    <w:p w:rsidR="001F655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Дотримання дієти або особливого режиму годівлі не вимагається.</w:t>
      </w:r>
    </w:p>
    <w:p w:rsidR="001F655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Тривалість застосування препарату – 5-10 діб. </w:t>
      </w:r>
    </w:p>
    <w:p w:rsidR="008E2EC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За хронічних та тяжких випадків лікування, за рішенням та під постійним наглядом лікаря ветеринарної медицини, може бути подовжене.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5.9 Передозування (симптоми, невідкладні заходи, антидоти)</w:t>
      </w:r>
    </w:p>
    <w:p w:rsidR="008E2EC4" w:rsidRPr="00DC0389" w:rsidRDefault="006A1D63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За передозування</w:t>
      </w:r>
      <w:r w:rsidR="008E2EC4" w:rsidRPr="00DC0389">
        <w:rPr>
          <w:lang w:val="uk-UA" w:eastAsia="en-US"/>
        </w:rPr>
        <w:t xml:space="preserve"> у тварин може спостерігатися надмірне слиновиділення, розлад роботи травного </w:t>
      </w:r>
      <w:r w:rsidRPr="00DC0389">
        <w:rPr>
          <w:lang w:val="uk-UA" w:eastAsia="en-US"/>
        </w:rPr>
        <w:t>каналу</w:t>
      </w:r>
      <w:r w:rsidR="008E2EC4" w:rsidRPr="00DC0389">
        <w:rPr>
          <w:lang w:val="uk-UA" w:eastAsia="en-US"/>
        </w:rPr>
        <w:t>, пригнічений стан. За необхідності слід розпочати симптоматичне лікування.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eastAsia="en-US"/>
        </w:rPr>
        <w:t>5.</w:t>
      </w:r>
      <w:r w:rsidRPr="00DC0389">
        <w:rPr>
          <w:b/>
          <w:lang w:val="uk-UA" w:eastAsia="en-US"/>
        </w:rPr>
        <w:t>10</w:t>
      </w:r>
      <w:r w:rsidRPr="00DC0389">
        <w:rPr>
          <w:b/>
          <w:lang w:eastAsia="en-US"/>
        </w:rPr>
        <w:t xml:space="preserve"> Спеціальні застереження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При застосуванні препарату чітко дотримув</w:t>
      </w:r>
      <w:r w:rsidR="006A1D63" w:rsidRPr="00DC0389">
        <w:rPr>
          <w:lang w:val="uk-UA" w:eastAsia="en-US"/>
        </w:rPr>
        <w:t>атися рекомендованого дозування та визначити масу тіла тварини.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5.11 Період виведення (каренція)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 xml:space="preserve">Для непродуктивних тварин не </w:t>
      </w:r>
      <w:r w:rsidR="00DC0389" w:rsidRPr="00DC0389">
        <w:rPr>
          <w:lang w:val="uk-UA" w:eastAsia="en-US"/>
        </w:rPr>
        <w:t>вимагається</w:t>
      </w:r>
      <w:r w:rsidRPr="00DC0389">
        <w:rPr>
          <w:lang w:val="uk-UA" w:eastAsia="en-US"/>
        </w:rPr>
        <w:t>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8E2EC4" w:rsidRPr="00DC0389" w:rsidRDefault="006A1D63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Під час роботи</w:t>
      </w:r>
      <w:r w:rsidR="008E2EC4" w:rsidRPr="00DC0389">
        <w:rPr>
          <w:lang w:val="uk-UA" w:eastAsia="en-US"/>
        </w:rPr>
        <w:t xml:space="preserve"> з </w:t>
      </w:r>
      <w:r w:rsidRPr="00DC0389">
        <w:rPr>
          <w:lang w:val="uk-UA" w:eastAsia="en-US"/>
        </w:rPr>
        <w:t xml:space="preserve">ветеринарним </w:t>
      </w:r>
      <w:r w:rsidR="008E2EC4" w:rsidRPr="00DC0389">
        <w:rPr>
          <w:lang w:val="uk-UA" w:eastAsia="en-US"/>
        </w:rPr>
        <w:t xml:space="preserve">лікарським препаратом слід дотримуватися загальних правил особистої гігієни та техніки безпеки, що передбачені при роботі з </w:t>
      </w:r>
      <w:r w:rsidRPr="00DC0389">
        <w:rPr>
          <w:lang w:val="uk-UA" w:eastAsia="en-US"/>
        </w:rPr>
        <w:t xml:space="preserve">ветеринарними </w:t>
      </w:r>
      <w:r w:rsidR="008E2EC4" w:rsidRPr="00DC0389">
        <w:rPr>
          <w:lang w:val="uk-UA" w:eastAsia="en-US"/>
        </w:rPr>
        <w:t xml:space="preserve">лікарськими засобами. Людям з гіперчутливістю до компонентів препарату слід уникати прямого контакту з таблетками. У разі появи алергічних реакцій та/або при випадковому потраплянні препарату в </w:t>
      </w:r>
      <w:r w:rsidR="008E2EC4" w:rsidRPr="00DC0389">
        <w:rPr>
          <w:lang w:val="uk-UA" w:eastAsia="en-US"/>
        </w:rPr>
        <w:lastRenderedPageBreak/>
        <w:t>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6. Фармацевтичні особливості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eastAsia="en-US"/>
        </w:rPr>
      </w:pPr>
      <w:r w:rsidRPr="00DC0389">
        <w:rPr>
          <w:b/>
          <w:lang w:eastAsia="en-US"/>
        </w:rPr>
        <w:t>6.1 Форми несумісності (основні)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eastAsia="en-US"/>
        </w:rPr>
        <w:t xml:space="preserve">Не </w:t>
      </w:r>
      <w:r w:rsidRPr="00DC0389">
        <w:rPr>
          <w:lang w:val="uk-UA" w:eastAsia="en-US"/>
        </w:rPr>
        <w:t>встановлені</w:t>
      </w:r>
      <w:r w:rsidRPr="00DC0389">
        <w:rPr>
          <w:lang w:eastAsia="en-US"/>
        </w:rPr>
        <w:t>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6.2 Термін придатності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3 роки.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3 діб.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6.3 Особливі заходи зберігання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місці при температурі не вище 25°C.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6.4 Природа і склад контейнера первинного пакування</w:t>
      </w:r>
    </w:p>
    <w:p w:rsidR="001F6554" w:rsidRPr="00DC0389" w:rsidRDefault="001F6554" w:rsidP="001F655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DC0389">
        <w:rPr>
          <w:lang w:val="uk-UA" w:eastAsia="en-US"/>
        </w:rPr>
        <w:t>Блістери з ОПА/Al/ПВХ або з PET/PE та алюмінієвої фольги по 10 таблеток, упаковані в картонні коробки. Коробка з 1 блістером по 10 таблеток. Коробка з 2 блістерами по 10 таблеток.</w:t>
      </w:r>
    </w:p>
    <w:p w:rsidR="008E2EC4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b/>
          <w:lang w:eastAsia="en-US"/>
        </w:rPr>
      </w:pPr>
      <w:r w:rsidRPr="00DC0389">
        <w:rPr>
          <w:b/>
          <w:lang w:eastAsia="en-US"/>
        </w:rPr>
        <w:t>6.5 Особливі заходи безпеки при поводженні з невикористаним препаратом або із його залишками</w:t>
      </w:r>
    </w:p>
    <w:p w:rsidR="000114AF" w:rsidRPr="00DC0389" w:rsidRDefault="008E2EC4" w:rsidP="008E2E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snapToGrid w:val="0"/>
          <w:lang w:eastAsia="ru-RU"/>
        </w:rPr>
      </w:pPr>
      <w:r w:rsidRPr="00DC0389">
        <w:rPr>
          <w:lang w:eastAsia="en-US"/>
        </w:rPr>
        <w:t>Невикористаний або протермінований препарат утилізують відповідно до чинного законодавства</w:t>
      </w:r>
      <w:r w:rsidR="000114AF" w:rsidRPr="00DC0389">
        <w:rPr>
          <w:snapToGrid w:val="0"/>
          <w:lang w:eastAsia="ru-RU"/>
        </w:rPr>
        <w:t>.</w:t>
      </w:r>
    </w:p>
    <w:p w:rsidR="000114AF" w:rsidRPr="00DC0389" w:rsidRDefault="000114AF" w:rsidP="000114AF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DC0389">
        <w:rPr>
          <w:b/>
          <w:snapToGrid w:val="0"/>
          <w:lang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DC0389" w:rsidRPr="00DC0389" w:rsidTr="00A15FF2">
        <w:tc>
          <w:tcPr>
            <w:tcW w:w="9322" w:type="dxa"/>
            <w:hideMark/>
          </w:tcPr>
          <w:p w:rsidR="000114AF" w:rsidRPr="00DC0389" w:rsidRDefault="000114AF" w:rsidP="000114AF">
            <w:pPr>
              <w:suppressAutoHyphens w:val="0"/>
              <w:ind w:firstLine="567"/>
              <w:rPr>
                <w:lang w:eastAsia="en-US"/>
              </w:rPr>
            </w:pPr>
            <w:r w:rsidRPr="00DC0389">
              <w:rPr>
                <w:lang w:eastAsia="en-US"/>
              </w:rPr>
              <w:t>ТОВ "ВоВет", УКРАЇНА</w:t>
            </w:r>
          </w:p>
          <w:p w:rsidR="000114AF" w:rsidRPr="00DC0389" w:rsidRDefault="000114AF" w:rsidP="000114AF">
            <w:pPr>
              <w:suppressAutoHyphens w:val="0"/>
              <w:ind w:firstLine="567"/>
              <w:rPr>
                <w:lang w:val="uk-UA" w:eastAsia="en-US"/>
              </w:rPr>
            </w:pPr>
            <w:r w:rsidRPr="00DC0389">
              <w:rPr>
                <w:lang w:eastAsia="en-US"/>
              </w:rPr>
              <w:t>вул. Велика Діївська, буд. 221, м. Дніпро, Дніпропетровська обл., 49000</w:t>
            </w:r>
          </w:p>
        </w:tc>
        <w:tc>
          <w:tcPr>
            <w:tcW w:w="2452" w:type="dxa"/>
            <w:hideMark/>
          </w:tcPr>
          <w:p w:rsidR="000114AF" w:rsidRPr="00DC0389" w:rsidRDefault="000114AF" w:rsidP="000114AF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0114AF" w:rsidRPr="00DC0389" w:rsidRDefault="000114AF" w:rsidP="000114AF">
      <w:pPr>
        <w:suppressAutoHyphens w:val="0"/>
        <w:ind w:right="454" w:firstLine="567"/>
        <w:jc w:val="both"/>
        <w:rPr>
          <w:b/>
          <w:lang w:eastAsia="en-US"/>
        </w:rPr>
      </w:pPr>
      <w:r w:rsidRPr="00DC0389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DC0389" w:rsidRPr="00DC0389" w:rsidTr="00A15FF2">
        <w:tc>
          <w:tcPr>
            <w:tcW w:w="8755" w:type="dxa"/>
            <w:hideMark/>
          </w:tcPr>
          <w:p w:rsidR="000114AF" w:rsidRPr="00DC0389" w:rsidRDefault="000114AF" w:rsidP="000114AF">
            <w:pPr>
              <w:suppressAutoHyphens w:val="0"/>
              <w:rPr>
                <w:lang w:eastAsia="en-US"/>
              </w:rPr>
            </w:pPr>
            <w:r w:rsidRPr="00DC0389">
              <w:rPr>
                <w:lang w:eastAsia="en-US"/>
              </w:rPr>
              <w:t xml:space="preserve">         ТОВ "МЕДІПРОМТЕК", УКРАЇНА</w:t>
            </w:r>
          </w:p>
          <w:p w:rsidR="000114AF" w:rsidRPr="00DC0389" w:rsidRDefault="000114AF" w:rsidP="000114AF">
            <w:pPr>
              <w:suppressAutoHyphens w:val="0"/>
              <w:rPr>
                <w:lang w:val="uk-UA" w:eastAsia="en-US"/>
              </w:rPr>
            </w:pPr>
            <w:r w:rsidRPr="00DC0389">
              <w:rPr>
                <w:lang w:eastAsia="en-US"/>
              </w:rPr>
              <w:t xml:space="preserve">         вул. Стельмаха, буд. 9, м. Ірпінь, Київська обл., 08200</w:t>
            </w:r>
          </w:p>
        </w:tc>
      </w:tr>
    </w:tbl>
    <w:p w:rsidR="000114AF" w:rsidRPr="00DC0389" w:rsidRDefault="000114AF" w:rsidP="000114AF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DC0389">
        <w:rPr>
          <w:b/>
          <w:lang w:val="uk-UA" w:eastAsia="en-US"/>
        </w:rPr>
        <w:t>9. Додаткова інформація</w:t>
      </w:r>
      <w:bookmarkStart w:id="0" w:name="_GoBack"/>
      <w:bookmarkEnd w:id="0"/>
    </w:p>
    <w:p w:rsidR="00AD42C4" w:rsidRPr="00DC0389" w:rsidRDefault="00AD42C4">
      <w:pPr>
        <w:jc w:val="center"/>
        <w:rPr>
          <w:b/>
          <w:lang w:val="uk-UA"/>
        </w:rPr>
      </w:pPr>
    </w:p>
    <w:sectPr w:rsidR="00AD42C4" w:rsidRPr="00DC0389" w:rsidSect="009D0B3C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20" w:rsidRDefault="005E6120">
      <w:r>
        <w:separator/>
      </w:r>
    </w:p>
  </w:endnote>
  <w:endnote w:type="continuationSeparator" w:id="0">
    <w:p w:rsidR="005E6120" w:rsidRDefault="005E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5E6120">
    <w:pPr>
      <w:pStyle w:val="ae"/>
    </w:pPr>
    <w:r>
      <w:rPr>
        <w:noProof/>
        <w:lang w:val="uk-UA"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<v:fill opacity="0"/>
          <v:textbox inset="0,0,0,0">
            <w:txbxContent>
              <w:p w:rsidR="00AD42C4" w:rsidRDefault="009D0B3C">
                <w:pPr>
                  <w:pStyle w:val="ae"/>
                </w:pPr>
                <w:r>
                  <w:rPr>
                    <w:rStyle w:val="a6"/>
                  </w:rPr>
                  <w:fldChar w:fldCharType="begin"/>
                </w:r>
                <w:r w:rsidR="00AD42C4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DC0389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AD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20" w:rsidRDefault="005E6120">
      <w:r>
        <w:separator/>
      </w:r>
    </w:p>
  </w:footnote>
  <w:footnote w:type="continuationSeparator" w:id="0">
    <w:p w:rsidR="005E6120" w:rsidRDefault="005E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299"/>
    <w:rsid w:val="000114AF"/>
    <w:rsid w:val="000123FB"/>
    <w:rsid w:val="000151C4"/>
    <w:rsid w:val="00054EC9"/>
    <w:rsid w:val="00070B63"/>
    <w:rsid w:val="00113BD0"/>
    <w:rsid w:val="00117259"/>
    <w:rsid w:val="00136B57"/>
    <w:rsid w:val="001629FF"/>
    <w:rsid w:val="00175D6D"/>
    <w:rsid w:val="00182F3F"/>
    <w:rsid w:val="001A604F"/>
    <w:rsid w:val="001B4D32"/>
    <w:rsid w:val="001D6374"/>
    <w:rsid w:val="001D6B10"/>
    <w:rsid w:val="001E1EC7"/>
    <w:rsid w:val="001F6554"/>
    <w:rsid w:val="00202D82"/>
    <w:rsid w:val="00273357"/>
    <w:rsid w:val="002877BC"/>
    <w:rsid w:val="002B0E4E"/>
    <w:rsid w:val="002B48AC"/>
    <w:rsid w:val="002C0438"/>
    <w:rsid w:val="002C5BB4"/>
    <w:rsid w:val="003258B2"/>
    <w:rsid w:val="003A4A15"/>
    <w:rsid w:val="003D40F4"/>
    <w:rsid w:val="003D64D5"/>
    <w:rsid w:val="003D7C75"/>
    <w:rsid w:val="003D7D12"/>
    <w:rsid w:val="003E4396"/>
    <w:rsid w:val="003F1CBF"/>
    <w:rsid w:val="003F1EF6"/>
    <w:rsid w:val="004504E6"/>
    <w:rsid w:val="00451A94"/>
    <w:rsid w:val="0046611C"/>
    <w:rsid w:val="004A2AA5"/>
    <w:rsid w:val="004B21B2"/>
    <w:rsid w:val="00503696"/>
    <w:rsid w:val="0056232D"/>
    <w:rsid w:val="005963FB"/>
    <w:rsid w:val="005D25CA"/>
    <w:rsid w:val="005E6120"/>
    <w:rsid w:val="00624EDF"/>
    <w:rsid w:val="006454D0"/>
    <w:rsid w:val="00664FC5"/>
    <w:rsid w:val="006A1D63"/>
    <w:rsid w:val="006B7D2D"/>
    <w:rsid w:val="00744BD3"/>
    <w:rsid w:val="00750304"/>
    <w:rsid w:val="0077088D"/>
    <w:rsid w:val="00797215"/>
    <w:rsid w:val="007F729C"/>
    <w:rsid w:val="0080473A"/>
    <w:rsid w:val="00823D72"/>
    <w:rsid w:val="0085012B"/>
    <w:rsid w:val="00895840"/>
    <w:rsid w:val="008A7961"/>
    <w:rsid w:val="008D5120"/>
    <w:rsid w:val="008E2EC4"/>
    <w:rsid w:val="00903BE6"/>
    <w:rsid w:val="00903DD5"/>
    <w:rsid w:val="00917656"/>
    <w:rsid w:val="00920B30"/>
    <w:rsid w:val="009929E8"/>
    <w:rsid w:val="009B5299"/>
    <w:rsid w:val="009D0B3C"/>
    <w:rsid w:val="009F6502"/>
    <w:rsid w:val="00A023CF"/>
    <w:rsid w:val="00A0752F"/>
    <w:rsid w:val="00A15FF2"/>
    <w:rsid w:val="00AD42C4"/>
    <w:rsid w:val="00AF0735"/>
    <w:rsid w:val="00B26132"/>
    <w:rsid w:val="00B4074A"/>
    <w:rsid w:val="00B9057D"/>
    <w:rsid w:val="00BB3DCD"/>
    <w:rsid w:val="00BD2077"/>
    <w:rsid w:val="00C44D33"/>
    <w:rsid w:val="00D4041C"/>
    <w:rsid w:val="00D47BA9"/>
    <w:rsid w:val="00D63A6B"/>
    <w:rsid w:val="00D7246C"/>
    <w:rsid w:val="00D84ADC"/>
    <w:rsid w:val="00D85FFF"/>
    <w:rsid w:val="00D967C8"/>
    <w:rsid w:val="00DA1758"/>
    <w:rsid w:val="00DB0A2A"/>
    <w:rsid w:val="00DC0389"/>
    <w:rsid w:val="00DC667E"/>
    <w:rsid w:val="00DD1F4B"/>
    <w:rsid w:val="00DD31E5"/>
    <w:rsid w:val="00DF5B98"/>
    <w:rsid w:val="00E45B81"/>
    <w:rsid w:val="00E51620"/>
    <w:rsid w:val="00E56CCE"/>
    <w:rsid w:val="00E7518F"/>
    <w:rsid w:val="00E77844"/>
    <w:rsid w:val="00EE6717"/>
    <w:rsid w:val="00F02D7D"/>
    <w:rsid w:val="00F575A9"/>
    <w:rsid w:val="00FC1AC5"/>
    <w:rsid w:val="00FC5049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1CF4D7"/>
  <w15:docId w15:val="{76075F18-E297-44A3-B8A4-E84B4644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3C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D0B3C"/>
  </w:style>
  <w:style w:type="character" w:customStyle="1" w:styleId="WW-Absatz-Standardschriftart">
    <w:name w:val="WW-Absatz-Standardschriftart"/>
    <w:rsid w:val="009D0B3C"/>
  </w:style>
  <w:style w:type="character" w:customStyle="1" w:styleId="WW8NumSt1z0">
    <w:name w:val="WW8NumSt1z0"/>
    <w:rsid w:val="009D0B3C"/>
    <w:rPr>
      <w:rFonts w:ascii="Arial" w:hAnsi="Arial"/>
    </w:rPr>
  </w:style>
  <w:style w:type="character" w:customStyle="1" w:styleId="WW8NumSt2z0">
    <w:name w:val="WW8NumSt2z0"/>
    <w:rsid w:val="009D0B3C"/>
    <w:rPr>
      <w:rFonts w:ascii="Arial" w:hAnsi="Arial" w:cs="Arial"/>
    </w:rPr>
  </w:style>
  <w:style w:type="character" w:customStyle="1" w:styleId="1">
    <w:name w:val="Основной шрифт абзаца1"/>
    <w:rsid w:val="009D0B3C"/>
  </w:style>
  <w:style w:type="character" w:customStyle="1" w:styleId="a3">
    <w:name w:val="Знак"/>
    <w:basedOn w:val="1"/>
    <w:rsid w:val="009D0B3C"/>
  </w:style>
  <w:style w:type="character" w:customStyle="1" w:styleId="a4">
    <w:name w:val="Символи виноски"/>
    <w:rsid w:val="009D0B3C"/>
    <w:rPr>
      <w:vertAlign w:val="superscript"/>
    </w:rPr>
  </w:style>
  <w:style w:type="character" w:styleId="a5">
    <w:name w:val="Hyperlink"/>
    <w:semiHidden/>
    <w:rsid w:val="009D0B3C"/>
    <w:rPr>
      <w:color w:val="0000FF"/>
      <w:u w:val="single"/>
    </w:rPr>
  </w:style>
  <w:style w:type="character" w:styleId="a6">
    <w:name w:val="page number"/>
    <w:basedOn w:val="1"/>
    <w:semiHidden/>
    <w:rsid w:val="009D0B3C"/>
  </w:style>
  <w:style w:type="character" w:customStyle="1" w:styleId="a7">
    <w:name w:val="Печатная машинка"/>
    <w:rsid w:val="009D0B3C"/>
    <w:rPr>
      <w:rFonts w:ascii="Courier New" w:hAnsi="Courier New"/>
      <w:sz w:val="20"/>
    </w:rPr>
  </w:style>
  <w:style w:type="paragraph" w:styleId="a8">
    <w:name w:val="Title"/>
    <w:basedOn w:val="a"/>
    <w:next w:val="a9"/>
    <w:rsid w:val="009D0B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9D0B3C"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sid w:val="009D0B3C"/>
    <w:rPr>
      <w:rFonts w:cs="Tahoma"/>
    </w:rPr>
  </w:style>
  <w:style w:type="paragraph" w:customStyle="1" w:styleId="10">
    <w:name w:val="Назва1"/>
    <w:basedOn w:val="a"/>
    <w:rsid w:val="009D0B3C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Покажчик"/>
    <w:basedOn w:val="a"/>
    <w:rsid w:val="009D0B3C"/>
    <w:pPr>
      <w:suppressLineNumbers/>
    </w:pPr>
    <w:rPr>
      <w:rFonts w:cs="Tahoma"/>
    </w:rPr>
  </w:style>
  <w:style w:type="paragraph" w:styleId="ac">
    <w:name w:val="footnote text"/>
    <w:basedOn w:val="a"/>
    <w:semiHidden/>
    <w:rsid w:val="009D0B3C"/>
    <w:rPr>
      <w:sz w:val="20"/>
      <w:szCs w:val="20"/>
    </w:rPr>
  </w:style>
  <w:style w:type="paragraph" w:customStyle="1" w:styleId="32">
    <w:name w:val="Основной текст с отступом 32"/>
    <w:basedOn w:val="a"/>
    <w:rsid w:val="009D0B3C"/>
    <w:pPr>
      <w:spacing w:after="120"/>
      <w:ind w:left="283"/>
    </w:pPr>
    <w:rPr>
      <w:sz w:val="16"/>
      <w:szCs w:val="16"/>
    </w:rPr>
  </w:style>
  <w:style w:type="paragraph" w:styleId="ad">
    <w:name w:val="header"/>
    <w:basedOn w:val="a"/>
    <w:semiHidden/>
    <w:rsid w:val="009D0B3C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rsid w:val="009D0B3C"/>
    <w:pPr>
      <w:spacing w:after="120" w:line="480" w:lineRule="auto"/>
    </w:pPr>
  </w:style>
  <w:style w:type="paragraph" w:customStyle="1" w:styleId="31">
    <w:name w:val="Основной текст с отступом 31"/>
    <w:basedOn w:val="a"/>
    <w:rsid w:val="009D0B3C"/>
    <w:pPr>
      <w:widowControl w:val="0"/>
      <w:ind w:firstLine="720"/>
      <w:jc w:val="both"/>
    </w:pPr>
    <w:rPr>
      <w:b/>
      <w:szCs w:val="20"/>
      <w:lang w:val="uk-UA"/>
    </w:rPr>
  </w:style>
  <w:style w:type="paragraph" w:styleId="ae">
    <w:name w:val="footer"/>
    <w:basedOn w:val="a"/>
    <w:semiHidden/>
    <w:rsid w:val="009D0B3C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9D0B3C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rsid w:val="009D0B3C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rsid w:val="009D0B3C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rsid w:val="009D0B3C"/>
    <w:pPr>
      <w:widowControl w:val="0"/>
      <w:jc w:val="center"/>
    </w:pPr>
    <w:rPr>
      <w:b/>
      <w:szCs w:val="20"/>
      <w:lang w:val="uk-UA"/>
    </w:rPr>
  </w:style>
  <w:style w:type="paragraph" w:customStyle="1" w:styleId="af">
    <w:name w:val="Вміст таблиці"/>
    <w:basedOn w:val="a"/>
    <w:rsid w:val="009D0B3C"/>
    <w:pPr>
      <w:suppressLineNumbers/>
    </w:pPr>
  </w:style>
  <w:style w:type="paragraph" w:customStyle="1" w:styleId="af0">
    <w:name w:val="Заголовок таблиці"/>
    <w:basedOn w:val="af"/>
    <w:rsid w:val="009D0B3C"/>
    <w:pPr>
      <w:jc w:val="center"/>
    </w:pPr>
    <w:rPr>
      <w:b/>
      <w:bCs/>
    </w:rPr>
  </w:style>
  <w:style w:type="paragraph" w:customStyle="1" w:styleId="af1">
    <w:name w:val="Вміст кадру"/>
    <w:basedOn w:val="a9"/>
    <w:rsid w:val="009D0B3C"/>
  </w:style>
  <w:style w:type="character" w:styleId="af2">
    <w:name w:val="annotation reference"/>
    <w:basedOn w:val="a0"/>
    <w:uiPriority w:val="99"/>
    <w:semiHidden/>
    <w:unhideWhenUsed/>
    <w:rsid w:val="005963F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63FB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5963FB"/>
    <w:rPr>
      <w:lang w:val="ru-RU"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63FB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5963FB"/>
    <w:rPr>
      <w:b/>
      <w:bCs/>
      <w:lang w:val="ru-RU" w:eastAsia="ar-SA"/>
    </w:rPr>
  </w:style>
  <w:style w:type="paragraph" w:styleId="af7">
    <w:name w:val="Balloon Text"/>
    <w:basedOn w:val="a"/>
    <w:link w:val="af8"/>
    <w:uiPriority w:val="99"/>
    <w:semiHidden/>
    <w:unhideWhenUsed/>
    <w:rsid w:val="005963FB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5963FB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5192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admin</cp:lastModifiedBy>
  <cp:revision>6</cp:revision>
  <cp:lastPrinted>1900-12-31T22:00:00Z</cp:lastPrinted>
  <dcterms:created xsi:type="dcterms:W3CDTF">2026-01-12T07:27:00Z</dcterms:created>
  <dcterms:modified xsi:type="dcterms:W3CDTF">2026-01-17T09:07:00Z</dcterms:modified>
</cp:coreProperties>
</file>