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E59" w:rsidRPr="001D54EE" w:rsidRDefault="00326E59" w:rsidP="00326E59">
      <w:pPr>
        <w:ind w:left="-720"/>
        <w:jc w:val="right"/>
        <w:rPr>
          <w:lang w:val="uk-UA"/>
        </w:rPr>
      </w:pPr>
      <w:r w:rsidRPr="001D54EE">
        <w:rPr>
          <w:lang w:val="uk-UA"/>
        </w:rPr>
        <w:t>Додаток 1</w:t>
      </w:r>
    </w:p>
    <w:p w:rsidR="00326E59" w:rsidRPr="001D54EE" w:rsidRDefault="00326E59" w:rsidP="00326E59">
      <w:pPr>
        <w:ind w:left="-720"/>
        <w:jc w:val="right"/>
        <w:rPr>
          <w:lang w:val="uk-UA"/>
        </w:rPr>
      </w:pPr>
      <w:r w:rsidRPr="001D54EE">
        <w:rPr>
          <w:lang w:val="uk-UA"/>
        </w:rPr>
        <w:t xml:space="preserve">до реєстраційного посвідчення </w:t>
      </w:r>
      <w:r w:rsidR="00F40EDE" w:rsidRPr="001D54EE">
        <w:rPr>
          <w:lang w:val="uk-UA"/>
        </w:rPr>
        <w:t>АВ-01019-01-10</w:t>
      </w:r>
    </w:p>
    <w:p w:rsidR="00326E59" w:rsidRPr="001D54EE" w:rsidRDefault="00326E59" w:rsidP="00326E59">
      <w:pPr>
        <w:ind w:left="-720"/>
        <w:jc w:val="right"/>
        <w:rPr>
          <w:lang w:val="uk-UA"/>
        </w:rPr>
      </w:pPr>
    </w:p>
    <w:p w:rsidR="002E685A" w:rsidRPr="001D54EE" w:rsidRDefault="002E685A" w:rsidP="002E685A">
      <w:pPr>
        <w:ind w:left="-720"/>
        <w:jc w:val="center"/>
        <w:rPr>
          <w:b/>
          <w:lang w:val="uk-UA"/>
        </w:rPr>
      </w:pPr>
      <w:r w:rsidRPr="001D54EE">
        <w:rPr>
          <w:b/>
          <w:lang w:val="uk-UA"/>
        </w:rPr>
        <w:t>Коротка  характеристика  препарату</w:t>
      </w:r>
    </w:p>
    <w:p w:rsidR="00326E59" w:rsidRPr="001D54EE" w:rsidRDefault="00326E59" w:rsidP="002E685A">
      <w:pPr>
        <w:ind w:left="-720"/>
        <w:jc w:val="center"/>
        <w:rPr>
          <w:b/>
          <w:lang w:val="uk-UA"/>
        </w:rPr>
      </w:pPr>
    </w:p>
    <w:p w:rsidR="002E685A" w:rsidRPr="001D54EE" w:rsidRDefault="002E685A" w:rsidP="002E685A">
      <w:pPr>
        <w:ind w:firstLine="567"/>
        <w:rPr>
          <w:lang w:val="uk-UA"/>
        </w:rPr>
      </w:pPr>
      <w:r w:rsidRPr="001D54EE">
        <w:rPr>
          <w:b/>
          <w:lang w:val="uk-UA"/>
        </w:rPr>
        <w:t xml:space="preserve">1.  Назва  </w:t>
      </w:r>
      <w:r w:rsidRPr="001D54EE">
        <w:rPr>
          <w:lang w:val="uk-UA"/>
        </w:rPr>
        <w:t xml:space="preserve">       </w:t>
      </w:r>
    </w:p>
    <w:p w:rsidR="002E685A" w:rsidRPr="001D54EE" w:rsidRDefault="002E685A" w:rsidP="002E685A">
      <w:pPr>
        <w:ind w:firstLine="567"/>
        <w:rPr>
          <w:lang w:val="uk-UA"/>
        </w:rPr>
      </w:pPr>
      <w:r w:rsidRPr="001D54EE">
        <w:rPr>
          <w:lang w:val="uk-UA"/>
        </w:rPr>
        <w:t>ТРИМЕРАТИНВЕТ порошок</w:t>
      </w:r>
      <w:r w:rsidR="00CA4AE5" w:rsidRPr="001D54EE">
        <w:rPr>
          <w:lang w:val="uk-UA"/>
        </w:rPr>
        <w:t xml:space="preserve"> </w:t>
      </w:r>
    </w:p>
    <w:p w:rsidR="002E685A" w:rsidRPr="001D54EE" w:rsidRDefault="002E685A" w:rsidP="002E685A">
      <w:pPr>
        <w:ind w:firstLine="567"/>
      </w:pPr>
      <w:r w:rsidRPr="001D54EE">
        <w:rPr>
          <w:b/>
          <w:lang w:val="uk-UA"/>
        </w:rPr>
        <w:t>2. Склад</w:t>
      </w:r>
      <w:r w:rsidRPr="001D54EE">
        <w:rPr>
          <w:lang w:val="uk-UA"/>
        </w:rPr>
        <w:t>:</w:t>
      </w:r>
    </w:p>
    <w:p w:rsidR="002E685A" w:rsidRPr="001D54EE" w:rsidRDefault="002E685A" w:rsidP="002E685A">
      <w:pPr>
        <w:pStyle w:val="11"/>
        <w:ind w:firstLine="567"/>
        <w:rPr>
          <w:sz w:val="24"/>
          <w:szCs w:val="24"/>
          <w:lang w:val="uk-UA"/>
        </w:rPr>
      </w:pPr>
      <w:r w:rsidRPr="001D54EE">
        <w:rPr>
          <w:sz w:val="24"/>
          <w:szCs w:val="24"/>
          <w:lang w:val="uk-UA"/>
        </w:rPr>
        <w:t>1 г  препарату містить діючі речовини:</w:t>
      </w:r>
    </w:p>
    <w:p w:rsidR="002E685A" w:rsidRPr="001D54EE" w:rsidRDefault="002E685A" w:rsidP="002E685A">
      <w:pPr>
        <w:pStyle w:val="11"/>
        <w:ind w:firstLine="567"/>
        <w:rPr>
          <w:sz w:val="24"/>
          <w:szCs w:val="24"/>
          <w:lang w:val="uk-UA"/>
        </w:rPr>
      </w:pPr>
      <w:r w:rsidRPr="001D54EE">
        <w:rPr>
          <w:sz w:val="24"/>
          <w:szCs w:val="24"/>
          <w:lang w:val="uk-UA"/>
        </w:rPr>
        <w:t>сульфадимезин - 100,0 мг;</w:t>
      </w:r>
    </w:p>
    <w:p w:rsidR="002E685A" w:rsidRPr="001D54EE" w:rsidRDefault="002E685A" w:rsidP="002E685A">
      <w:pPr>
        <w:pStyle w:val="11"/>
        <w:ind w:firstLine="567"/>
        <w:rPr>
          <w:sz w:val="24"/>
          <w:szCs w:val="24"/>
          <w:lang w:val="uk-UA"/>
        </w:rPr>
      </w:pPr>
      <w:r w:rsidRPr="001D54EE">
        <w:rPr>
          <w:sz w:val="24"/>
          <w:szCs w:val="24"/>
          <w:lang w:val="uk-UA"/>
        </w:rPr>
        <w:t>триметоприм – 20, 0 мг.</w:t>
      </w:r>
    </w:p>
    <w:p w:rsidR="002E685A" w:rsidRPr="001D54EE" w:rsidRDefault="002E685A" w:rsidP="002E685A">
      <w:pPr>
        <w:ind w:firstLine="567"/>
        <w:rPr>
          <w:b/>
          <w:lang w:val="uk-UA"/>
        </w:rPr>
      </w:pPr>
      <w:r w:rsidRPr="001D54EE">
        <w:rPr>
          <w:lang w:val="uk-UA"/>
        </w:rPr>
        <w:t>Допоміжні речовини: натрію цитрат.</w:t>
      </w:r>
    </w:p>
    <w:p w:rsidR="002E685A" w:rsidRPr="001D54EE" w:rsidRDefault="002E685A" w:rsidP="002E685A">
      <w:pPr>
        <w:ind w:firstLine="567"/>
        <w:rPr>
          <w:b/>
          <w:lang w:val="uk-UA"/>
        </w:rPr>
      </w:pPr>
      <w:r w:rsidRPr="001D54EE">
        <w:rPr>
          <w:b/>
          <w:lang w:val="uk-UA"/>
        </w:rPr>
        <w:t>3. Фармацевтична  форма</w:t>
      </w:r>
    </w:p>
    <w:p w:rsidR="002E685A" w:rsidRPr="001D54EE" w:rsidRDefault="002E685A" w:rsidP="002E685A">
      <w:pPr>
        <w:ind w:firstLine="567"/>
        <w:rPr>
          <w:lang w:val="uk-UA"/>
        </w:rPr>
      </w:pPr>
      <w:r w:rsidRPr="001D54EE">
        <w:rPr>
          <w:lang w:val="uk-UA"/>
        </w:rPr>
        <w:t>Водорозчинний порошок для перорального застосування.</w:t>
      </w:r>
    </w:p>
    <w:p w:rsidR="002E685A" w:rsidRPr="001D54EE" w:rsidRDefault="002E685A" w:rsidP="002E685A">
      <w:pPr>
        <w:ind w:firstLine="567"/>
        <w:rPr>
          <w:b/>
          <w:lang w:val="uk-UA"/>
        </w:rPr>
      </w:pPr>
      <w:r w:rsidRPr="001D54EE">
        <w:rPr>
          <w:b/>
          <w:lang w:val="uk-UA"/>
        </w:rPr>
        <w:t>4. Фармакологічні  властивості</w:t>
      </w:r>
    </w:p>
    <w:p w:rsidR="00551B0E" w:rsidRPr="001D54EE" w:rsidRDefault="00551B0E" w:rsidP="00551B0E">
      <w:pPr>
        <w:ind w:firstLine="567"/>
        <w:jc w:val="both"/>
        <w:rPr>
          <w:i/>
          <w:lang w:val="uk-UA"/>
        </w:rPr>
      </w:pPr>
      <w:r w:rsidRPr="001D54EE">
        <w:rPr>
          <w:b/>
          <w:i/>
          <w:lang w:val="uk-UA"/>
        </w:rPr>
        <w:t xml:space="preserve">АТС </w:t>
      </w:r>
      <w:r w:rsidRPr="001D54EE">
        <w:rPr>
          <w:b/>
          <w:i/>
        </w:rPr>
        <w:t>vet</w:t>
      </w:r>
      <w:r w:rsidRPr="001D54EE">
        <w:rPr>
          <w:b/>
          <w:i/>
          <w:lang w:val="uk-UA"/>
        </w:rPr>
        <w:t xml:space="preserve"> класифікаційний код </w:t>
      </w:r>
      <w:r w:rsidRPr="001D54EE">
        <w:rPr>
          <w:b/>
          <w:i/>
        </w:rPr>
        <w:t>QJ</w:t>
      </w:r>
      <w:r w:rsidRPr="001D54EE">
        <w:rPr>
          <w:b/>
          <w:i/>
          <w:lang w:val="uk-UA"/>
        </w:rPr>
        <w:t xml:space="preserve">01 – антибактеріальні ветеринарні препарати для системного застосування. </w:t>
      </w:r>
      <w:r w:rsidRPr="001D54EE">
        <w:rPr>
          <w:b/>
          <w:i/>
        </w:rPr>
        <w:t>QJ</w:t>
      </w:r>
      <w:r w:rsidRPr="001D54EE">
        <w:rPr>
          <w:b/>
          <w:i/>
          <w:lang w:val="uk-UA"/>
        </w:rPr>
        <w:t>01</w:t>
      </w:r>
      <w:r w:rsidRPr="001D54EE">
        <w:rPr>
          <w:b/>
          <w:i/>
        </w:rPr>
        <w:t>EW</w:t>
      </w:r>
      <w:r w:rsidRPr="001D54EE">
        <w:rPr>
          <w:b/>
          <w:i/>
          <w:lang w:val="uk-UA"/>
        </w:rPr>
        <w:t>03 - Комбінація сульфаніламідів і триметоприму</w:t>
      </w:r>
      <w:r w:rsidRPr="001D54EE">
        <w:rPr>
          <w:i/>
          <w:lang w:val="uk-UA"/>
        </w:rPr>
        <w:t xml:space="preserve">. </w:t>
      </w:r>
      <w:r w:rsidRPr="001D54EE">
        <w:rPr>
          <w:rStyle w:val="a8"/>
          <w:bCs w:val="0"/>
          <w:i/>
          <w:lang w:val="uk-UA"/>
        </w:rPr>
        <w:t>Сульфадимідин (сульфадимезин) та триметоприм</w:t>
      </w:r>
      <w:r w:rsidRPr="001D54EE">
        <w:rPr>
          <w:i/>
          <w:lang w:val="uk-UA"/>
        </w:rPr>
        <w:t>.</w:t>
      </w:r>
    </w:p>
    <w:p w:rsidR="00551B0E" w:rsidRPr="001D54EE" w:rsidRDefault="00551B0E" w:rsidP="00551B0E">
      <w:pPr>
        <w:ind w:firstLine="567"/>
        <w:jc w:val="both"/>
        <w:rPr>
          <w:lang w:val="uk-UA"/>
        </w:rPr>
      </w:pPr>
      <w:r w:rsidRPr="001D54EE">
        <w:rPr>
          <w:lang w:val="uk-UA"/>
        </w:rPr>
        <w:t>ТРИМЕРАТИНВЕТ порошок - комбінований препарат, до складу якого входять сульфадимезин та триметоприм. Дія препарату зумовлена дією вищезгаданих компонентів, які в поєднанні проявляють синергічну дію, в результаті чого активність препарату значно вища, ніж активність окремо взятих компонентів.</w:t>
      </w:r>
    </w:p>
    <w:p w:rsidR="00551B0E" w:rsidRPr="001D54EE" w:rsidRDefault="00551B0E" w:rsidP="00551B0E">
      <w:pPr>
        <w:pStyle w:val="6"/>
        <w:spacing w:before="0" w:after="0"/>
        <w:ind w:firstLine="567"/>
        <w:jc w:val="both"/>
        <w:rPr>
          <w:b w:val="0"/>
          <w:sz w:val="24"/>
          <w:szCs w:val="24"/>
          <w:lang w:val="uk-UA"/>
        </w:rPr>
      </w:pPr>
      <w:r w:rsidRPr="001D54EE">
        <w:rPr>
          <w:b w:val="0"/>
          <w:sz w:val="24"/>
          <w:szCs w:val="24"/>
          <w:lang w:val="uk-UA"/>
        </w:rPr>
        <w:t>Сульфадимезин та триметоприм діють бактеріостатично проти грампозитивних (</w:t>
      </w:r>
      <w:r w:rsidRPr="001D54EE">
        <w:rPr>
          <w:rStyle w:val="a9"/>
          <w:rFonts w:eastAsia="Candara"/>
          <w:b w:val="0"/>
          <w:color w:val="auto"/>
          <w:sz w:val="24"/>
          <w:szCs w:val="24"/>
          <w:lang w:val="de-DE"/>
        </w:rPr>
        <w:t>Staphylococcus</w:t>
      </w:r>
      <w:r w:rsidRPr="001D54EE">
        <w:rPr>
          <w:rStyle w:val="a9"/>
          <w:rFonts w:eastAsia="Candara"/>
          <w:b w:val="0"/>
          <w:color w:val="auto"/>
          <w:sz w:val="24"/>
          <w:szCs w:val="24"/>
          <w:lang w:val="uk-UA"/>
        </w:rPr>
        <w:t xml:space="preserve"> </w:t>
      </w:r>
      <w:r w:rsidRPr="001D54EE">
        <w:rPr>
          <w:rStyle w:val="a9"/>
          <w:rFonts w:eastAsia="Candara"/>
          <w:b w:val="0"/>
          <w:color w:val="auto"/>
          <w:sz w:val="24"/>
          <w:szCs w:val="24"/>
          <w:lang w:val="de-DE"/>
        </w:rPr>
        <w:t>spp</w:t>
      </w:r>
      <w:r w:rsidRPr="001D54EE">
        <w:rPr>
          <w:rStyle w:val="a9"/>
          <w:rFonts w:eastAsia="Candara"/>
          <w:b w:val="0"/>
          <w:color w:val="auto"/>
          <w:sz w:val="24"/>
          <w:szCs w:val="24"/>
          <w:lang w:val="uk-UA"/>
        </w:rPr>
        <w:t xml:space="preserve">., </w:t>
      </w:r>
      <w:r w:rsidRPr="001D54EE">
        <w:rPr>
          <w:rStyle w:val="a9"/>
          <w:rFonts w:eastAsia="Candara"/>
          <w:b w:val="0"/>
          <w:color w:val="auto"/>
          <w:sz w:val="24"/>
          <w:szCs w:val="24"/>
          <w:lang w:val="de-DE"/>
        </w:rPr>
        <w:t>Streptococcus</w:t>
      </w:r>
      <w:r w:rsidRPr="001D54EE">
        <w:rPr>
          <w:rStyle w:val="a9"/>
          <w:rFonts w:eastAsia="Candara"/>
          <w:b w:val="0"/>
          <w:color w:val="auto"/>
          <w:sz w:val="24"/>
          <w:szCs w:val="24"/>
          <w:lang w:val="uk-UA"/>
        </w:rPr>
        <w:t xml:space="preserve"> </w:t>
      </w:r>
      <w:r w:rsidRPr="001D54EE">
        <w:rPr>
          <w:rStyle w:val="a9"/>
          <w:rFonts w:eastAsia="Candara"/>
          <w:b w:val="0"/>
          <w:color w:val="auto"/>
          <w:sz w:val="24"/>
          <w:szCs w:val="24"/>
          <w:lang w:val="de-DE"/>
        </w:rPr>
        <w:t>spp</w:t>
      </w:r>
      <w:r w:rsidRPr="001D54EE">
        <w:rPr>
          <w:rStyle w:val="a9"/>
          <w:rFonts w:eastAsia="Candara"/>
          <w:b w:val="0"/>
          <w:color w:val="auto"/>
          <w:sz w:val="24"/>
          <w:szCs w:val="24"/>
          <w:lang w:val="uk-UA"/>
        </w:rPr>
        <w:t>.,</w:t>
      </w:r>
      <w:r w:rsidRPr="001D54EE">
        <w:rPr>
          <w:b w:val="0"/>
          <w:sz w:val="24"/>
          <w:szCs w:val="24"/>
          <w:lang w:val="uk-UA"/>
        </w:rPr>
        <w:t xml:space="preserve"> </w:t>
      </w:r>
      <w:r w:rsidRPr="001D54EE">
        <w:rPr>
          <w:rStyle w:val="a9"/>
          <w:rFonts w:eastAsia="Candara"/>
          <w:b w:val="0"/>
          <w:color w:val="auto"/>
          <w:sz w:val="24"/>
          <w:szCs w:val="24"/>
          <w:lang w:val="de-DE"/>
        </w:rPr>
        <w:t>Clostridium</w:t>
      </w:r>
      <w:r w:rsidRPr="001D54EE">
        <w:rPr>
          <w:rStyle w:val="a9"/>
          <w:rFonts w:eastAsia="Candara"/>
          <w:b w:val="0"/>
          <w:color w:val="auto"/>
          <w:sz w:val="24"/>
          <w:szCs w:val="24"/>
          <w:lang w:val="uk-UA"/>
        </w:rPr>
        <w:t xml:space="preserve"> </w:t>
      </w:r>
      <w:r w:rsidRPr="001D54EE">
        <w:rPr>
          <w:rStyle w:val="a9"/>
          <w:rFonts w:eastAsia="Candara"/>
          <w:b w:val="0"/>
          <w:color w:val="auto"/>
          <w:sz w:val="24"/>
          <w:szCs w:val="24"/>
          <w:lang w:val="de-DE"/>
        </w:rPr>
        <w:t>spp</w:t>
      </w:r>
      <w:r w:rsidRPr="001D54EE">
        <w:rPr>
          <w:rStyle w:val="a9"/>
          <w:rFonts w:eastAsia="Candara"/>
          <w:b w:val="0"/>
          <w:color w:val="auto"/>
          <w:sz w:val="24"/>
          <w:szCs w:val="24"/>
          <w:lang w:val="uk-UA"/>
        </w:rPr>
        <w:t>.,</w:t>
      </w:r>
      <w:r w:rsidRPr="001D54EE">
        <w:rPr>
          <w:b w:val="0"/>
          <w:sz w:val="24"/>
          <w:szCs w:val="24"/>
          <w:lang w:val="uk-UA"/>
        </w:rPr>
        <w:t xml:space="preserve"> </w:t>
      </w:r>
      <w:r w:rsidRPr="001D54EE">
        <w:rPr>
          <w:rStyle w:val="a9"/>
          <w:rFonts w:eastAsia="Candara"/>
          <w:b w:val="0"/>
          <w:color w:val="auto"/>
          <w:sz w:val="24"/>
          <w:szCs w:val="24"/>
          <w:lang w:val="de-DE"/>
        </w:rPr>
        <w:t>Lister</w:t>
      </w:r>
      <w:r w:rsidRPr="001D54EE">
        <w:rPr>
          <w:rStyle w:val="a9"/>
          <w:rFonts w:eastAsia="Candara"/>
          <w:b w:val="0"/>
          <w:color w:val="auto"/>
          <w:sz w:val="24"/>
          <w:szCs w:val="24"/>
          <w:lang w:val="uk-UA"/>
        </w:rPr>
        <w:t xml:space="preserve">іа </w:t>
      </w:r>
      <w:r w:rsidRPr="001D54EE">
        <w:rPr>
          <w:rStyle w:val="a9"/>
          <w:rFonts w:eastAsia="Candara"/>
          <w:b w:val="0"/>
          <w:color w:val="auto"/>
          <w:sz w:val="24"/>
          <w:szCs w:val="24"/>
          <w:lang w:val="de-DE"/>
        </w:rPr>
        <w:t>monocytogenes</w:t>
      </w:r>
      <w:r w:rsidRPr="001D54EE">
        <w:rPr>
          <w:rStyle w:val="a9"/>
          <w:rFonts w:eastAsia="Candara"/>
          <w:b w:val="0"/>
          <w:color w:val="auto"/>
          <w:sz w:val="24"/>
          <w:szCs w:val="24"/>
          <w:lang w:val="uk-UA"/>
        </w:rPr>
        <w:t>,</w:t>
      </w:r>
      <w:r w:rsidRPr="001D54EE">
        <w:rPr>
          <w:rStyle w:val="a9"/>
          <w:rFonts w:eastAsia="Candara"/>
          <w:b w:val="0"/>
          <w:color w:val="auto"/>
          <w:sz w:val="24"/>
          <w:szCs w:val="24"/>
          <w:lang w:val="de-DE"/>
        </w:rPr>
        <w:t xml:space="preserve"> Corynebacterium</w:t>
      </w:r>
      <w:r w:rsidRPr="001D54EE">
        <w:rPr>
          <w:rStyle w:val="a9"/>
          <w:rFonts w:eastAsia="Candara"/>
          <w:b w:val="0"/>
          <w:color w:val="auto"/>
          <w:sz w:val="24"/>
          <w:szCs w:val="24"/>
          <w:lang w:val="uk-UA"/>
        </w:rPr>
        <w:t xml:space="preserve"> </w:t>
      </w:r>
      <w:r w:rsidRPr="001D54EE">
        <w:rPr>
          <w:rStyle w:val="a9"/>
          <w:rFonts w:eastAsia="Candara"/>
          <w:b w:val="0"/>
          <w:color w:val="auto"/>
          <w:sz w:val="24"/>
          <w:szCs w:val="24"/>
          <w:lang w:val="de-DE"/>
        </w:rPr>
        <w:t>spp</w:t>
      </w:r>
      <w:r w:rsidRPr="001D54EE">
        <w:rPr>
          <w:rStyle w:val="a9"/>
          <w:rFonts w:eastAsia="Candara"/>
          <w:b w:val="0"/>
          <w:color w:val="auto"/>
          <w:sz w:val="24"/>
          <w:szCs w:val="24"/>
          <w:lang w:val="uk-UA"/>
        </w:rPr>
        <w:t>.,</w:t>
      </w:r>
      <w:r w:rsidRPr="001D54EE">
        <w:rPr>
          <w:b w:val="0"/>
          <w:sz w:val="24"/>
          <w:szCs w:val="24"/>
          <w:lang w:val="uk-UA"/>
        </w:rPr>
        <w:t xml:space="preserve"> </w:t>
      </w:r>
      <w:r w:rsidRPr="001D54EE">
        <w:rPr>
          <w:rStyle w:val="a9"/>
          <w:rFonts w:eastAsia="Candara"/>
          <w:b w:val="0"/>
          <w:color w:val="auto"/>
          <w:sz w:val="24"/>
          <w:szCs w:val="24"/>
          <w:lang w:val="de-DE" w:eastAsia="de-DE" w:bidi="de-DE"/>
        </w:rPr>
        <w:t xml:space="preserve">Bordetella </w:t>
      </w:r>
      <w:r w:rsidRPr="001D54EE">
        <w:rPr>
          <w:rStyle w:val="a9"/>
          <w:rFonts w:eastAsia="Candara"/>
          <w:b w:val="0"/>
          <w:color w:val="auto"/>
          <w:sz w:val="24"/>
          <w:szCs w:val="24"/>
          <w:lang w:val="de-DE"/>
        </w:rPr>
        <w:t>spp</w:t>
      </w:r>
      <w:r w:rsidRPr="001D54EE">
        <w:rPr>
          <w:rStyle w:val="a9"/>
          <w:rFonts w:eastAsia="Candara"/>
          <w:b w:val="0"/>
          <w:color w:val="auto"/>
          <w:sz w:val="24"/>
          <w:szCs w:val="24"/>
          <w:lang w:val="uk-UA"/>
        </w:rPr>
        <w:t xml:space="preserve">. </w:t>
      </w:r>
      <w:r w:rsidRPr="001D54EE">
        <w:rPr>
          <w:b w:val="0"/>
          <w:sz w:val="24"/>
          <w:szCs w:val="24"/>
          <w:lang w:val="uk-UA"/>
        </w:rPr>
        <w:t>та інші</w:t>
      </w:r>
      <w:r w:rsidRPr="001D54EE">
        <w:rPr>
          <w:rStyle w:val="a9"/>
          <w:rFonts w:eastAsia="Candara"/>
          <w:b w:val="0"/>
          <w:i w:val="0"/>
          <w:color w:val="auto"/>
          <w:sz w:val="24"/>
          <w:szCs w:val="24"/>
          <w:lang w:val="uk-UA"/>
        </w:rPr>
        <w:t>)</w:t>
      </w:r>
      <w:r w:rsidRPr="001D54EE">
        <w:rPr>
          <w:b w:val="0"/>
          <w:sz w:val="24"/>
          <w:szCs w:val="24"/>
          <w:lang w:val="uk-UA"/>
        </w:rPr>
        <w:t xml:space="preserve"> та </w:t>
      </w:r>
      <w:r w:rsidRPr="001D54EE">
        <w:rPr>
          <w:rStyle w:val="Candara85pt"/>
          <w:color w:val="auto"/>
          <w:sz w:val="24"/>
        </w:rPr>
        <w:t xml:space="preserve"> </w:t>
      </w:r>
      <w:r w:rsidRPr="001D54EE">
        <w:rPr>
          <w:b w:val="0"/>
          <w:sz w:val="24"/>
          <w:szCs w:val="24"/>
          <w:lang w:val="uk-UA"/>
        </w:rPr>
        <w:t>грамнегативних (</w:t>
      </w:r>
      <w:r w:rsidRPr="001D54EE">
        <w:rPr>
          <w:rStyle w:val="a9"/>
          <w:rFonts w:eastAsia="Candara"/>
          <w:b w:val="0"/>
          <w:color w:val="auto"/>
          <w:sz w:val="24"/>
          <w:szCs w:val="24"/>
          <w:lang w:val="de-DE"/>
        </w:rPr>
        <w:t>E</w:t>
      </w:r>
      <w:r w:rsidRPr="001D54EE">
        <w:rPr>
          <w:rStyle w:val="a9"/>
          <w:rFonts w:eastAsia="Candara"/>
          <w:b w:val="0"/>
          <w:color w:val="auto"/>
          <w:sz w:val="24"/>
          <w:szCs w:val="24"/>
          <w:lang w:val="uk-UA"/>
        </w:rPr>
        <w:t xml:space="preserve">. </w:t>
      </w:r>
      <w:r w:rsidRPr="001D54EE">
        <w:rPr>
          <w:rStyle w:val="a9"/>
          <w:rFonts w:eastAsia="Candara"/>
          <w:b w:val="0"/>
          <w:color w:val="auto"/>
          <w:sz w:val="24"/>
          <w:szCs w:val="24"/>
          <w:lang w:val="de-DE"/>
        </w:rPr>
        <w:t>coli</w:t>
      </w:r>
      <w:r w:rsidRPr="001D54EE">
        <w:rPr>
          <w:rStyle w:val="a9"/>
          <w:rFonts w:eastAsia="Candara"/>
          <w:b w:val="0"/>
          <w:color w:val="auto"/>
          <w:sz w:val="24"/>
          <w:szCs w:val="24"/>
          <w:lang w:val="uk-UA"/>
        </w:rPr>
        <w:t xml:space="preserve">, </w:t>
      </w:r>
      <w:r w:rsidRPr="001D54EE">
        <w:rPr>
          <w:rStyle w:val="a9"/>
          <w:rFonts w:eastAsia="Candara"/>
          <w:b w:val="0"/>
          <w:color w:val="auto"/>
          <w:sz w:val="24"/>
          <w:szCs w:val="24"/>
          <w:lang w:val="de-DE"/>
        </w:rPr>
        <w:t>Salmonella</w:t>
      </w:r>
      <w:r w:rsidRPr="001D54EE">
        <w:rPr>
          <w:rStyle w:val="a9"/>
          <w:rFonts w:eastAsia="Candara"/>
          <w:b w:val="0"/>
          <w:color w:val="auto"/>
          <w:sz w:val="24"/>
          <w:szCs w:val="24"/>
          <w:lang w:val="uk-UA"/>
        </w:rPr>
        <w:t xml:space="preserve"> </w:t>
      </w:r>
      <w:r w:rsidRPr="001D54EE">
        <w:rPr>
          <w:rStyle w:val="a9"/>
          <w:rFonts w:eastAsia="Candara"/>
          <w:b w:val="0"/>
          <w:color w:val="auto"/>
          <w:sz w:val="24"/>
          <w:szCs w:val="24"/>
          <w:lang w:val="de-DE"/>
        </w:rPr>
        <w:t>spp</w:t>
      </w:r>
      <w:r w:rsidRPr="001D54EE">
        <w:rPr>
          <w:rStyle w:val="a9"/>
          <w:rFonts w:eastAsia="Candara"/>
          <w:b w:val="0"/>
          <w:color w:val="auto"/>
          <w:sz w:val="24"/>
          <w:szCs w:val="24"/>
          <w:lang w:val="uk-UA"/>
        </w:rPr>
        <w:t xml:space="preserve">., </w:t>
      </w:r>
      <w:r w:rsidRPr="001D54EE">
        <w:rPr>
          <w:rStyle w:val="a9"/>
          <w:rFonts w:eastAsia="Candara"/>
          <w:b w:val="0"/>
          <w:color w:val="auto"/>
          <w:sz w:val="24"/>
          <w:szCs w:val="24"/>
          <w:lang w:val="de-DE"/>
        </w:rPr>
        <w:t>Klebsiella</w:t>
      </w:r>
      <w:r w:rsidRPr="001D54EE">
        <w:rPr>
          <w:rStyle w:val="a9"/>
          <w:rFonts w:eastAsia="Candara"/>
          <w:b w:val="0"/>
          <w:color w:val="auto"/>
          <w:sz w:val="24"/>
          <w:szCs w:val="24"/>
          <w:lang w:val="uk-UA"/>
        </w:rPr>
        <w:t xml:space="preserve"> </w:t>
      </w:r>
      <w:r w:rsidRPr="001D54EE">
        <w:rPr>
          <w:rStyle w:val="a9"/>
          <w:rFonts w:eastAsia="Candara"/>
          <w:b w:val="0"/>
          <w:color w:val="auto"/>
          <w:sz w:val="24"/>
          <w:szCs w:val="24"/>
          <w:lang w:val="de-DE"/>
        </w:rPr>
        <w:t>spp</w:t>
      </w:r>
      <w:r w:rsidRPr="001D54EE">
        <w:rPr>
          <w:rStyle w:val="a9"/>
          <w:rFonts w:eastAsia="Candara"/>
          <w:b w:val="0"/>
          <w:color w:val="auto"/>
          <w:sz w:val="24"/>
          <w:szCs w:val="24"/>
          <w:lang w:val="uk-UA"/>
        </w:rPr>
        <w:t xml:space="preserve">., </w:t>
      </w:r>
      <w:r w:rsidRPr="001D54EE">
        <w:rPr>
          <w:rStyle w:val="a9"/>
          <w:rFonts w:eastAsia="Candara"/>
          <w:b w:val="0"/>
          <w:color w:val="auto"/>
          <w:sz w:val="24"/>
          <w:szCs w:val="24"/>
          <w:lang w:val="de-DE"/>
        </w:rPr>
        <w:t>Proteus</w:t>
      </w:r>
      <w:r w:rsidRPr="001D54EE">
        <w:rPr>
          <w:rStyle w:val="a9"/>
          <w:rFonts w:eastAsia="Candara"/>
          <w:b w:val="0"/>
          <w:color w:val="auto"/>
          <w:sz w:val="24"/>
          <w:szCs w:val="24"/>
          <w:lang w:val="uk-UA"/>
        </w:rPr>
        <w:t xml:space="preserve"> </w:t>
      </w:r>
      <w:r w:rsidRPr="001D54EE">
        <w:rPr>
          <w:rStyle w:val="a9"/>
          <w:rFonts w:eastAsia="Candara"/>
          <w:b w:val="0"/>
          <w:color w:val="auto"/>
          <w:sz w:val="24"/>
          <w:szCs w:val="24"/>
          <w:lang w:val="de-DE"/>
        </w:rPr>
        <w:t>spp</w:t>
      </w:r>
      <w:r w:rsidRPr="001D54EE">
        <w:rPr>
          <w:rStyle w:val="a9"/>
          <w:rFonts w:eastAsia="Candara"/>
          <w:b w:val="0"/>
          <w:color w:val="auto"/>
          <w:sz w:val="24"/>
          <w:szCs w:val="24"/>
          <w:lang w:val="uk-UA"/>
        </w:rPr>
        <w:t>.,</w:t>
      </w:r>
      <w:r w:rsidRPr="001D54EE">
        <w:rPr>
          <w:rStyle w:val="a9"/>
          <w:rFonts w:eastAsia="Candara"/>
          <w:color w:val="auto"/>
          <w:sz w:val="24"/>
          <w:szCs w:val="24"/>
          <w:lang w:val="uk-UA"/>
        </w:rPr>
        <w:t xml:space="preserve"> </w:t>
      </w:r>
      <w:r w:rsidRPr="001D54EE">
        <w:rPr>
          <w:b w:val="0"/>
          <w:i/>
          <w:sz w:val="24"/>
          <w:szCs w:val="24"/>
          <w:lang w:val="uk-UA"/>
        </w:rPr>
        <w:t>Pasteurella spp.</w:t>
      </w:r>
      <w:r w:rsidRPr="001D54EE">
        <w:rPr>
          <w:b w:val="0"/>
          <w:i/>
          <w:sz w:val="24"/>
          <w:szCs w:val="24"/>
          <w:lang w:val="uk-UA" w:eastAsia="en-US" w:bidi="en-US"/>
        </w:rPr>
        <w:t xml:space="preserve"> </w:t>
      </w:r>
      <w:r w:rsidRPr="001D54EE">
        <w:rPr>
          <w:b w:val="0"/>
          <w:sz w:val="24"/>
          <w:szCs w:val="24"/>
          <w:lang w:val="uk-UA"/>
        </w:rPr>
        <w:t>та інші) мікроорганізмів, а також  найпростіших (</w:t>
      </w:r>
      <w:r w:rsidRPr="001D54EE">
        <w:rPr>
          <w:b w:val="0"/>
          <w:i/>
          <w:sz w:val="24"/>
          <w:szCs w:val="24"/>
          <w:lang w:val="en-US"/>
        </w:rPr>
        <w:t>Toxoplasma</w:t>
      </w:r>
      <w:r w:rsidRPr="001D54EE">
        <w:rPr>
          <w:b w:val="0"/>
          <w:i/>
          <w:sz w:val="24"/>
          <w:szCs w:val="24"/>
          <w:lang w:val="uk-UA"/>
        </w:rPr>
        <w:t xml:space="preserve"> </w:t>
      </w:r>
      <w:r w:rsidRPr="001D54EE">
        <w:rPr>
          <w:b w:val="0"/>
          <w:i/>
          <w:sz w:val="24"/>
          <w:szCs w:val="24"/>
          <w:lang w:val="en-US"/>
        </w:rPr>
        <w:t>spp</w:t>
      </w:r>
      <w:r w:rsidRPr="001D54EE">
        <w:rPr>
          <w:b w:val="0"/>
          <w:i/>
          <w:sz w:val="24"/>
          <w:szCs w:val="24"/>
          <w:lang w:val="uk-UA"/>
        </w:rPr>
        <w:t xml:space="preserve">., </w:t>
      </w:r>
      <w:r w:rsidRPr="001D54EE">
        <w:rPr>
          <w:b w:val="0"/>
          <w:i/>
          <w:sz w:val="24"/>
          <w:szCs w:val="24"/>
          <w:shd w:val="clear" w:color="auto" w:fill="FFFFFF"/>
        </w:rPr>
        <w:t>Coccidia</w:t>
      </w:r>
      <w:r w:rsidRPr="001D54EE">
        <w:rPr>
          <w:b w:val="0"/>
          <w:i/>
          <w:sz w:val="24"/>
          <w:szCs w:val="24"/>
          <w:shd w:val="clear" w:color="auto" w:fill="FFFFFF"/>
          <w:lang w:val="uk-UA"/>
        </w:rPr>
        <w:t xml:space="preserve"> (</w:t>
      </w:r>
      <w:r w:rsidRPr="001D54EE">
        <w:rPr>
          <w:b w:val="0"/>
          <w:i/>
          <w:sz w:val="24"/>
          <w:szCs w:val="24"/>
          <w:shd w:val="clear" w:color="auto" w:fill="FFFFFF"/>
        </w:rPr>
        <w:t>Eimeria</w:t>
      </w:r>
      <w:r w:rsidRPr="001D54EE">
        <w:rPr>
          <w:b w:val="0"/>
          <w:i/>
          <w:sz w:val="24"/>
          <w:szCs w:val="24"/>
          <w:shd w:val="clear" w:color="auto" w:fill="FFFFFF"/>
          <w:lang w:val="uk-UA"/>
        </w:rPr>
        <w:t xml:space="preserve"> </w:t>
      </w:r>
      <w:r w:rsidRPr="001D54EE">
        <w:rPr>
          <w:b w:val="0"/>
          <w:i/>
          <w:sz w:val="24"/>
          <w:szCs w:val="24"/>
          <w:lang w:val="en-US"/>
        </w:rPr>
        <w:t>spp</w:t>
      </w:r>
      <w:r w:rsidRPr="001D54EE">
        <w:rPr>
          <w:b w:val="0"/>
          <w:i/>
          <w:sz w:val="24"/>
          <w:szCs w:val="24"/>
          <w:lang w:val="uk-UA"/>
        </w:rPr>
        <w:t>.</w:t>
      </w:r>
      <w:r w:rsidRPr="001D54EE">
        <w:rPr>
          <w:b w:val="0"/>
          <w:i/>
          <w:sz w:val="24"/>
          <w:szCs w:val="24"/>
          <w:shd w:val="clear" w:color="auto" w:fill="FFFFFF"/>
          <w:lang w:val="uk-UA"/>
        </w:rPr>
        <w:t xml:space="preserve"> і </w:t>
      </w:r>
      <w:r w:rsidRPr="001D54EE">
        <w:rPr>
          <w:b w:val="0"/>
          <w:i/>
          <w:sz w:val="24"/>
          <w:szCs w:val="24"/>
          <w:shd w:val="clear" w:color="auto" w:fill="FFFFFF"/>
        </w:rPr>
        <w:t>Isospora</w:t>
      </w:r>
      <w:r w:rsidRPr="001D54EE">
        <w:rPr>
          <w:b w:val="0"/>
          <w:i/>
          <w:sz w:val="24"/>
          <w:szCs w:val="24"/>
          <w:shd w:val="clear" w:color="auto" w:fill="FFFFFF"/>
          <w:lang w:val="uk-UA"/>
        </w:rPr>
        <w:t xml:space="preserve"> </w:t>
      </w:r>
      <w:r w:rsidRPr="001D54EE">
        <w:rPr>
          <w:b w:val="0"/>
          <w:i/>
          <w:sz w:val="24"/>
          <w:szCs w:val="24"/>
          <w:shd w:val="clear" w:color="auto" w:fill="FFFFFF"/>
        </w:rPr>
        <w:t>spp</w:t>
      </w:r>
      <w:r w:rsidRPr="001D54EE">
        <w:rPr>
          <w:b w:val="0"/>
          <w:i/>
          <w:sz w:val="24"/>
          <w:szCs w:val="24"/>
          <w:shd w:val="clear" w:color="auto" w:fill="FFFFFF"/>
          <w:lang w:val="uk-UA"/>
        </w:rPr>
        <w:t>.</w:t>
      </w:r>
      <w:r w:rsidRPr="001D54EE">
        <w:rPr>
          <w:b w:val="0"/>
          <w:sz w:val="24"/>
          <w:szCs w:val="24"/>
          <w:shd w:val="clear" w:color="auto" w:fill="FFFFFF"/>
          <w:lang w:val="uk-UA"/>
        </w:rPr>
        <w:t>).</w:t>
      </w:r>
    </w:p>
    <w:p w:rsidR="00551B0E" w:rsidRPr="001D54EE" w:rsidRDefault="00551B0E" w:rsidP="00551B0E">
      <w:pPr>
        <w:ind w:firstLine="567"/>
        <w:jc w:val="both"/>
        <w:rPr>
          <w:lang w:val="uk-UA"/>
        </w:rPr>
      </w:pPr>
      <w:r w:rsidRPr="001D54EE">
        <w:rPr>
          <w:lang w:val="uk-UA"/>
        </w:rPr>
        <w:t>Механізм дії препарату полягає в послідовному пригніченні ферментів, що беруть участь у синтезі фолієвої кислоти, тим самим</w:t>
      </w:r>
      <w:r w:rsidRPr="001D54EE">
        <w:rPr>
          <w:strike/>
          <w:lang w:val="uk-UA"/>
        </w:rPr>
        <w:t>,</w:t>
      </w:r>
      <w:r w:rsidRPr="001D54EE">
        <w:rPr>
          <w:lang w:val="uk-UA"/>
        </w:rPr>
        <w:t xml:space="preserve"> пригнічуючи синтез тимідину бактеріальної клітини. </w:t>
      </w:r>
    </w:p>
    <w:p w:rsidR="00551B0E" w:rsidRPr="001D54EE" w:rsidRDefault="00551B0E" w:rsidP="00551B0E">
      <w:pPr>
        <w:pStyle w:val="6"/>
        <w:spacing w:before="0" w:after="0"/>
        <w:ind w:firstLine="567"/>
        <w:jc w:val="both"/>
        <w:rPr>
          <w:b w:val="0"/>
          <w:sz w:val="24"/>
          <w:szCs w:val="24"/>
        </w:rPr>
      </w:pPr>
      <w:r w:rsidRPr="001D54EE">
        <w:rPr>
          <w:b w:val="0"/>
          <w:sz w:val="24"/>
          <w:szCs w:val="24"/>
        </w:rPr>
        <w:t xml:space="preserve">Сульфадимезин </w:t>
      </w:r>
      <w:r w:rsidRPr="001D54EE">
        <w:rPr>
          <w:b w:val="0"/>
          <w:sz w:val="24"/>
          <w:szCs w:val="24"/>
          <w:lang w:val="uk-UA"/>
        </w:rPr>
        <w:t>–</w:t>
      </w:r>
      <w:r w:rsidRPr="001D54EE">
        <w:rPr>
          <w:b w:val="0"/>
          <w:sz w:val="24"/>
          <w:szCs w:val="24"/>
        </w:rPr>
        <w:t xml:space="preserve"> </w:t>
      </w:r>
      <w:r w:rsidRPr="001D54EE">
        <w:rPr>
          <w:b w:val="0"/>
          <w:sz w:val="24"/>
          <w:szCs w:val="24"/>
          <w:lang w:val="uk-UA"/>
        </w:rPr>
        <w:t>бактеріостатичний антибіотик</w:t>
      </w:r>
      <w:r w:rsidRPr="001D54EE">
        <w:rPr>
          <w:b w:val="0"/>
          <w:sz w:val="24"/>
          <w:szCs w:val="24"/>
        </w:rPr>
        <w:t xml:space="preserve"> середньої тривалості дії. Порушує процес отримання мікро</w:t>
      </w:r>
      <w:r w:rsidRPr="001D54EE">
        <w:rPr>
          <w:b w:val="0"/>
          <w:sz w:val="24"/>
          <w:szCs w:val="24"/>
          <w:lang w:val="uk-UA"/>
        </w:rPr>
        <w:t>організмами</w:t>
      </w:r>
      <w:r w:rsidRPr="001D54EE">
        <w:rPr>
          <w:b w:val="0"/>
          <w:sz w:val="24"/>
          <w:szCs w:val="24"/>
        </w:rPr>
        <w:t xml:space="preserve"> необхідних для їх розвитку ростових факторів </w:t>
      </w:r>
      <w:r w:rsidRPr="001D54EE">
        <w:rPr>
          <w:b w:val="0"/>
          <w:sz w:val="24"/>
          <w:szCs w:val="24"/>
          <w:lang w:val="uk-UA"/>
        </w:rPr>
        <w:t>–</w:t>
      </w:r>
      <w:r w:rsidRPr="001D54EE">
        <w:rPr>
          <w:b w:val="0"/>
          <w:sz w:val="24"/>
          <w:szCs w:val="24"/>
        </w:rPr>
        <w:t xml:space="preserve"> фолієвої кислоти та речовин, </w:t>
      </w:r>
      <w:r w:rsidRPr="001D54EE">
        <w:rPr>
          <w:b w:val="0"/>
          <w:sz w:val="24"/>
          <w:szCs w:val="24"/>
          <w:lang w:val="uk-UA"/>
        </w:rPr>
        <w:t>у</w:t>
      </w:r>
      <w:r w:rsidRPr="001D54EE">
        <w:rPr>
          <w:b w:val="0"/>
          <w:sz w:val="24"/>
          <w:szCs w:val="24"/>
        </w:rPr>
        <w:t xml:space="preserve"> молекулу яких входить пара</w:t>
      </w:r>
      <w:r w:rsidRPr="001D54EE">
        <w:rPr>
          <w:b w:val="0"/>
          <w:sz w:val="24"/>
          <w:szCs w:val="24"/>
          <w:lang w:val="uk-UA"/>
        </w:rPr>
        <w:t>-</w:t>
      </w:r>
      <w:r w:rsidRPr="001D54EE">
        <w:rPr>
          <w:b w:val="0"/>
          <w:sz w:val="24"/>
          <w:szCs w:val="24"/>
        </w:rPr>
        <w:t>амінобензойна кислота. Під дією препарату порушується утворення метіоніну, пуринових і піримідинових основ мікробної клітині, що</w:t>
      </w:r>
      <w:r w:rsidRPr="001D54EE">
        <w:rPr>
          <w:b w:val="0"/>
          <w:sz w:val="24"/>
          <w:szCs w:val="24"/>
          <w:lang w:val="uk-UA"/>
        </w:rPr>
        <w:t>,</w:t>
      </w:r>
      <w:r w:rsidRPr="001D54EE">
        <w:rPr>
          <w:b w:val="0"/>
          <w:sz w:val="24"/>
          <w:szCs w:val="24"/>
        </w:rPr>
        <w:t xml:space="preserve"> в свою чергу</w:t>
      </w:r>
      <w:r w:rsidRPr="001D54EE">
        <w:rPr>
          <w:b w:val="0"/>
          <w:sz w:val="24"/>
          <w:szCs w:val="24"/>
          <w:lang w:val="uk-UA"/>
        </w:rPr>
        <w:t>,</w:t>
      </w:r>
      <w:r w:rsidRPr="001D54EE">
        <w:rPr>
          <w:b w:val="0"/>
          <w:sz w:val="24"/>
          <w:szCs w:val="24"/>
        </w:rPr>
        <w:t xml:space="preserve"> призводить до порушення синтезу нуклеїнових кислот і нуклеопротеїдів. </w:t>
      </w:r>
    </w:p>
    <w:p w:rsidR="00551B0E" w:rsidRPr="001D54EE" w:rsidRDefault="00551B0E" w:rsidP="00551B0E">
      <w:pPr>
        <w:pStyle w:val="6"/>
        <w:spacing w:before="0" w:after="0"/>
        <w:ind w:firstLine="567"/>
        <w:jc w:val="both"/>
        <w:rPr>
          <w:b w:val="0"/>
          <w:sz w:val="24"/>
          <w:szCs w:val="24"/>
        </w:rPr>
      </w:pPr>
      <w:r w:rsidRPr="001D54EE">
        <w:rPr>
          <w:b w:val="0"/>
          <w:sz w:val="24"/>
          <w:szCs w:val="24"/>
        </w:rPr>
        <w:t>Триметоприм –  синтетичний антибіотик, є похідним діамінопіримідну, діє проти грампозитивних і грамнегативних  бактерій, блокуючи відновлення дигідрофолієвої кислоти в необхідну для розвитку мікроорганізмів тетрагідрофолієву кислоту.</w:t>
      </w:r>
    </w:p>
    <w:p w:rsidR="00551B0E" w:rsidRPr="001D54EE" w:rsidRDefault="00551B0E" w:rsidP="00551B0E">
      <w:pPr>
        <w:ind w:firstLine="567"/>
        <w:jc w:val="both"/>
        <w:rPr>
          <w:lang w:val="uk-UA"/>
        </w:rPr>
      </w:pPr>
      <w:r w:rsidRPr="001D54EE">
        <w:rPr>
          <w:lang w:val="uk-UA"/>
        </w:rPr>
        <w:t>Комбінація сульфадимезину з триметопримом чинить більшу бактеріостатичну і бактерицидну дію на патогенну мікрофлору, ніж кожна речовина окремо.</w:t>
      </w:r>
    </w:p>
    <w:p w:rsidR="00551B0E" w:rsidRPr="001D54EE" w:rsidRDefault="00551B0E" w:rsidP="00551B0E">
      <w:pPr>
        <w:pStyle w:val="6"/>
        <w:spacing w:before="0" w:after="0"/>
        <w:ind w:firstLine="567"/>
        <w:jc w:val="both"/>
        <w:rPr>
          <w:b w:val="0"/>
          <w:sz w:val="24"/>
          <w:szCs w:val="24"/>
        </w:rPr>
      </w:pPr>
      <w:r w:rsidRPr="001D54EE">
        <w:rPr>
          <w:b w:val="0"/>
          <w:sz w:val="24"/>
          <w:szCs w:val="24"/>
        </w:rPr>
        <w:t xml:space="preserve">Сульфадимезин </w:t>
      </w:r>
      <w:r w:rsidRPr="001D54EE">
        <w:rPr>
          <w:b w:val="0"/>
          <w:sz w:val="24"/>
          <w:szCs w:val="24"/>
          <w:lang w:val="uk-UA"/>
        </w:rPr>
        <w:t>в</w:t>
      </w:r>
      <w:r w:rsidRPr="001D54EE">
        <w:rPr>
          <w:b w:val="0"/>
          <w:sz w:val="24"/>
          <w:szCs w:val="24"/>
        </w:rPr>
        <w:t xml:space="preserve">смоктується з </w:t>
      </w:r>
      <w:r w:rsidRPr="001D54EE">
        <w:rPr>
          <w:b w:val="0"/>
          <w:sz w:val="24"/>
          <w:szCs w:val="24"/>
          <w:lang w:val="uk-UA"/>
        </w:rPr>
        <w:t>травного</w:t>
      </w:r>
      <w:r w:rsidRPr="001D54EE">
        <w:rPr>
          <w:b w:val="0"/>
          <w:sz w:val="24"/>
          <w:szCs w:val="24"/>
        </w:rPr>
        <w:t xml:space="preserve"> повільно, максимальна концентрація</w:t>
      </w:r>
      <w:r w:rsidRPr="001D54EE">
        <w:rPr>
          <w:b w:val="0"/>
          <w:sz w:val="24"/>
          <w:szCs w:val="24"/>
          <w:lang w:val="uk-UA"/>
        </w:rPr>
        <w:t xml:space="preserve"> його </w:t>
      </w:r>
      <w:r w:rsidRPr="001D54EE">
        <w:rPr>
          <w:b w:val="0"/>
          <w:sz w:val="24"/>
          <w:szCs w:val="24"/>
        </w:rPr>
        <w:t xml:space="preserve">в крові </w:t>
      </w:r>
      <w:r w:rsidRPr="001D54EE">
        <w:rPr>
          <w:b w:val="0"/>
          <w:sz w:val="24"/>
          <w:szCs w:val="24"/>
          <w:lang w:val="uk-UA"/>
        </w:rPr>
        <w:t>досягається</w:t>
      </w:r>
      <w:r w:rsidRPr="001D54EE">
        <w:rPr>
          <w:b w:val="0"/>
          <w:sz w:val="24"/>
          <w:szCs w:val="24"/>
        </w:rPr>
        <w:t xml:space="preserve"> через 4-6 годин</w:t>
      </w:r>
      <w:r w:rsidRPr="001D54EE">
        <w:rPr>
          <w:b w:val="0"/>
          <w:sz w:val="24"/>
          <w:szCs w:val="24"/>
          <w:lang w:val="uk-UA"/>
        </w:rPr>
        <w:t xml:space="preserve"> після перорального застосування</w:t>
      </w:r>
      <w:r w:rsidRPr="001D54EE">
        <w:rPr>
          <w:b w:val="0"/>
          <w:sz w:val="24"/>
          <w:szCs w:val="24"/>
        </w:rPr>
        <w:t xml:space="preserve">. </w:t>
      </w:r>
      <w:r w:rsidRPr="001D54EE">
        <w:rPr>
          <w:b w:val="0"/>
          <w:sz w:val="24"/>
          <w:szCs w:val="24"/>
          <w:lang w:val="uk-UA"/>
        </w:rPr>
        <w:t>Слабо</w:t>
      </w:r>
      <w:r w:rsidRPr="001D54EE">
        <w:rPr>
          <w:b w:val="0"/>
          <w:sz w:val="24"/>
          <w:szCs w:val="24"/>
        </w:rPr>
        <w:t xml:space="preserve"> зв'язується з білками плазми</w:t>
      </w:r>
      <w:r w:rsidRPr="001D54EE">
        <w:rPr>
          <w:b w:val="0"/>
          <w:sz w:val="24"/>
          <w:szCs w:val="24"/>
          <w:lang w:val="uk-UA"/>
        </w:rPr>
        <w:t xml:space="preserve"> (на 75-86%)</w:t>
      </w:r>
      <w:r w:rsidRPr="001D54EE">
        <w:rPr>
          <w:b w:val="0"/>
          <w:sz w:val="24"/>
          <w:szCs w:val="24"/>
        </w:rPr>
        <w:t xml:space="preserve"> і повільн</w:t>
      </w:r>
      <w:r w:rsidRPr="001D54EE">
        <w:rPr>
          <w:b w:val="0"/>
          <w:sz w:val="24"/>
          <w:szCs w:val="24"/>
          <w:lang w:val="uk-UA"/>
        </w:rPr>
        <w:t>о</w:t>
      </w:r>
      <w:r w:rsidRPr="001D54EE">
        <w:rPr>
          <w:b w:val="0"/>
          <w:sz w:val="24"/>
          <w:szCs w:val="24"/>
        </w:rPr>
        <w:t xml:space="preserve"> ви</w:t>
      </w:r>
      <w:r w:rsidRPr="001D54EE">
        <w:rPr>
          <w:b w:val="0"/>
          <w:sz w:val="24"/>
          <w:szCs w:val="24"/>
          <w:lang w:val="uk-UA"/>
        </w:rPr>
        <w:t>водить</w:t>
      </w:r>
      <w:r w:rsidRPr="001D54EE">
        <w:rPr>
          <w:b w:val="0"/>
          <w:sz w:val="24"/>
          <w:szCs w:val="24"/>
        </w:rPr>
        <w:t>ся з організму.</w:t>
      </w:r>
      <w:r w:rsidRPr="001D54EE">
        <w:rPr>
          <w:b w:val="0"/>
          <w:sz w:val="24"/>
          <w:szCs w:val="24"/>
          <w:lang w:val="uk-UA"/>
        </w:rPr>
        <w:t xml:space="preserve"> Період напіввиведення становить 7 годин.</w:t>
      </w:r>
      <w:r w:rsidRPr="001D54EE">
        <w:rPr>
          <w:b w:val="0"/>
          <w:sz w:val="24"/>
          <w:szCs w:val="24"/>
        </w:rPr>
        <w:t xml:space="preserve"> Сульфадимезин, головним чином, ацетил</w:t>
      </w:r>
      <w:r w:rsidRPr="001D54EE">
        <w:rPr>
          <w:b w:val="0"/>
          <w:sz w:val="24"/>
          <w:szCs w:val="24"/>
          <w:lang w:val="uk-UA"/>
        </w:rPr>
        <w:t>ю</w:t>
      </w:r>
      <w:r w:rsidRPr="001D54EE">
        <w:rPr>
          <w:b w:val="0"/>
          <w:sz w:val="24"/>
          <w:szCs w:val="24"/>
        </w:rPr>
        <w:t>ється та кон’югується з глюкуроновою кислотою</w:t>
      </w:r>
      <w:r w:rsidRPr="001D54EE">
        <w:rPr>
          <w:b w:val="0"/>
          <w:sz w:val="24"/>
          <w:szCs w:val="24"/>
          <w:lang w:val="uk-UA"/>
        </w:rPr>
        <w:t>.</w:t>
      </w:r>
      <w:r w:rsidRPr="001D54EE">
        <w:rPr>
          <w:b w:val="0"/>
          <w:sz w:val="24"/>
          <w:szCs w:val="24"/>
        </w:rPr>
        <w:t xml:space="preserve"> </w:t>
      </w:r>
    </w:p>
    <w:p w:rsidR="00551B0E" w:rsidRPr="001D54EE" w:rsidRDefault="00551B0E" w:rsidP="00551B0E">
      <w:pPr>
        <w:ind w:firstLine="567"/>
        <w:jc w:val="both"/>
        <w:rPr>
          <w:lang w:val="uk-UA"/>
        </w:rPr>
      </w:pPr>
      <w:r w:rsidRPr="001D54EE">
        <w:t xml:space="preserve">Фармакодинамічні і фармакокінетичні властивості </w:t>
      </w:r>
      <w:r w:rsidRPr="001D54EE">
        <w:rPr>
          <w:lang w:val="uk-UA"/>
        </w:rPr>
        <w:t>триметоприму</w:t>
      </w:r>
      <w:r w:rsidRPr="001D54EE">
        <w:t xml:space="preserve"> схожі з аналогічними властивостями сульфаніламідів тривалої дії. Препарат відрізняється високою стійкістю в кислому середовищі, швидко всмоктується </w:t>
      </w:r>
      <w:r w:rsidRPr="001D54EE">
        <w:rPr>
          <w:lang w:val="uk-UA"/>
        </w:rPr>
        <w:t>за перорального застосування</w:t>
      </w:r>
      <w:r w:rsidRPr="001D54EE">
        <w:t xml:space="preserve"> і проникає в усі тканини організму</w:t>
      </w:r>
    </w:p>
    <w:p w:rsidR="00311D09" w:rsidRPr="001D54EE" w:rsidRDefault="00311D09" w:rsidP="00551B0E">
      <w:pPr>
        <w:ind w:firstLine="567"/>
        <w:jc w:val="both"/>
      </w:pPr>
      <w:r w:rsidRPr="001D54EE">
        <w:t xml:space="preserve">. </w:t>
      </w:r>
    </w:p>
    <w:p w:rsidR="00311D09" w:rsidRPr="001D54EE" w:rsidRDefault="00311D09" w:rsidP="00311D09">
      <w:pPr>
        <w:ind w:left="-720"/>
        <w:jc w:val="right"/>
        <w:rPr>
          <w:lang w:val="uk-UA"/>
        </w:rPr>
      </w:pPr>
    </w:p>
    <w:p w:rsidR="00311D09" w:rsidRPr="001D54EE" w:rsidRDefault="00311D09" w:rsidP="00311D09">
      <w:pPr>
        <w:ind w:left="-720"/>
        <w:jc w:val="right"/>
        <w:rPr>
          <w:lang w:val="uk-UA"/>
        </w:rPr>
      </w:pPr>
      <w:r w:rsidRPr="001D54EE">
        <w:rPr>
          <w:lang w:val="uk-UA"/>
        </w:rPr>
        <w:lastRenderedPageBreak/>
        <w:t>Продовження додатку 1</w:t>
      </w:r>
    </w:p>
    <w:p w:rsidR="00311D09" w:rsidRPr="001D54EE" w:rsidRDefault="00311D09" w:rsidP="00311D09">
      <w:pPr>
        <w:ind w:left="-720"/>
        <w:jc w:val="right"/>
        <w:rPr>
          <w:lang w:val="uk-UA"/>
        </w:rPr>
      </w:pPr>
      <w:r w:rsidRPr="001D54EE">
        <w:rPr>
          <w:lang w:val="uk-UA"/>
        </w:rPr>
        <w:t xml:space="preserve">до реєстраційного посвідчення </w:t>
      </w:r>
      <w:r w:rsidR="00F40EDE" w:rsidRPr="001D54EE">
        <w:rPr>
          <w:lang w:val="uk-UA"/>
        </w:rPr>
        <w:t>АВ-01019-01-10</w:t>
      </w:r>
    </w:p>
    <w:p w:rsidR="00311D09" w:rsidRPr="001D54EE" w:rsidRDefault="00311D09" w:rsidP="00311D09">
      <w:pPr>
        <w:ind w:left="-720"/>
        <w:jc w:val="right"/>
        <w:rPr>
          <w:lang w:val="uk-UA"/>
        </w:rPr>
      </w:pPr>
    </w:p>
    <w:p w:rsidR="00311D09" w:rsidRPr="001D54EE" w:rsidRDefault="00311D09" w:rsidP="00311D09">
      <w:pPr>
        <w:ind w:left="-720"/>
        <w:jc w:val="right"/>
        <w:rPr>
          <w:lang w:val="uk-UA"/>
        </w:rPr>
      </w:pPr>
    </w:p>
    <w:p w:rsidR="00551B0E" w:rsidRPr="001D54EE" w:rsidRDefault="00551B0E" w:rsidP="00551B0E">
      <w:pPr>
        <w:ind w:firstLine="567"/>
        <w:jc w:val="both"/>
        <w:rPr>
          <w:lang w:val="uk-UA"/>
        </w:rPr>
      </w:pPr>
      <w:r w:rsidRPr="001D54EE">
        <w:rPr>
          <w:u w:val="single"/>
          <w:lang w:val="uk-UA"/>
        </w:rPr>
        <w:t>Телята.</w:t>
      </w:r>
      <w:r w:rsidRPr="001D54EE">
        <w:rPr>
          <w:lang w:val="uk-UA"/>
        </w:rPr>
        <w:t xml:space="preserve"> </w:t>
      </w:r>
    </w:p>
    <w:p w:rsidR="00551B0E" w:rsidRPr="001D54EE" w:rsidRDefault="00551B0E" w:rsidP="00551B0E">
      <w:pPr>
        <w:ind w:firstLine="567"/>
        <w:jc w:val="both"/>
      </w:pPr>
      <w:r w:rsidRPr="001D54EE">
        <w:rPr>
          <w:lang w:val="uk-UA"/>
        </w:rPr>
        <w:t xml:space="preserve">Триметоприм та  сульфадимезин добре всмоктуються після перорального застосування з травного каналу та зв'язуються з білками плазми. Триметоприм метаболізується в печінці (утворюються оксидні метаболіти), а сульфадимезин метаболізується (переважно шляхом </w:t>
      </w:r>
      <w:r w:rsidRPr="001D54EE">
        <w:rPr>
          <w:bCs/>
          <w:lang w:val="uk-UA"/>
        </w:rPr>
        <w:t>ацетилювання</w:t>
      </w:r>
      <w:r w:rsidRPr="001D54EE">
        <w:rPr>
          <w:lang w:val="uk-UA"/>
        </w:rPr>
        <w:t xml:space="preserve">). </w:t>
      </w:r>
      <w:r w:rsidRPr="001D54EE">
        <w:t xml:space="preserve">У новонароджених телят метаболізм може бути </w:t>
      </w:r>
      <w:r w:rsidRPr="001D54EE">
        <w:rPr>
          <w:bCs/>
        </w:rPr>
        <w:t>менш ефективним</w:t>
      </w:r>
      <w:r w:rsidRPr="001D54EE">
        <w:t>, що призводить до повільнішого виведення та довших періодів напіввиведення порівняно з дорослими тваринами.</w:t>
      </w:r>
      <w:r w:rsidRPr="001D54EE">
        <w:rPr>
          <w:lang w:val="uk-UA"/>
        </w:rPr>
        <w:t xml:space="preserve">  </w:t>
      </w:r>
      <w:r w:rsidRPr="001D54EE">
        <w:t>Період напіввиведення</w:t>
      </w:r>
      <w:r w:rsidRPr="001D54EE">
        <w:rPr>
          <w:lang w:val="uk-UA"/>
        </w:rPr>
        <w:t xml:space="preserve"> сульфадимезину </w:t>
      </w:r>
      <w:r w:rsidRPr="001D54EE">
        <w:t xml:space="preserve"> </w:t>
      </w:r>
      <w:r w:rsidRPr="001D54EE">
        <w:rPr>
          <w:lang w:val="uk-UA"/>
        </w:rPr>
        <w:t>в</w:t>
      </w:r>
      <w:r w:rsidRPr="001D54EE">
        <w:t xml:space="preserve"> новонароджених телят може бути </w:t>
      </w:r>
      <w:r w:rsidRPr="001D54EE">
        <w:rPr>
          <w:bCs/>
        </w:rPr>
        <w:t>довшим</w:t>
      </w:r>
      <w:r w:rsidRPr="001D54EE">
        <w:t xml:space="preserve"> (близько 4 годин проти 2 годин у корів). </w:t>
      </w:r>
    </w:p>
    <w:p w:rsidR="00551B0E" w:rsidRPr="001D54EE" w:rsidRDefault="00551B0E" w:rsidP="00551B0E">
      <w:pPr>
        <w:ind w:firstLine="567"/>
        <w:jc w:val="both"/>
        <w:rPr>
          <w:i/>
          <w:lang w:val="uk-UA"/>
        </w:rPr>
      </w:pPr>
      <w:r w:rsidRPr="001D54EE">
        <w:rPr>
          <w:u w:val="single"/>
          <w:lang w:val="uk-UA"/>
        </w:rPr>
        <w:t>Свині</w:t>
      </w:r>
      <w:r w:rsidRPr="001D54EE">
        <w:rPr>
          <w:i/>
          <w:lang w:val="uk-UA"/>
        </w:rPr>
        <w:t>.</w:t>
      </w:r>
    </w:p>
    <w:p w:rsidR="00551B0E" w:rsidRPr="001D54EE" w:rsidRDefault="00551B0E" w:rsidP="00551B0E">
      <w:pPr>
        <w:ind w:firstLine="567"/>
        <w:jc w:val="both"/>
        <w:rPr>
          <w:lang w:val="uk-UA"/>
        </w:rPr>
      </w:pPr>
      <w:r w:rsidRPr="001D54EE">
        <w:rPr>
          <w:lang w:val="uk-UA"/>
        </w:rPr>
        <w:t xml:space="preserve">Триметоприм та сульфадимезин добре всмоктуються після перорального застосування з травного каналу </w:t>
      </w:r>
      <w:r w:rsidRPr="001D54EE">
        <w:t xml:space="preserve">Середній </w:t>
      </w:r>
      <w:r w:rsidRPr="001D54EE">
        <w:rPr>
          <w:lang w:val="uk-UA"/>
        </w:rPr>
        <w:t>період</w:t>
      </w:r>
      <w:r w:rsidRPr="001D54EE">
        <w:t xml:space="preserve"> напіввиведення </w:t>
      </w:r>
      <w:r w:rsidRPr="001D54EE">
        <w:rPr>
          <w:lang w:val="uk-UA"/>
        </w:rPr>
        <w:t>триметоприму</w:t>
      </w:r>
      <w:r w:rsidRPr="001D54EE">
        <w:t xml:space="preserve"> становить приблизно </w:t>
      </w:r>
      <w:r w:rsidRPr="001D54EE">
        <w:rPr>
          <w:bCs/>
        </w:rPr>
        <w:t>0,5–0,8 години</w:t>
      </w:r>
      <w:r w:rsidRPr="001D54EE">
        <w:rPr>
          <w:bCs/>
          <w:lang w:val="uk-UA"/>
        </w:rPr>
        <w:t xml:space="preserve">, а  сульфадимезину – </w:t>
      </w:r>
      <w:r w:rsidRPr="001D54EE">
        <w:t xml:space="preserve">приблизно </w:t>
      </w:r>
      <w:r w:rsidRPr="001D54EE">
        <w:rPr>
          <w:bCs/>
        </w:rPr>
        <w:t>0,9–1,6 години</w:t>
      </w:r>
      <w:r w:rsidRPr="001D54EE">
        <w:t>.</w:t>
      </w:r>
      <w:r w:rsidRPr="001D54EE">
        <w:rPr>
          <w:lang w:val="uk-UA"/>
        </w:rPr>
        <w:t xml:space="preserve"> Триметоприм добре проникає в тканини, сульфадимезин зв’язується з білками плазми. </w:t>
      </w:r>
      <w:r w:rsidRPr="001D54EE">
        <w:t>Середній період напіввиведення елімінації</w:t>
      </w:r>
      <w:r w:rsidRPr="001D54EE">
        <w:rPr>
          <w:lang w:val="uk-UA"/>
        </w:rPr>
        <w:t xml:space="preserve"> триметоприму</w:t>
      </w:r>
      <w:r w:rsidRPr="001D54EE">
        <w:t xml:space="preserve"> становить приблизно </w:t>
      </w:r>
      <w:r w:rsidRPr="001D54EE">
        <w:rPr>
          <w:bCs/>
        </w:rPr>
        <w:t>3,4–6,0 годин</w:t>
      </w:r>
      <w:r w:rsidRPr="001D54EE">
        <w:rPr>
          <w:lang w:val="uk-UA"/>
        </w:rPr>
        <w:t xml:space="preserve">, а сульфадимезину – </w:t>
      </w:r>
      <w:r w:rsidRPr="001D54EE">
        <w:rPr>
          <w:bCs/>
        </w:rPr>
        <w:t>3,1–4,3 години</w:t>
      </w:r>
      <w:r w:rsidRPr="001D54EE">
        <w:t>.</w:t>
      </w:r>
      <w:r w:rsidRPr="001D54EE">
        <w:rPr>
          <w:lang w:val="uk-UA"/>
        </w:rPr>
        <w:t xml:space="preserve"> </w:t>
      </w:r>
    </w:p>
    <w:p w:rsidR="00551B0E" w:rsidRPr="001D54EE" w:rsidRDefault="00551B0E" w:rsidP="00551B0E">
      <w:pPr>
        <w:ind w:firstLine="709"/>
        <w:jc w:val="both"/>
        <w:rPr>
          <w:u w:val="single"/>
          <w:lang w:val="uk-UA"/>
        </w:rPr>
      </w:pPr>
      <w:r w:rsidRPr="001D54EE">
        <w:rPr>
          <w:u w:val="single"/>
          <w:lang w:val="uk-UA"/>
        </w:rPr>
        <w:t>Свійська птиця.</w:t>
      </w:r>
    </w:p>
    <w:p w:rsidR="00551B0E" w:rsidRPr="001D54EE" w:rsidRDefault="00551B0E" w:rsidP="00551B0E">
      <w:pPr>
        <w:ind w:firstLine="709"/>
        <w:jc w:val="both"/>
        <w:rPr>
          <w:lang w:val="uk-UA"/>
        </w:rPr>
      </w:pPr>
      <w:r w:rsidRPr="001D54EE">
        <w:rPr>
          <w:lang w:val="uk-UA"/>
        </w:rPr>
        <w:t xml:space="preserve">Біодоступність триметоприму та сульфадимезину в бройлерів зазвичай </w:t>
      </w:r>
      <w:r w:rsidRPr="001D54EE">
        <w:rPr>
          <w:bCs/>
          <w:lang w:val="uk-UA"/>
        </w:rPr>
        <w:t>висока</w:t>
      </w:r>
      <w:r w:rsidRPr="001D54EE">
        <w:rPr>
          <w:lang w:val="uk-UA"/>
        </w:rPr>
        <w:t xml:space="preserve"> та становить близько 100%. Триметоприм має широкий об'єм розподілу </w:t>
      </w:r>
      <w:r w:rsidRPr="001D54EE">
        <w:rPr>
          <w:rStyle w:val="math-inline"/>
          <w:lang w:val="uk-UA"/>
        </w:rPr>
        <w:t>(</w:t>
      </w:r>
      <w:r w:rsidRPr="001D54EE">
        <w:rPr>
          <w:rStyle w:val="math-inline"/>
        </w:rPr>
        <w:t>Vd</w:t>
      </w:r>
      <w:r w:rsidRPr="001D54EE">
        <w:rPr>
          <w:rStyle w:val="math-inline"/>
          <w:lang w:val="uk-UA"/>
        </w:rPr>
        <w:t xml:space="preserve"> – від 2.2 до 3.14</w:t>
      </w:r>
      <w:r w:rsidRPr="001D54EE">
        <w:rPr>
          <w:lang w:val="uk-UA"/>
        </w:rPr>
        <w:t xml:space="preserve"> л/кг), що свідчить про </w:t>
      </w:r>
      <w:r w:rsidRPr="001D54EE">
        <w:rPr>
          <w:bCs/>
          <w:lang w:val="uk-UA"/>
        </w:rPr>
        <w:t>високу ліпофільність</w:t>
      </w:r>
      <w:r w:rsidRPr="001D54EE">
        <w:rPr>
          <w:lang w:val="uk-UA"/>
        </w:rPr>
        <w:t xml:space="preserve"> і хороше проникнення в тканини (зокрема, легені), сульфадимезин має нижчий об'єм розподілу порівняно з триметопримом (</w:t>
      </w:r>
      <w:r w:rsidRPr="001D54EE">
        <w:rPr>
          <w:rStyle w:val="math-inline"/>
        </w:rPr>
        <w:t>Vd</w:t>
      </w:r>
      <w:r w:rsidRPr="001D54EE">
        <w:rPr>
          <w:rStyle w:val="math-inline"/>
          <w:lang w:val="uk-UA"/>
        </w:rPr>
        <w:t xml:space="preserve"> – від 0,43 до 0,51</w:t>
      </w:r>
      <w:r w:rsidRPr="001D54EE">
        <w:rPr>
          <w:lang w:val="uk-UA"/>
        </w:rPr>
        <w:t xml:space="preserve"> л/кг), що вказує на більшу концентрацію в плазмі крові. </w:t>
      </w:r>
      <w:r w:rsidRPr="001D54EE">
        <w:t>Період напіввиведення (</w:t>
      </w:r>
      <w:r w:rsidRPr="001D54EE">
        <w:rPr>
          <w:rStyle w:val="math-inline"/>
        </w:rPr>
        <w:t>t</w:t>
      </w:r>
      <w:r w:rsidRPr="001D54EE">
        <w:rPr>
          <w:rStyle w:val="math-inline"/>
          <w:vertAlign w:val="subscript"/>
          <w:lang w:val="uk-UA"/>
        </w:rPr>
        <w:t>1/2</w:t>
      </w:r>
      <w:r w:rsidRPr="001D54EE">
        <w:t xml:space="preserve">) становить приблизно </w:t>
      </w:r>
      <w:r w:rsidRPr="001D54EE">
        <w:rPr>
          <w:bCs/>
        </w:rPr>
        <w:t>2.0–3.2 години</w:t>
      </w:r>
      <w:r w:rsidRPr="001D54EE">
        <w:t xml:space="preserve"> для </w:t>
      </w:r>
      <w:r w:rsidRPr="001D54EE">
        <w:rPr>
          <w:lang w:val="uk-UA"/>
        </w:rPr>
        <w:t>сульфадимезину та приблизно 0,88 годин для триметоприму</w:t>
      </w:r>
      <w:r w:rsidRPr="001D54EE">
        <w:t>.</w:t>
      </w:r>
      <w:r w:rsidRPr="001D54EE">
        <w:rPr>
          <w:lang w:val="uk-UA"/>
        </w:rPr>
        <w:t xml:space="preserve"> </w:t>
      </w:r>
    </w:p>
    <w:p w:rsidR="00551B0E" w:rsidRPr="001D54EE" w:rsidRDefault="00551B0E" w:rsidP="00551B0E">
      <w:pPr>
        <w:ind w:firstLine="709"/>
        <w:jc w:val="both"/>
        <w:rPr>
          <w:strike/>
          <w:lang w:val="uk-UA"/>
        </w:rPr>
      </w:pPr>
      <w:r w:rsidRPr="001D54EE">
        <w:rPr>
          <w:lang w:val="uk-UA"/>
        </w:rPr>
        <w:t>Триметоприм виводиться п</w:t>
      </w:r>
      <w:r w:rsidRPr="001D54EE">
        <w:t xml:space="preserve">ереважно </w:t>
      </w:r>
      <w:r w:rsidRPr="001D54EE">
        <w:rPr>
          <w:bCs/>
        </w:rPr>
        <w:t>нирками</w:t>
      </w:r>
      <w:r w:rsidRPr="001D54EE">
        <w:t xml:space="preserve"> шляхом клубочкової фільтрації та канальцевої секреції, значна частина виводиться </w:t>
      </w:r>
      <w:r w:rsidRPr="001D54EE">
        <w:rPr>
          <w:lang w:val="uk-UA"/>
        </w:rPr>
        <w:t>в</w:t>
      </w:r>
      <w:r w:rsidRPr="001D54EE">
        <w:t xml:space="preserve"> </w:t>
      </w:r>
      <w:r w:rsidRPr="001D54EE">
        <w:rPr>
          <w:bCs/>
        </w:rPr>
        <w:t>незміненому вигляді</w:t>
      </w:r>
      <w:r w:rsidRPr="001D54EE">
        <w:t>.</w:t>
      </w:r>
      <w:r w:rsidRPr="001D54EE">
        <w:rPr>
          <w:lang w:val="uk-UA"/>
        </w:rPr>
        <w:t xml:space="preserve"> Сульфадимезин також виводиться п</w:t>
      </w:r>
      <w:r w:rsidRPr="001D54EE">
        <w:t xml:space="preserve">ереважно </w:t>
      </w:r>
      <w:r w:rsidRPr="001D54EE">
        <w:rPr>
          <w:bCs/>
        </w:rPr>
        <w:t>нирками</w:t>
      </w:r>
      <w:r w:rsidRPr="001D54EE">
        <w:t xml:space="preserve">. Ацетильовані метаболіти </w:t>
      </w:r>
      <w:r w:rsidRPr="001D54EE">
        <w:rPr>
          <w:lang w:val="uk-UA"/>
        </w:rPr>
        <w:t xml:space="preserve">сульфадимезину </w:t>
      </w:r>
      <w:r w:rsidRPr="001D54EE">
        <w:t>при високій</w:t>
      </w:r>
      <w:r w:rsidRPr="001D54EE">
        <w:rPr>
          <w:lang w:val="uk-UA"/>
        </w:rPr>
        <w:t xml:space="preserve"> </w:t>
      </w:r>
      <w:r w:rsidRPr="001D54EE">
        <w:t>концентрації можуть випадати в осад у сечі.</w:t>
      </w:r>
    </w:p>
    <w:p w:rsidR="00551B0E" w:rsidRPr="001D54EE" w:rsidRDefault="00551B0E" w:rsidP="00551B0E">
      <w:pPr>
        <w:ind w:firstLine="567"/>
        <w:jc w:val="both"/>
        <w:rPr>
          <w:b/>
          <w:lang w:val="uk-UA"/>
        </w:rPr>
      </w:pPr>
      <w:r w:rsidRPr="001D54EE">
        <w:rPr>
          <w:b/>
          <w:lang w:val="uk-UA"/>
        </w:rPr>
        <w:t>5. Клінічні  особливості</w:t>
      </w:r>
    </w:p>
    <w:p w:rsidR="00551B0E" w:rsidRPr="001D54EE" w:rsidRDefault="00551B0E" w:rsidP="00551B0E">
      <w:pPr>
        <w:ind w:firstLine="567"/>
        <w:jc w:val="both"/>
        <w:rPr>
          <w:b/>
          <w:lang w:val="uk-UA"/>
        </w:rPr>
      </w:pPr>
      <w:r w:rsidRPr="001D54EE">
        <w:rPr>
          <w:b/>
          <w:lang w:val="uk-UA"/>
        </w:rPr>
        <w:t>5.1  Вид  тварин:</w:t>
      </w:r>
    </w:p>
    <w:p w:rsidR="00551B0E" w:rsidRPr="001D54EE" w:rsidRDefault="00551B0E" w:rsidP="00551B0E">
      <w:pPr>
        <w:ind w:firstLine="567"/>
        <w:jc w:val="both"/>
        <w:rPr>
          <w:lang w:val="uk-UA"/>
        </w:rPr>
      </w:pPr>
      <w:r w:rsidRPr="001D54EE">
        <w:rPr>
          <w:lang w:val="uk-UA"/>
        </w:rPr>
        <w:t>Велика рогата худоба (телята віком до 3-х місяців), свині та свійська птиця (кури-бройлери і ремонтний молодняк).</w:t>
      </w:r>
    </w:p>
    <w:p w:rsidR="00551B0E" w:rsidRPr="001D54EE" w:rsidRDefault="00551B0E" w:rsidP="00551B0E">
      <w:pPr>
        <w:ind w:firstLine="567"/>
        <w:jc w:val="both"/>
        <w:rPr>
          <w:b/>
          <w:lang w:val="uk-UA"/>
        </w:rPr>
      </w:pPr>
      <w:r w:rsidRPr="001D54EE">
        <w:rPr>
          <w:b/>
          <w:lang w:val="uk-UA"/>
        </w:rPr>
        <w:t>5.2  Показання  до  застосування</w:t>
      </w:r>
    </w:p>
    <w:p w:rsidR="00551B0E" w:rsidRPr="001D54EE" w:rsidRDefault="00551B0E" w:rsidP="00551B0E">
      <w:pPr>
        <w:pStyle w:val="6"/>
        <w:spacing w:before="0" w:after="0"/>
        <w:ind w:firstLine="567"/>
        <w:jc w:val="both"/>
        <w:rPr>
          <w:b w:val="0"/>
          <w:sz w:val="24"/>
          <w:szCs w:val="24"/>
          <w:lang w:val="uk-UA"/>
        </w:rPr>
      </w:pPr>
      <w:r w:rsidRPr="001D54EE">
        <w:rPr>
          <w:b w:val="0"/>
          <w:sz w:val="24"/>
          <w:szCs w:val="24"/>
          <w:lang w:val="uk-UA"/>
        </w:rPr>
        <w:t>Телята віком до 3 місяців: лікування тварин, хворих на колібактеріоз, сальмонельоз, пневмонію, пастерельоз, стрептококовий поліартрит, а також за захворювань органів сечовивідної системи,</w:t>
      </w:r>
      <w:r w:rsidRPr="001D54EE">
        <w:rPr>
          <w:b w:val="0"/>
          <w:sz w:val="24"/>
          <w:szCs w:val="24"/>
          <w:shd w:val="clear" w:color="auto" w:fill="FFFFFF"/>
          <w:lang w:val="uk-UA"/>
        </w:rPr>
        <w:t xml:space="preserve"> </w:t>
      </w:r>
      <w:r w:rsidRPr="001D54EE">
        <w:rPr>
          <w:b w:val="0"/>
          <w:sz w:val="24"/>
          <w:szCs w:val="24"/>
          <w:lang w:val="uk-UA"/>
        </w:rPr>
        <w:t>що спричинені мікроорганізмами, чутливими до сульфадимезину та триметоприму.</w:t>
      </w:r>
    </w:p>
    <w:p w:rsidR="00551B0E" w:rsidRPr="001D54EE" w:rsidRDefault="00551B0E" w:rsidP="00551B0E">
      <w:pPr>
        <w:pStyle w:val="6"/>
        <w:spacing w:before="0" w:after="0"/>
        <w:ind w:firstLine="567"/>
        <w:jc w:val="both"/>
        <w:rPr>
          <w:b w:val="0"/>
          <w:sz w:val="24"/>
          <w:szCs w:val="24"/>
          <w:lang w:val="uk-UA"/>
        </w:rPr>
      </w:pPr>
      <w:r w:rsidRPr="001D54EE">
        <w:rPr>
          <w:b w:val="0"/>
          <w:sz w:val="24"/>
          <w:szCs w:val="24"/>
          <w:lang w:val="uk-UA"/>
        </w:rPr>
        <w:t>Свині: лікування тварин, хворих на пневмонію, атрофічний риніт, сальмонельоз, гемофільозну плевропневмонію, колібактеріоз, пастерельоз,</w:t>
      </w:r>
      <w:r w:rsidRPr="001D54EE">
        <w:rPr>
          <w:rFonts w:ascii="Helvetica" w:hAnsi="Helvetica" w:cs="Helvetica"/>
          <w:b w:val="0"/>
          <w:shd w:val="clear" w:color="auto" w:fill="FFFFFF"/>
          <w:lang w:val="uk-UA"/>
        </w:rPr>
        <w:t xml:space="preserve"> </w:t>
      </w:r>
      <w:r w:rsidRPr="001D54EE">
        <w:rPr>
          <w:b w:val="0"/>
          <w:sz w:val="24"/>
          <w:szCs w:val="24"/>
          <w:shd w:val="clear" w:color="auto" w:fill="FFFFFF"/>
          <w:lang w:val="uk-UA"/>
        </w:rPr>
        <w:t xml:space="preserve">еймеріоз, </w:t>
      </w:r>
      <w:r w:rsidRPr="001D54EE">
        <w:rPr>
          <w:b w:val="0"/>
          <w:sz w:val="24"/>
          <w:szCs w:val="24"/>
          <w:lang w:val="uk-UA"/>
        </w:rPr>
        <w:t>що спричинені мікроорганізмами, чутливими до сульфадимезину та триметоприму.</w:t>
      </w:r>
    </w:p>
    <w:p w:rsidR="00551B0E" w:rsidRPr="001D54EE" w:rsidRDefault="00551B0E" w:rsidP="00551B0E">
      <w:pPr>
        <w:ind w:firstLine="567"/>
        <w:jc w:val="both"/>
        <w:rPr>
          <w:lang w:val="uk-UA"/>
        </w:rPr>
      </w:pPr>
      <w:r w:rsidRPr="001D54EE">
        <w:rPr>
          <w:lang w:val="uk-UA"/>
        </w:rPr>
        <w:t>Свійська птиця (кури-бройлери та ремонтний молодняк): лікування птиці, хворої на еймеріоз, колібактеріоз, сальмонельоз, пастерельоз, стафілококову інфекцію, інфекційний риніт, що спричинені мікроорганізмами, чутливими до триметоприму та сульфадимезину.</w:t>
      </w:r>
    </w:p>
    <w:p w:rsidR="00551B0E" w:rsidRPr="001D54EE" w:rsidRDefault="00551B0E" w:rsidP="00551B0E">
      <w:pPr>
        <w:ind w:firstLine="567"/>
        <w:rPr>
          <w:b/>
          <w:lang w:val="uk-UA"/>
        </w:rPr>
      </w:pPr>
      <w:r w:rsidRPr="001D54EE">
        <w:rPr>
          <w:b/>
          <w:lang w:val="uk-UA"/>
        </w:rPr>
        <w:t>5.3 Протипоказання</w:t>
      </w:r>
    </w:p>
    <w:p w:rsidR="00311D09" w:rsidRPr="001D54EE" w:rsidRDefault="00551B0E" w:rsidP="00551B0E">
      <w:pPr>
        <w:ind w:firstLine="567"/>
        <w:rPr>
          <w:lang w:val="uk-UA"/>
        </w:rPr>
      </w:pPr>
      <w:r w:rsidRPr="001D54EE">
        <w:rPr>
          <w:lang w:val="uk-UA"/>
        </w:rPr>
        <w:t>Підвищена чутливість до сульфадимезину та триметоприму.</w:t>
      </w:r>
    </w:p>
    <w:p w:rsidR="00A15BF7" w:rsidRPr="001D54EE" w:rsidRDefault="00A15BF7" w:rsidP="00311D09">
      <w:pPr>
        <w:ind w:firstLine="567"/>
        <w:rPr>
          <w:lang w:val="uk-UA"/>
        </w:rPr>
      </w:pPr>
    </w:p>
    <w:p w:rsidR="00A15BF7" w:rsidRPr="001D54EE" w:rsidRDefault="00A15BF7" w:rsidP="00311D09">
      <w:pPr>
        <w:ind w:firstLine="567"/>
        <w:rPr>
          <w:lang w:val="uk-UA"/>
        </w:rPr>
      </w:pPr>
    </w:p>
    <w:p w:rsidR="00A15BF7" w:rsidRPr="001D54EE" w:rsidRDefault="00A15BF7" w:rsidP="00311D09">
      <w:pPr>
        <w:ind w:firstLine="567"/>
        <w:rPr>
          <w:lang w:val="uk-UA"/>
        </w:rPr>
      </w:pPr>
    </w:p>
    <w:p w:rsidR="00311D09" w:rsidRPr="001D54EE" w:rsidRDefault="00311D09" w:rsidP="00311D09">
      <w:pPr>
        <w:ind w:left="-720"/>
        <w:jc w:val="right"/>
        <w:rPr>
          <w:lang w:val="uk-UA"/>
        </w:rPr>
      </w:pPr>
      <w:r w:rsidRPr="001D54EE">
        <w:rPr>
          <w:lang w:val="uk-UA"/>
        </w:rPr>
        <w:lastRenderedPageBreak/>
        <w:t>Продовження додатку 1</w:t>
      </w:r>
    </w:p>
    <w:p w:rsidR="00311D09" w:rsidRPr="001D54EE" w:rsidRDefault="00311D09" w:rsidP="00311D09">
      <w:pPr>
        <w:ind w:left="-720"/>
        <w:jc w:val="right"/>
        <w:rPr>
          <w:lang w:val="uk-UA"/>
        </w:rPr>
      </w:pPr>
      <w:r w:rsidRPr="001D54EE">
        <w:rPr>
          <w:lang w:val="uk-UA"/>
        </w:rPr>
        <w:t xml:space="preserve">до реєстраційного посвідчення </w:t>
      </w:r>
      <w:r w:rsidR="00F40EDE" w:rsidRPr="001D54EE">
        <w:rPr>
          <w:lang w:val="uk-UA"/>
        </w:rPr>
        <w:t>АВ-01019-01-10</w:t>
      </w:r>
    </w:p>
    <w:p w:rsidR="00311D09" w:rsidRPr="001D54EE" w:rsidRDefault="00311D09" w:rsidP="00311D09">
      <w:pPr>
        <w:ind w:left="-720"/>
        <w:jc w:val="right"/>
        <w:rPr>
          <w:lang w:val="uk-UA"/>
        </w:rPr>
      </w:pPr>
    </w:p>
    <w:p w:rsidR="00311D09" w:rsidRPr="001D54EE" w:rsidRDefault="00311D09" w:rsidP="00311D09">
      <w:pPr>
        <w:ind w:left="-720"/>
        <w:jc w:val="right"/>
        <w:rPr>
          <w:lang w:val="uk-UA"/>
        </w:rPr>
      </w:pPr>
    </w:p>
    <w:p w:rsidR="00551B0E" w:rsidRPr="001D54EE" w:rsidRDefault="00551B0E" w:rsidP="00551B0E">
      <w:pPr>
        <w:pStyle w:val="6"/>
        <w:spacing w:before="0" w:after="0"/>
        <w:ind w:firstLine="567"/>
        <w:jc w:val="both"/>
        <w:rPr>
          <w:rStyle w:val="FontStyle13"/>
          <w:sz w:val="24"/>
          <w:szCs w:val="24"/>
          <w:lang w:val="uk-UA" w:eastAsia="uk-UA"/>
        </w:rPr>
      </w:pPr>
      <w:r w:rsidRPr="001D54EE">
        <w:rPr>
          <w:rStyle w:val="FontStyle13"/>
          <w:sz w:val="24"/>
          <w:szCs w:val="24"/>
          <w:lang w:val="uk-UA" w:eastAsia="uk-UA"/>
        </w:rPr>
        <w:t xml:space="preserve">Не застосовувати тваринам із порушеною функцією печінки та </w:t>
      </w:r>
      <w:r w:rsidRPr="001D54EE">
        <w:rPr>
          <w:b w:val="0"/>
          <w:bCs w:val="0"/>
          <w:sz w:val="24"/>
          <w:szCs w:val="24"/>
        </w:rPr>
        <w:t>нирок</w:t>
      </w:r>
      <w:r w:rsidRPr="001D54EE">
        <w:rPr>
          <w:b w:val="0"/>
          <w:sz w:val="24"/>
          <w:szCs w:val="24"/>
        </w:rPr>
        <w:t xml:space="preserve">, а також </w:t>
      </w:r>
      <w:r w:rsidRPr="001D54EE">
        <w:rPr>
          <w:b w:val="0"/>
          <w:sz w:val="24"/>
          <w:szCs w:val="24"/>
          <w:lang w:val="uk-UA"/>
        </w:rPr>
        <w:t>за</w:t>
      </w:r>
      <w:r w:rsidRPr="001D54EE">
        <w:rPr>
          <w:b w:val="0"/>
          <w:sz w:val="24"/>
          <w:szCs w:val="24"/>
        </w:rPr>
        <w:t xml:space="preserve"> дискразії крові.</w:t>
      </w:r>
      <w:r w:rsidRPr="001D54EE">
        <w:rPr>
          <w:rStyle w:val="FontStyle13"/>
          <w:sz w:val="24"/>
          <w:szCs w:val="24"/>
          <w:lang w:val="uk-UA" w:eastAsia="uk-UA"/>
        </w:rPr>
        <w:t xml:space="preserve"> </w:t>
      </w:r>
    </w:p>
    <w:p w:rsidR="00551B0E" w:rsidRPr="001D54EE" w:rsidRDefault="00551B0E" w:rsidP="00551B0E">
      <w:pPr>
        <w:pStyle w:val="a6"/>
        <w:spacing w:after="0"/>
        <w:ind w:left="0" w:firstLine="567"/>
        <w:jc w:val="both"/>
        <w:rPr>
          <w:rStyle w:val="FontStyle13"/>
          <w:b w:val="0"/>
          <w:sz w:val="24"/>
          <w:szCs w:val="24"/>
          <w:lang w:val="uk-UA" w:eastAsia="uk-UA"/>
        </w:rPr>
      </w:pPr>
      <w:r w:rsidRPr="001D54EE">
        <w:rPr>
          <w:rStyle w:val="FontStyle13"/>
          <w:b w:val="0"/>
          <w:sz w:val="24"/>
          <w:szCs w:val="24"/>
          <w:lang w:val="uk-UA" w:eastAsia="uk-UA"/>
        </w:rPr>
        <w:t>Не застосовувати курям-несучкам, яйця яких використовують в їжу людям.</w:t>
      </w:r>
    </w:p>
    <w:p w:rsidR="00551B0E" w:rsidRPr="001D54EE" w:rsidRDefault="00551B0E" w:rsidP="00551B0E">
      <w:pPr>
        <w:pStyle w:val="a6"/>
        <w:spacing w:after="0"/>
        <w:ind w:left="0" w:firstLine="567"/>
        <w:jc w:val="both"/>
        <w:rPr>
          <w:rStyle w:val="FontStyle13"/>
          <w:b w:val="0"/>
          <w:sz w:val="24"/>
          <w:szCs w:val="24"/>
          <w:lang w:val="uk-UA" w:eastAsia="uk-UA"/>
        </w:rPr>
      </w:pPr>
      <w:r w:rsidRPr="001D54EE">
        <w:rPr>
          <w:rStyle w:val="FontStyle13"/>
          <w:b w:val="0"/>
          <w:sz w:val="24"/>
          <w:szCs w:val="24"/>
          <w:lang w:val="uk-UA" w:eastAsia="uk-UA"/>
        </w:rPr>
        <w:t>Не застосовувати свиноматкам у період лактації.</w:t>
      </w:r>
    </w:p>
    <w:p w:rsidR="00551B0E" w:rsidRPr="001D54EE" w:rsidRDefault="00551B0E" w:rsidP="00551B0E">
      <w:pPr>
        <w:pStyle w:val="a6"/>
        <w:spacing w:after="0"/>
        <w:ind w:left="0" w:firstLine="567"/>
        <w:rPr>
          <w:lang w:val="uk-UA"/>
        </w:rPr>
      </w:pPr>
      <w:r w:rsidRPr="001D54EE">
        <w:t xml:space="preserve">Не застосовувати </w:t>
      </w:r>
      <w:r w:rsidRPr="001D54EE">
        <w:rPr>
          <w:lang w:val="uk-UA"/>
        </w:rPr>
        <w:t>жуйним тваринам із функціонально розвиненими передшлунками.</w:t>
      </w:r>
    </w:p>
    <w:p w:rsidR="00551B0E" w:rsidRPr="001D54EE" w:rsidRDefault="00551B0E" w:rsidP="00551B0E">
      <w:pPr>
        <w:pStyle w:val="6"/>
        <w:spacing w:before="0" w:after="0"/>
        <w:ind w:firstLine="567"/>
        <w:jc w:val="both"/>
        <w:rPr>
          <w:b w:val="0"/>
          <w:sz w:val="24"/>
          <w:szCs w:val="24"/>
          <w:lang w:val="uk-UA"/>
        </w:rPr>
      </w:pPr>
      <w:r w:rsidRPr="001D54EE">
        <w:rPr>
          <w:b w:val="0"/>
          <w:sz w:val="24"/>
          <w:szCs w:val="24"/>
          <w:lang w:val="uk-UA"/>
        </w:rPr>
        <w:t>Не застосовувати одночасно з вітамінами групи В (нікотинамід, фолієва кислота, холін), з препаратами новокаїну, бензокаїну (анестезину) та інших похідних параамінобензойної кислоти.</w:t>
      </w:r>
    </w:p>
    <w:p w:rsidR="00551B0E" w:rsidRPr="001D54EE" w:rsidRDefault="00551B0E" w:rsidP="00551B0E">
      <w:pPr>
        <w:pStyle w:val="a6"/>
        <w:spacing w:after="0"/>
        <w:ind w:left="0" w:firstLine="567"/>
        <w:jc w:val="both"/>
        <w:rPr>
          <w:b/>
          <w:lang w:val="uk-UA"/>
        </w:rPr>
      </w:pPr>
      <w:r w:rsidRPr="001D54EE">
        <w:rPr>
          <w:b/>
          <w:lang w:val="uk-UA"/>
        </w:rPr>
        <w:t>5.4  Побічна  дія</w:t>
      </w:r>
    </w:p>
    <w:p w:rsidR="00551B0E" w:rsidRPr="001D54EE" w:rsidRDefault="00551B0E" w:rsidP="00551B0E">
      <w:pPr>
        <w:pStyle w:val="a6"/>
        <w:spacing w:after="0"/>
        <w:ind w:left="0" w:firstLine="567"/>
        <w:jc w:val="both"/>
        <w:rPr>
          <w:lang w:val="uk-UA"/>
        </w:rPr>
      </w:pPr>
      <w:r w:rsidRPr="001D54EE">
        <w:rPr>
          <w:lang w:val="uk-UA"/>
        </w:rPr>
        <w:t>В окремих випадках (у чутливих до сульфадимезину та триметоприму тварин) можливі алергічні явища (висипання на шкірі, свербіж та набряки). За тривалого застосування сульфаніламідів спостерігаються гематурія, кристалурія. У птиці можливе зменшення споживання води.</w:t>
      </w:r>
    </w:p>
    <w:p w:rsidR="00551B0E" w:rsidRPr="001D54EE" w:rsidRDefault="00551B0E" w:rsidP="00551B0E">
      <w:pPr>
        <w:pStyle w:val="a6"/>
        <w:spacing w:after="0"/>
        <w:ind w:left="0" w:firstLine="567"/>
        <w:jc w:val="both"/>
        <w:rPr>
          <w:lang w:val="uk-UA"/>
        </w:rPr>
      </w:pPr>
      <w:r w:rsidRPr="001D54EE">
        <w:rPr>
          <w:b/>
          <w:lang w:val="uk-UA"/>
        </w:rPr>
        <w:t>5.5  Особливі застереження при використанні</w:t>
      </w:r>
    </w:p>
    <w:p w:rsidR="00551B0E" w:rsidRPr="001D54EE" w:rsidRDefault="00551B0E" w:rsidP="00551B0E">
      <w:pPr>
        <w:pStyle w:val="a6"/>
        <w:spacing w:after="0"/>
        <w:ind w:left="0" w:firstLine="567"/>
        <w:jc w:val="both"/>
        <w:rPr>
          <w:lang w:val="uk-UA"/>
        </w:rPr>
      </w:pPr>
      <w:r w:rsidRPr="001D54EE">
        <w:t xml:space="preserve">Не застосовувати тваринам із сильним зневодненням організму. </w:t>
      </w:r>
      <w:r w:rsidRPr="001D54EE">
        <w:rPr>
          <w:lang w:val="uk-UA"/>
        </w:rPr>
        <w:t>У разі</w:t>
      </w:r>
      <w:r w:rsidRPr="001D54EE">
        <w:t xml:space="preserve"> виникненн</w:t>
      </w:r>
      <w:r w:rsidRPr="001D54EE">
        <w:rPr>
          <w:lang w:val="uk-UA"/>
        </w:rPr>
        <w:t>я</w:t>
      </w:r>
      <w:r w:rsidRPr="001D54EE">
        <w:t xml:space="preserve"> алергічних реакцій лікування препаратом припинити.</w:t>
      </w:r>
      <w:r w:rsidRPr="001D54EE">
        <w:rPr>
          <w:lang w:val="uk-UA"/>
        </w:rPr>
        <w:t xml:space="preserve"> Застосування препарату повинно базуватися на визначенні чутливості мікроорганізмів-збудників до триметоприму та сульфадимезину. Якщо це неможливо, терапія повинна ґрунтуватись на місцевій (регіональній, на рівні ферми) епізоотичній інформації про чутливість цільових бактерій. Використання препарату з відхиленням рекомендацій, зазначених у КХП, може збільшити поширеність бактерій, стійких до сульфадимезину та/або триметоприму, і знизити ефективність препарату.</w:t>
      </w:r>
    </w:p>
    <w:p w:rsidR="00551B0E" w:rsidRPr="001D54EE" w:rsidRDefault="00551B0E" w:rsidP="00551B0E">
      <w:pPr>
        <w:pStyle w:val="a6"/>
        <w:spacing w:after="0"/>
        <w:ind w:left="0" w:firstLine="567"/>
        <w:jc w:val="both"/>
        <w:rPr>
          <w:b/>
          <w:lang w:val="uk-UA"/>
        </w:rPr>
      </w:pPr>
      <w:r w:rsidRPr="001D54EE">
        <w:rPr>
          <w:b/>
          <w:lang w:val="uk-UA"/>
        </w:rPr>
        <w:t>5.6  Застосування  під  час  вагітності, лактації, несучості</w:t>
      </w:r>
    </w:p>
    <w:p w:rsidR="00551B0E" w:rsidRPr="001D54EE" w:rsidRDefault="00551B0E" w:rsidP="00551B0E">
      <w:pPr>
        <w:pStyle w:val="a6"/>
        <w:spacing w:after="0"/>
        <w:ind w:left="0" w:firstLine="567"/>
        <w:jc w:val="both"/>
        <w:rPr>
          <w:lang w:val="uk-UA"/>
        </w:rPr>
      </w:pPr>
      <w:r w:rsidRPr="001D54EE">
        <w:rPr>
          <w:lang w:val="uk-UA"/>
        </w:rPr>
        <w:t xml:space="preserve">Безпека ветеринарного препарату впродовж вагітності тварин не встановлена. Вагітним тваринам препарат не рекомендується до застосування, у зв’язку з можливою негативною дією на формування плоду. Застосування препарату допускається лише після оцінки співвідношення користь/ризик відповідним лікарем ветеринарної медицини.           </w:t>
      </w:r>
    </w:p>
    <w:p w:rsidR="00551B0E" w:rsidRPr="001D54EE" w:rsidRDefault="00551B0E" w:rsidP="00551B0E">
      <w:pPr>
        <w:pStyle w:val="a6"/>
        <w:spacing w:after="0"/>
        <w:ind w:left="0" w:firstLine="567"/>
        <w:jc w:val="both"/>
        <w:rPr>
          <w:lang w:val="uk-UA"/>
        </w:rPr>
      </w:pPr>
      <w:r w:rsidRPr="001D54EE">
        <w:rPr>
          <w:lang w:val="uk-UA"/>
        </w:rPr>
        <w:t xml:space="preserve">Не застосовувати для тварин у період лактації. </w:t>
      </w:r>
    </w:p>
    <w:p w:rsidR="00551B0E" w:rsidRPr="001D54EE" w:rsidRDefault="00551B0E" w:rsidP="00551B0E">
      <w:pPr>
        <w:pStyle w:val="a6"/>
        <w:spacing w:after="0"/>
        <w:ind w:left="0" w:firstLine="567"/>
        <w:jc w:val="both"/>
        <w:rPr>
          <w:lang w:val="uk-UA"/>
        </w:rPr>
      </w:pPr>
      <w:r w:rsidRPr="001D54EE">
        <w:rPr>
          <w:rStyle w:val="FontStyle13"/>
          <w:b w:val="0"/>
          <w:sz w:val="24"/>
          <w:szCs w:val="24"/>
          <w:lang w:val="uk-UA" w:eastAsia="uk-UA"/>
        </w:rPr>
        <w:t>Не застосовувати курям-несучкам, яйця яких використовують в їжу людям</w:t>
      </w:r>
      <w:r w:rsidRPr="001D54EE">
        <w:rPr>
          <w:rStyle w:val="FontStyle13"/>
          <w:sz w:val="24"/>
          <w:szCs w:val="24"/>
          <w:lang w:val="uk-UA" w:eastAsia="uk-UA"/>
        </w:rPr>
        <w:t>.</w:t>
      </w:r>
    </w:p>
    <w:p w:rsidR="00551B0E" w:rsidRPr="001D54EE" w:rsidRDefault="00551B0E" w:rsidP="00551B0E">
      <w:pPr>
        <w:pStyle w:val="a6"/>
        <w:spacing w:after="0"/>
        <w:ind w:left="0" w:firstLine="567"/>
        <w:jc w:val="both"/>
        <w:rPr>
          <w:b/>
          <w:lang w:val="uk-UA"/>
        </w:rPr>
      </w:pPr>
      <w:r w:rsidRPr="001D54EE">
        <w:rPr>
          <w:b/>
          <w:lang w:val="uk-UA"/>
        </w:rPr>
        <w:t>5.7 Взаємодія  з  іншими  засобами  та  інші  форми  взаємодії</w:t>
      </w:r>
    </w:p>
    <w:p w:rsidR="00551B0E" w:rsidRPr="001D54EE" w:rsidRDefault="00551B0E" w:rsidP="00551B0E">
      <w:pPr>
        <w:pStyle w:val="a6"/>
        <w:spacing w:after="0"/>
        <w:ind w:left="0" w:firstLine="567"/>
        <w:jc w:val="both"/>
        <w:rPr>
          <w:lang w:val="uk-UA"/>
        </w:rPr>
      </w:pPr>
      <w:r w:rsidRPr="001D54EE">
        <w:rPr>
          <w:lang w:val="uk-UA"/>
        </w:rPr>
        <w:t>Антациди при одночасному застосуванні з препаратом можуть знижувати його біодоступність.</w:t>
      </w:r>
    </w:p>
    <w:p w:rsidR="00551B0E" w:rsidRPr="001D54EE" w:rsidRDefault="00551B0E" w:rsidP="00551B0E">
      <w:pPr>
        <w:pStyle w:val="a6"/>
        <w:spacing w:after="0"/>
        <w:ind w:left="0" w:firstLine="567"/>
        <w:jc w:val="both"/>
        <w:rPr>
          <w:lang w:val="uk-UA"/>
        </w:rPr>
      </w:pPr>
      <w:r w:rsidRPr="001D54EE">
        <w:rPr>
          <w:lang w:val="uk-UA"/>
        </w:rPr>
        <w:t>Забороняється одночасне застосування препарату з вітамінами групи В (нікотинамід, фолієва кислота, холін), з препаратами новокаїну, бензокаїну (анестезину) та інших похідних параамінобензойної кислоти, з огляду на їх антагоністичну взаємодію до сульфаніламідів.</w:t>
      </w:r>
    </w:p>
    <w:p w:rsidR="00551B0E" w:rsidRPr="001D54EE" w:rsidRDefault="00551B0E" w:rsidP="00551B0E">
      <w:pPr>
        <w:pStyle w:val="a6"/>
        <w:spacing w:after="0"/>
        <w:ind w:left="0" w:firstLine="567"/>
        <w:jc w:val="both"/>
        <w:rPr>
          <w:b/>
          <w:lang w:val="uk-UA"/>
        </w:rPr>
      </w:pPr>
      <w:r w:rsidRPr="001D54EE">
        <w:rPr>
          <w:b/>
          <w:lang w:val="uk-UA"/>
        </w:rPr>
        <w:t>5.8  Дози і способи введення тваринам різного віку</w:t>
      </w:r>
    </w:p>
    <w:p w:rsidR="00551B0E" w:rsidRPr="001D54EE" w:rsidRDefault="00551B0E" w:rsidP="00551B0E">
      <w:pPr>
        <w:pStyle w:val="a6"/>
        <w:spacing w:after="0"/>
        <w:ind w:left="0" w:firstLine="567"/>
        <w:jc w:val="both"/>
        <w:rPr>
          <w:lang w:val="uk-UA"/>
        </w:rPr>
      </w:pPr>
      <w:r w:rsidRPr="001D54EE">
        <w:rPr>
          <w:lang w:val="uk-UA"/>
        </w:rPr>
        <w:t>Перорально з питною водою або молокозамінником у дозах:</w:t>
      </w:r>
    </w:p>
    <w:p w:rsidR="00551B0E" w:rsidRPr="001D54EE" w:rsidRDefault="00551B0E" w:rsidP="00551B0E">
      <w:pPr>
        <w:pStyle w:val="7187"/>
        <w:spacing w:before="0" w:beforeAutospacing="0" w:after="0" w:afterAutospacing="0"/>
        <w:ind w:firstLine="567"/>
        <w:jc w:val="both"/>
        <w:rPr>
          <w:lang w:val="ru-RU"/>
        </w:rPr>
      </w:pPr>
      <w:r w:rsidRPr="001D54EE">
        <w:rPr>
          <w:lang w:val="uk-UA"/>
        </w:rPr>
        <w:t>телята віком до 3-х місяців –</w:t>
      </w:r>
      <w:r w:rsidRPr="001D54EE">
        <w:rPr>
          <w:b/>
          <w:lang w:val="uk-UA"/>
        </w:rPr>
        <w:t xml:space="preserve"> </w:t>
      </w:r>
      <w:r w:rsidRPr="001D54EE">
        <w:rPr>
          <w:lang w:val="ru-RU"/>
        </w:rPr>
        <w:t>2,5 г препарату на 10 кг маси тіла тварини (що еквівалентно 25 мг сульфадимезину та 5,0 мг триметоприму на 1 кг маси тіла) щодобово протягом 3-5 діб;</w:t>
      </w:r>
    </w:p>
    <w:p w:rsidR="00551B0E" w:rsidRPr="001D54EE" w:rsidRDefault="00551B0E" w:rsidP="00551B0E">
      <w:pPr>
        <w:ind w:firstLine="567"/>
        <w:jc w:val="both"/>
        <w:rPr>
          <w:lang w:eastAsia="en-US"/>
        </w:rPr>
      </w:pPr>
      <w:r w:rsidRPr="001D54EE">
        <w:rPr>
          <w:lang w:eastAsia="en-US"/>
        </w:rPr>
        <w:t>свині – 2,5 г препарату на 10 кг маси тіла тварини (що еквівалентно 25 мг сульфадимезину та 5 мг триметоприму на 1 кг маси тіла)</w:t>
      </w:r>
      <w:r w:rsidRPr="001D54EE">
        <w:rPr>
          <w:lang w:val="uk-UA" w:eastAsia="en-US"/>
        </w:rPr>
        <w:t xml:space="preserve"> </w:t>
      </w:r>
      <w:r w:rsidRPr="001D54EE">
        <w:rPr>
          <w:lang w:eastAsia="en-US"/>
        </w:rPr>
        <w:t>щодобово протягом 3-5 діб;</w:t>
      </w:r>
    </w:p>
    <w:p w:rsidR="00311D09" w:rsidRPr="001D54EE" w:rsidRDefault="00551B0E" w:rsidP="00551B0E">
      <w:pPr>
        <w:ind w:firstLine="567"/>
        <w:jc w:val="both"/>
        <w:rPr>
          <w:lang w:val="uk-UA" w:eastAsia="en-US"/>
        </w:rPr>
      </w:pPr>
      <w:r w:rsidRPr="001D54EE">
        <w:rPr>
          <w:lang w:eastAsia="en-US"/>
        </w:rPr>
        <w:t xml:space="preserve">свійська птиця (кури-бройлери і ремонтний молодняк) - 2,5 г препарату на 10 кг маси тіла (що еквівалентно 25 мг сульфадимезину та 5,0 мг триметоприму на 1 кг маси тіла) або приблизно 1,0 кг препарату на 1000 л питної води щодня протягом 4-7 діб. </w:t>
      </w:r>
      <w:r w:rsidRPr="001D54EE">
        <w:rPr>
          <w:lang w:val="uk-UA" w:eastAsia="en-US"/>
        </w:rPr>
        <w:t>За</w:t>
      </w:r>
      <w:r w:rsidRPr="001D54EE">
        <w:rPr>
          <w:lang w:eastAsia="en-US"/>
        </w:rPr>
        <w:t xml:space="preserve"> еймеріоз</w:t>
      </w:r>
      <w:r w:rsidRPr="001D54EE">
        <w:rPr>
          <w:lang w:val="uk-UA" w:eastAsia="en-US"/>
        </w:rPr>
        <w:t>у</w:t>
      </w:r>
      <w:r w:rsidRPr="001D54EE">
        <w:rPr>
          <w:lang w:eastAsia="en-US"/>
        </w:rPr>
        <w:t xml:space="preserve"> птиці доза </w:t>
      </w:r>
      <w:r w:rsidRPr="001D54EE">
        <w:rPr>
          <w:lang w:val="uk-UA" w:eastAsia="en-US"/>
        </w:rPr>
        <w:t>становить</w:t>
      </w:r>
      <w:r w:rsidRPr="001D54EE">
        <w:rPr>
          <w:lang w:eastAsia="en-US"/>
        </w:rPr>
        <w:t xml:space="preserve"> 2 кг препарату на 1000 л питної води протягом 5 діб</w:t>
      </w:r>
      <w:r w:rsidRPr="001D54EE">
        <w:rPr>
          <w:lang w:val="uk-UA" w:eastAsia="en-US"/>
        </w:rPr>
        <w:t>.</w:t>
      </w:r>
    </w:p>
    <w:p w:rsidR="00311D09" w:rsidRPr="001D54EE" w:rsidRDefault="00311D09" w:rsidP="00311D09">
      <w:pPr>
        <w:ind w:left="-720"/>
        <w:jc w:val="right"/>
        <w:rPr>
          <w:lang w:val="uk-UA"/>
        </w:rPr>
      </w:pPr>
    </w:p>
    <w:p w:rsidR="00311D09" w:rsidRPr="001D54EE" w:rsidRDefault="00311D09" w:rsidP="00311D09">
      <w:pPr>
        <w:ind w:left="-720"/>
        <w:jc w:val="right"/>
        <w:rPr>
          <w:lang w:val="uk-UA"/>
        </w:rPr>
      </w:pPr>
      <w:r w:rsidRPr="001D54EE">
        <w:rPr>
          <w:lang w:val="uk-UA"/>
        </w:rPr>
        <w:lastRenderedPageBreak/>
        <w:t>Продовження додатку 1</w:t>
      </w:r>
    </w:p>
    <w:p w:rsidR="00311D09" w:rsidRPr="001D54EE" w:rsidRDefault="00311D09" w:rsidP="00311D09">
      <w:pPr>
        <w:ind w:left="-720"/>
        <w:jc w:val="right"/>
        <w:rPr>
          <w:lang w:val="uk-UA"/>
        </w:rPr>
      </w:pPr>
      <w:r w:rsidRPr="001D54EE">
        <w:rPr>
          <w:lang w:val="uk-UA"/>
        </w:rPr>
        <w:t xml:space="preserve">до реєстраційного посвідчення </w:t>
      </w:r>
      <w:r w:rsidR="00F40EDE" w:rsidRPr="001D54EE">
        <w:rPr>
          <w:lang w:val="uk-UA"/>
        </w:rPr>
        <w:t>АВ-01019-01-10</w:t>
      </w:r>
    </w:p>
    <w:p w:rsidR="00311D09" w:rsidRPr="001D54EE" w:rsidRDefault="00311D09" w:rsidP="00311D09">
      <w:pPr>
        <w:ind w:left="-720"/>
        <w:jc w:val="right"/>
        <w:rPr>
          <w:lang w:val="uk-UA"/>
        </w:rPr>
      </w:pPr>
    </w:p>
    <w:p w:rsidR="00311D09" w:rsidRPr="001D54EE" w:rsidRDefault="00311D09" w:rsidP="00311D09">
      <w:pPr>
        <w:ind w:left="-720"/>
        <w:jc w:val="right"/>
        <w:rPr>
          <w:lang w:val="uk-UA"/>
        </w:rPr>
      </w:pPr>
    </w:p>
    <w:p w:rsidR="005925CF" w:rsidRPr="001D54EE" w:rsidRDefault="005925CF" w:rsidP="005925CF">
      <w:pPr>
        <w:ind w:firstLine="567"/>
        <w:jc w:val="both"/>
        <w:rPr>
          <w:lang w:eastAsia="en-US"/>
        </w:rPr>
      </w:pPr>
      <w:r w:rsidRPr="001D54EE">
        <w:rPr>
          <w:lang w:eastAsia="en-US"/>
        </w:rPr>
        <w:t>Маточний розчин готують у співвідношенні: не менше 10 л води на 1 кг препарату, для цього необхідно в невелику ємність налити не менше 10 л питної води,</w:t>
      </w:r>
      <w:r w:rsidRPr="001D54EE">
        <w:rPr>
          <w:lang w:val="uk-UA" w:eastAsia="en-US"/>
        </w:rPr>
        <w:t xml:space="preserve"> </w:t>
      </w:r>
      <w:r w:rsidRPr="001D54EE">
        <w:rPr>
          <w:lang w:eastAsia="en-US"/>
        </w:rPr>
        <w:t>безперервно помішуючи, невеликими порціями додавати препарат. Перемішувати до повного розчинення препарату. Для швидшого розчинення порошку використовувати теплу питну воду. Приготований у такий спосіб концентрат (препарат: вода питна</w:t>
      </w:r>
      <w:r w:rsidRPr="001D54EE">
        <w:rPr>
          <w:lang w:val="uk-UA" w:eastAsia="en-US"/>
        </w:rPr>
        <w:t xml:space="preserve"> – </w:t>
      </w:r>
      <w:r w:rsidRPr="001D54EE">
        <w:rPr>
          <w:lang w:eastAsia="en-US"/>
        </w:rPr>
        <w:t xml:space="preserve">1:10) зразу ж додають до необхідної кількості питної води відповідно до норм </w:t>
      </w:r>
      <w:r w:rsidRPr="001D54EE">
        <w:rPr>
          <w:lang w:val="uk-UA" w:eastAsia="en-US"/>
        </w:rPr>
        <w:t>споживання</w:t>
      </w:r>
      <w:r w:rsidRPr="001D54EE">
        <w:rPr>
          <w:lang w:eastAsia="en-US"/>
        </w:rPr>
        <w:t xml:space="preserve"> води для окремих вікових категорій птиці. Щодня готують свіжий розчин препарату.</w:t>
      </w:r>
    </w:p>
    <w:p w:rsidR="005925CF" w:rsidRPr="001D54EE" w:rsidRDefault="005925CF" w:rsidP="005925CF">
      <w:pPr>
        <w:ind w:firstLine="567"/>
        <w:jc w:val="both"/>
        <w:rPr>
          <w:b/>
          <w:lang w:val="uk-UA"/>
        </w:rPr>
      </w:pPr>
      <w:r w:rsidRPr="001D54EE">
        <w:rPr>
          <w:b/>
          <w:lang w:val="uk-UA"/>
        </w:rPr>
        <w:t>5.9 Передозування (симптоми, невідкладні заходи, антидоти)</w:t>
      </w:r>
    </w:p>
    <w:p w:rsidR="005925CF" w:rsidRPr="001D54EE" w:rsidRDefault="005925CF" w:rsidP="005925CF">
      <w:pPr>
        <w:pStyle w:val="a6"/>
        <w:spacing w:after="0"/>
        <w:ind w:left="0" w:firstLine="567"/>
        <w:jc w:val="both"/>
        <w:rPr>
          <w:lang w:val="uk-UA"/>
        </w:rPr>
      </w:pPr>
      <w:r w:rsidRPr="001D54EE">
        <w:rPr>
          <w:lang w:val="uk-UA"/>
        </w:rPr>
        <w:t>Випадки негативної дії препарату, викликані одноразовим передозуванням, невідомі.</w:t>
      </w:r>
    </w:p>
    <w:p w:rsidR="005925CF" w:rsidRPr="001D54EE" w:rsidRDefault="005925CF" w:rsidP="005925CF">
      <w:pPr>
        <w:pStyle w:val="a6"/>
        <w:spacing w:after="0"/>
        <w:ind w:left="0" w:firstLine="567"/>
        <w:jc w:val="both"/>
        <w:rPr>
          <w:lang w:val="uk-UA"/>
        </w:rPr>
      </w:pPr>
      <w:r w:rsidRPr="001D54EE">
        <w:rPr>
          <w:lang w:val="uk-UA"/>
        </w:rPr>
        <w:t>В основному побічні явища при передозуванні препарату відмічаються з боку травного каналу (нудота, блювання, діарея, анорексія).</w:t>
      </w:r>
    </w:p>
    <w:p w:rsidR="005925CF" w:rsidRPr="001D54EE" w:rsidRDefault="005925CF" w:rsidP="005925CF">
      <w:pPr>
        <w:pStyle w:val="a6"/>
        <w:spacing w:after="0"/>
        <w:ind w:left="0" w:firstLine="567"/>
        <w:jc w:val="both"/>
        <w:rPr>
          <w:lang w:val="uk-UA"/>
        </w:rPr>
      </w:pPr>
      <w:r w:rsidRPr="001D54EE">
        <w:rPr>
          <w:lang w:val="uk-UA"/>
        </w:rPr>
        <w:t>Можливі також зміни з боку ЦНС (пригнічення), пригнічення функції кісткового мозку, підвищення рівня амінотрансфераз у крові. За передозування препарату необхідно промити шлунок та призначення симптоматичної терапії.</w:t>
      </w:r>
    </w:p>
    <w:p w:rsidR="005925CF" w:rsidRPr="001D54EE" w:rsidRDefault="005925CF" w:rsidP="005925CF">
      <w:pPr>
        <w:pStyle w:val="a6"/>
        <w:spacing w:after="0"/>
        <w:ind w:left="0" w:firstLine="567"/>
        <w:jc w:val="both"/>
        <w:rPr>
          <w:lang w:val="uk-UA"/>
        </w:rPr>
      </w:pPr>
      <w:r w:rsidRPr="001D54EE">
        <w:rPr>
          <w:lang w:val="uk-UA"/>
        </w:rPr>
        <w:t>Застосування у подвійній дозі не викликає побічних дій.</w:t>
      </w:r>
    </w:p>
    <w:p w:rsidR="005925CF" w:rsidRPr="001D54EE" w:rsidRDefault="005925CF" w:rsidP="005925CF">
      <w:pPr>
        <w:pStyle w:val="a6"/>
        <w:spacing w:after="0"/>
        <w:ind w:left="0" w:firstLine="567"/>
        <w:jc w:val="both"/>
        <w:rPr>
          <w:b/>
          <w:lang w:val="uk-UA"/>
        </w:rPr>
      </w:pPr>
      <w:r w:rsidRPr="001D54EE">
        <w:rPr>
          <w:b/>
          <w:lang w:val="uk-UA"/>
        </w:rPr>
        <w:t xml:space="preserve">5.10  Спеціальні  застереження           </w:t>
      </w:r>
    </w:p>
    <w:p w:rsidR="002E685A" w:rsidRPr="001D54EE" w:rsidRDefault="005925CF" w:rsidP="00311D09">
      <w:pPr>
        <w:ind w:firstLine="567"/>
        <w:jc w:val="both"/>
        <w:rPr>
          <w:lang w:val="uk-UA"/>
        </w:rPr>
      </w:pPr>
      <w:r w:rsidRPr="001D54EE">
        <w:rPr>
          <w:lang w:val="uk-UA"/>
        </w:rPr>
        <w:t>Немає.</w:t>
      </w:r>
    </w:p>
    <w:p w:rsidR="002E685A" w:rsidRPr="001D54EE" w:rsidRDefault="002E685A" w:rsidP="002E685A">
      <w:pPr>
        <w:ind w:firstLine="567"/>
        <w:jc w:val="both"/>
        <w:rPr>
          <w:b/>
          <w:lang w:val="uk-UA"/>
        </w:rPr>
      </w:pPr>
      <w:r w:rsidRPr="001D54EE">
        <w:rPr>
          <w:b/>
          <w:lang w:val="uk-UA"/>
        </w:rPr>
        <w:t>5.11   Період  виведення (каренції)</w:t>
      </w:r>
    </w:p>
    <w:p w:rsidR="002E685A" w:rsidRPr="001D54EE" w:rsidRDefault="002E685A" w:rsidP="002E685A">
      <w:pPr>
        <w:pStyle w:val="11"/>
        <w:ind w:firstLine="567"/>
        <w:jc w:val="both"/>
        <w:rPr>
          <w:sz w:val="24"/>
          <w:szCs w:val="24"/>
          <w:lang w:val="uk-UA"/>
        </w:rPr>
      </w:pPr>
      <w:r w:rsidRPr="001D54EE">
        <w:rPr>
          <w:sz w:val="24"/>
          <w:szCs w:val="24"/>
          <w:lang w:val="uk-UA"/>
        </w:rPr>
        <w:t>Забій тварин на м’ясо дозволяють через 10 діб (телята та свині) та через 15 діб (свійська птиця) після останнього застосування препарату. Отримане, до зазначеного терміну, м'ясо утилізують або згодовують непродуктивним тваринам, залежно від висновку лікаря ветеринарної медицини.</w:t>
      </w:r>
    </w:p>
    <w:p w:rsidR="002E685A" w:rsidRPr="001D54EE" w:rsidRDefault="002E685A" w:rsidP="002E685A">
      <w:pPr>
        <w:ind w:firstLine="567"/>
        <w:jc w:val="both"/>
      </w:pPr>
      <w:r w:rsidRPr="001D54EE">
        <w:rPr>
          <w:b/>
        </w:rPr>
        <w:t>5.1</w:t>
      </w:r>
      <w:r w:rsidRPr="001D54EE">
        <w:rPr>
          <w:b/>
          <w:lang w:val="uk-UA"/>
        </w:rPr>
        <w:t>2</w:t>
      </w:r>
      <w:r w:rsidRPr="001D54EE">
        <w:t xml:space="preserve"> </w:t>
      </w:r>
      <w:r w:rsidRPr="001D54EE">
        <w:rPr>
          <w:b/>
          <w:iCs/>
        </w:rPr>
        <w:t>Спеціальні застереження для осіб і обслуговуючого персоналу</w:t>
      </w:r>
    </w:p>
    <w:p w:rsidR="002E685A" w:rsidRPr="001D54EE" w:rsidRDefault="002E685A" w:rsidP="002E685A">
      <w:pPr>
        <w:pStyle w:val="11"/>
        <w:ind w:firstLine="567"/>
        <w:rPr>
          <w:sz w:val="24"/>
          <w:szCs w:val="24"/>
        </w:rPr>
      </w:pPr>
      <w:r w:rsidRPr="001D54EE">
        <w:rPr>
          <w:sz w:val="24"/>
          <w:szCs w:val="24"/>
        </w:rPr>
        <w:t>Дотримуватись правил роботи з ветеринарними препаратами.</w:t>
      </w:r>
    </w:p>
    <w:p w:rsidR="002E685A" w:rsidRPr="001D54EE" w:rsidRDefault="002E685A" w:rsidP="002E685A">
      <w:pPr>
        <w:tabs>
          <w:tab w:val="left" w:pos="-720"/>
        </w:tabs>
        <w:ind w:firstLine="567"/>
        <w:rPr>
          <w:b/>
          <w:lang w:val="uk-UA"/>
        </w:rPr>
      </w:pPr>
      <w:r w:rsidRPr="001D54EE">
        <w:rPr>
          <w:b/>
          <w:lang w:val="uk-UA"/>
        </w:rPr>
        <w:t>6.  Фармацевтичні  особливості</w:t>
      </w:r>
    </w:p>
    <w:p w:rsidR="002E685A" w:rsidRPr="001D54EE" w:rsidRDefault="002E685A" w:rsidP="002E685A">
      <w:pPr>
        <w:tabs>
          <w:tab w:val="left" w:pos="-900"/>
        </w:tabs>
        <w:ind w:firstLine="567"/>
        <w:rPr>
          <w:b/>
          <w:lang w:val="uk-UA"/>
        </w:rPr>
      </w:pPr>
      <w:r w:rsidRPr="001D54EE">
        <w:rPr>
          <w:b/>
          <w:lang w:val="uk-UA"/>
        </w:rPr>
        <w:t>6.1  Форми несумісності</w:t>
      </w:r>
    </w:p>
    <w:p w:rsidR="002E685A" w:rsidRPr="001D54EE" w:rsidRDefault="002E685A" w:rsidP="002E685A">
      <w:pPr>
        <w:pStyle w:val="a6"/>
        <w:spacing w:after="0"/>
        <w:ind w:left="0" w:firstLine="567"/>
        <w:jc w:val="both"/>
        <w:rPr>
          <w:lang w:val="uk-UA"/>
        </w:rPr>
      </w:pPr>
      <w:r w:rsidRPr="001D54EE">
        <w:rPr>
          <w:lang w:val="uk-UA"/>
        </w:rPr>
        <w:t>Препарат не застосовують одночасно з антацидними препаратами, оскільки вони знижують біодоступність ТРИМЕРАТИНВЕТ порошку.</w:t>
      </w:r>
    </w:p>
    <w:p w:rsidR="002E685A" w:rsidRPr="001D54EE" w:rsidRDefault="002E685A" w:rsidP="002E685A">
      <w:pPr>
        <w:pStyle w:val="a6"/>
        <w:spacing w:after="0"/>
        <w:ind w:left="0" w:firstLine="567"/>
        <w:jc w:val="both"/>
        <w:rPr>
          <w:lang w:val="uk-UA"/>
        </w:rPr>
      </w:pPr>
      <w:r w:rsidRPr="001D54EE">
        <w:rPr>
          <w:lang w:val="uk-UA"/>
        </w:rPr>
        <w:t>Триметоприм може знижувати терапевтичну ефективність циклоспорину та підвищити ризик розвитку нефротоксичності.</w:t>
      </w:r>
    </w:p>
    <w:p w:rsidR="002E685A" w:rsidRPr="001D54EE" w:rsidRDefault="002E685A" w:rsidP="002E685A">
      <w:pPr>
        <w:pStyle w:val="a6"/>
        <w:spacing w:after="0"/>
        <w:ind w:left="0" w:firstLine="567"/>
        <w:jc w:val="both"/>
        <w:rPr>
          <w:b/>
          <w:lang w:val="uk-UA"/>
        </w:rPr>
      </w:pPr>
      <w:r w:rsidRPr="001D54EE">
        <w:rPr>
          <w:b/>
          <w:lang w:val="uk-UA"/>
        </w:rPr>
        <w:t>6.2  Термін  придатності</w:t>
      </w:r>
    </w:p>
    <w:p w:rsidR="002E685A" w:rsidRPr="001D54EE" w:rsidRDefault="002E685A" w:rsidP="002E685A">
      <w:pPr>
        <w:pStyle w:val="21"/>
        <w:spacing w:after="0" w:line="240" w:lineRule="auto"/>
        <w:ind w:left="0" w:firstLine="567"/>
        <w:jc w:val="both"/>
        <w:rPr>
          <w:lang w:val="uk-UA"/>
        </w:rPr>
      </w:pPr>
      <w:r w:rsidRPr="001D54EE">
        <w:rPr>
          <w:lang w:val="uk-UA"/>
        </w:rPr>
        <w:t>3 роки.</w:t>
      </w:r>
    </w:p>
    <w:p w:rsidR="002E685A" w:rsidRPr="001D54EE" w:rsidRDefault="002E685A" w:rsidP="002E685A">
      <w:pPr>
        <w:pStyle w:val="21"/>
        <w:spacing w:after="0" w:line="240" w:lineRule="auto"/>
        <w:ind w:left="0" w:firstLine="567"/>
        <w:jc w:val="both"/>
        <w:rPr>
          <w:b/>
          <w:lang w:val="uk-UA"/>
        </w:rPr>
      </w:pPr>
      <w:r w:rsidRPr="001D54EE">
        <w:rPr>
          <w:b/>
          <w:lang w:val="uk-UA"/>
        </w:rPr>
        <w:t>6.3   Особливі  заходи зберігання</w:t>
      </w:r>
    </w:p>
    <w:p w:rsidR="002E685A" w:rsidRPr="001D54EE" w:rsidRDefault="002E685A" w:rsidP="002E685A">
      <w:pPr>
        <w:tabs>
          <w:tab w:val="left" w:pos="630"/>
        </w:tabs>
        <w:ind w:firstLine="567"/>
        <w:jc w:val="both"/>
        <w:rPr>
          <w:lang w:val="uk-UA"/>
        </w:rPr>
      </w:pPr>
      <w:r w:rsidRPr="001D54EE">
        <w:rPr>
          <w:lang w:val="uk-UA"/>
        </w:rPr>
        <w:t>Сухе темне, недоступне для дітей місце  за температури від 5 до 25 °С.</w:t>
      </w:r>
    </w:p>
    <w:p w:rsidR="002E685A" w:rsidRPr="001D54EE" w:rsidRDefault="002E685A" w:rsidP="002E685A">
      <w:pPr>
        <w:tabs>
          <w:tab w:val="left" w:pos="630"/>
        </w:tabs>
        <w:ind w:firstLine="567"/>
        <w:jc w:val="both"/>
        <w:rPr>
          <w:b/>
          <w:lang w:val="uk-UA"/>
        </w:rPr>
      </w:pPr>
      <w:r w:rsidRPr="001D54EE">
        <w:rPr>
          <w:b/>
          <w:lang w:val="uk-UA"/>
        </w:rPr>
        <w:t>6.4   Природа  і  склад  контейнера первинного упакування</w:t>
      </w:r>
    </w:p>
    <w:p w:rsidR="002E685A" w:rsidRPr="001D54EE" w:rsidRDefault="002E685A" w:rsidP="002E685A">
      <w:pPr>
        <w:pStyle w:val="21"/>
        <w:spacing w:after="0" w:line="240" w:lineRule="auto"/>
        <w:ind w:left="0" w:firstLine="567"/>
        <w:jc w:val="both"/>
        <w:rPr>
          <w:lang w:val="uk-UA"/>
        </w:rPr>
      </w:pPr>
      <w:r w:rsidRPr="001D54EE">
        <w:rPr>
          <w:lang w:val="uk-UA"/>
        </w:rPr>
        <w:t xml:space="preserve">Пакети з поліетиленової плівки або іншої полімерної плівки по 3,  50, 100,  500 г та 1 кг. </w:t>
      </w:r>
    </w:p>
    <w:p w:rsidR="002E685A" w:rsidRPr="001D54EE" w:rsidRDefault="002E685A" w:rsidP="002E685A">
      <w:pPr>
        <w:pStyle w:val="21"/>
        <w:spacing w:after="0" w:line="240" w:lineRule="auto"/>
        <w:ind w:left="0" w:firstLine="567"/>
        <w:jc w:val="both"/>
        <w:rPr>
          <w:lang w:val="uk-UA"/>
        </w:rPr>
      </w:pPr>
      <w:r w:rsidRPr="001D54EE">
        <w:rPr>
          <w:lang w:val="uk-UA"/>
        </w:rPr>
        <w:t xml:space="preserve">Контейнери полімерні по 100 та 500 г, </w:t>
      </w:r>
      <w:smartTag w:uri="urn:schemas-microsoft-com:office:smarttags" w:element="metricconverter">
        <w:smartTagPr>
          <w:attr w:name="ProductID" w:val="1 кг"/>
        </w:smartTagPr>
        <w:r w:rsidRPr="001D54EE">
          <w:rPr>
            <w:lang w:val="uk-UA"/>
          </w:rPr>
          <w:t>1 кг</w:t>
        </w:r>
      </w:smartTag>
      <w:r w:rsidRPr="001D54EE">
        <w:rPr>
          <w:lang w:val="uk-UA"/>
        </w:rPr>
        <w:t>.</w:t>
      </w:r>
    </w:p>
    <w:p w:rsidR="002E685A" w:rsidRPr="001D54EE" w:rsidRDefault="002E685A" w:rsidP="002E685A">
      <w:pPr>
        <w:ind w:firstLine="567"/>
        <w:jc w:val="both"/>
        <w:rPr>
          <w:b/>
          <w:lang w:val="uk-UA"/>
        </w:rPr>
      </w:pPr>
      <w:r w:rsidRPr="001D54EE">
        <w:rPr>
          <w:b/>
          <w:lang w:val="uk-UA"/>
        </w:rPr>
        <w:t>6.5  Особливі заходи безпеки при поводженні з невикористаним препаратами або із його залишками.</w:t>
      </w:r>
    </w:p>
    <w:p w:rsidR="002E685A" w:rsidRPr="001D54EE" w:rsidRDefault="002E685A" w:rsidP="002E685A">
      <w:pPr>
        <w:ind w:firstLine="567"/>
        <w:jc w:val="both"/>
      </w:pPr>
      <w:r w:rsidRPr="001D54EE">
        <w:t>Порожню упаковку та залишки невикористаного препарату потрібно утилізувати згідно з чинним законодавством.</w:t>
      </w:r>
    </w:p>
    <w:p w:rsidR="002E685A" w:rsidRPr="001D54EE" w:rsidRDefault="002E685A" w:rsidP="002E685A">
      <w:pPr>
        <w:ind w:firstLine="567"/>
        <w:jc w:val="both"/>
        <w:rPr>
          <w:b/>
        </w:rPr>
      </w:pPr>
      <w:r w:rsidRPr="001D54EE">
        <w:rPr>
          <w:b/>
        </w:rPr>
        <w:t>7. Назва та місцезнаходження власника реєстраційного посвідчення</w:t>
      </w:r>
    </w:p>
    <w:p w:rsidR="001B28A5" w:rsidRPr="001D54EE" w:rsidRDefault="002E685A" w:rsidP="002E685A">
      <w:pPr>
        <w:ind w:firstLine="709"/>
        <w:jc w:val="both"/>
        <w:rPr>
          <w:lang w:val="uk-UA"/>
        </w:rPr>
      </w:pPr>
      <w:r w:rsidRPr="001D54EE">
        <w:rPr>
          <w:lang w:val="uk-UA"/>
        </w:rPr>
        <w:t>Товариство з обмежено</w:t>
      </w:r>
      <w:r w:rsidR="001B28A5" w:rsidRPr="001D54EE">
        <w:rPr>
          <w:lang w:val="uk-UA"/>
        </w:rPr>
        <w:t>ю відповідальністю “Ветсинтез”,</w:t>
      </w:r>
    </w:p>
    <w:p w:rsidR="002E685A" w:rsidRPr="001D54EE" w:rsidRDefault="002E685A" w:rsidP="002E685A">
      <w:pPr>
        <w:ind w:firstLine="567"/>
        <w:jc w:val="both"/>
        <w:rPr>
          <w:lang w:val="uk-UA"/>
        </w:rPr>
      </w:pPr>
      <w:r w:rsidRPr="001D54EE">
        <w:rPr>
          <w:lang w:val="uk-UA"/>
        </w:rPr>
        <w:t xml:space="preserve">61001, м. Харків, вул. </w:t>
      </w:r>
      <w:r w:rsidRPr="001D54EE">
        <w:rPr>
          <w:lang w:val="uk-UA" w:eastAsia="ar-SA"/>
        </w:rPr>
        <w:t>Бобанича Тараса</w:t>
      </w:r>
      <w:r w:rsidRPr="001D54EE">
        <w:rPr>
          <w:lang w:val="uk-UA"/>
        </w:rPr>
        <w:t xml:space="preserve">, 30, Україна </w:t>
      </w:r>
    </w:p>
    <w:p w:rsidR="002E685A" w:rsidRPr="001D54EE" w:rsidRDefault="002E685A" w:rsidP="002E685A">
      <w:pPr>
        <w:ind w:firstLine="567"/>
        <w:jc w:val="both"/>
        <w:rPr>
          <w:b/>
        </w:rPr>
      </w:pPr>
      <w:r w:rsidRPr="001D54EE">
        <w:rPr>
          <w:b/>
        </w:rPr>
        <w:t>8. Назва та місцезнаходження виробника (виробників)</w:t>
      </w:r>
    </w:p>
    <w:p w:rsidR="00A15BF7" w:rsidRPr="001D54EE" w:rsidRDefault="00A15BF7" w:rsidP="00256DAD">
      <w:pPr>
        <w:ind w:left="-720"/>
        <w:jc w:val="right"/>
        <w:rPr>
          <w:lang w:val="uk-UA"/>
        </w:rPr>
      </w:pPr>
    </w:p>
    <w:p w:rsidR="00785B9F" w:rsidRPr="001D54EE" w:rsidRDefault="00785B9F" w:rsidP="00256DAD">
      <w:pPr>
        <w:ind w:left="-720"/>
        <w:jc w:val="right"/>
        <w:rPr>
          <w:lang w:val="uk-UA"/>
        </w:rPr>
      </w:pPr>
    </w:p>
    <w:p w:rsidR="00256DAD" w:rsidRPr="001D54EE" w:rsidRDefault="00256DAD" w:rsidP="00256DAD">
      <w:pPr>
        <w:ind w:left="-720"/>
        <w:jc w:val="right"/>
        <w:rPr>
          <w:lang w:val="uk-UA"/>
        </w:rPr>
      </w:pPr>
      <w:r w:rsidRPr="001D54EE">
        <w:rPr>
          <w:lang w:val="uk-UA"/>
        </w:rPr>
        <w:lastRenderedPageBreak/>
        <w:t>Продовження додатку 1</w:t>
      </w:r>
    </w:p>
    <w:p w:rsidR="00256DAD" w:rsidRPr="001D54EE" w:rsidRDefault="00256DAD" w:rsidP="00256DAD">
      <w:pPr>
        <w:ind w:left="-720"/>
        <w:jc w:val="right"/>
        <w:rPr>
          <w:lang w:val="uk-UA"/>
        </w:rPr>
      </w:pPr>
      <w:r w:rsidRPr="001D54EE">
        <w:rPr>
          <w:lang w:val="uk-UA"/>
        </w:rPr>
        <w:t xml:space="preserve">до реєстраційного посвідчення </w:t>
      </w:r>
      <w:r w:rsidR="00F40EDE" w:rsidRPr="001D54EE">
        <w:rPr>
          <w:lang w:val="uk-UA"/>
        </w:rPr>
        <w:t>АВ-01019-01-10</w:t>
      </w:r>
    </w:p>
    <w:p w:rsidR="00256DAD" w:rsidRPr="001D54EE" w:rsidRDefault="00256DAD" w:rsidP="00256DAD">
      <w:pPr>
        <w:ind w:left="-720"/>
        <w:jc w:val="right"/>
        <w:rPr>
          <w:lang w:val="uk-UA"/>
        </w:rPr>
      </w:pPr>
    </w:p>
    <w:p w:rsidR="00256DAD" w:rsidRPr="001D54EE" w:rsidRDefault="00256DAD" w:rsidP="00256DAD">
      <w:pPr>
        <w:ind w:left="-720"/>
        <w:jc w:val="right"/>
        <w:rPr>
          <w:lang w:val="uk-UA"/>
        </w:rPr>
      </w:pPr>
      <w:bookmarkStart w:id="0" w:name="_GoBack"/>
      <w:bookmarkEnd w:id="0"/>
    </w:p>
    <w:p w:rsidR="002E685A" w:rsidRPr="001D54EE" w:rsidRDefault="002E685A" w:rsidP="002E685A">
      <w:pPr>
        <w:ind w:firstLine="709"/>
        <w:jc w:val="both"/>
        <w:rPr>
          <w:lang w:val="uk-UA"/>
        </w:rPr>
      </w:pPr>
      <w:r w:rsidRPr="001D54EE">
        <w:rPr>
          <w:lang w:val="uk-UA"/>
        </w:rPr>
        <w:t>Товариство з обмежено</w:t>
      </w:r>
      <w:r w:rsidR="001B28A5" w:rsidRPr="001D54EE">
        <w:rPr>
          <w:lang w:val="uk-UA"/>
        </w:rPr>
        <w:t>ю відповідальністю “Ветсинтез”,</w:t>
      </w:r>
    </w:p>
    <w:p w:rsidR="002E685A" w:rsidRPr="001D54EE" w:rsidRDefault="002E685A" w:rsidP="002E685A">
      <w:pPr>
        <w:widowControl w:val="0"/>
        <w:ind w:firstLine="567"/>
        <w:jc w:val="both"/>
        <w:rPr>
          <w:lang w:val="uk-UA"/>
        </w:rPr>
      </w:pPr>
      <w:r w:rsidRPr="001D54EE">
        <w:rPr>
          <w:lang w:val="uk-UA"/>
        </w:rPr>
        <w:t xml:space="preserve">61001, м. Харків, вул. </w:t>
      </w:r>
      <w:r w:rsidRPr="001D54EE">
        <w:rPr>
          <w:lang w:val="uk-UA" w:eastAsia="ar-SA"/>
        </w:rPr>
        <w:t>Бобанича Тараса</w:t>
      </w:r>
      <w:r w:rsidRPr="001D54EE">
        <w:rPr>
          <w:lang w:val="uk-UA"/>
        </w:rPr>
        <w:t xml:space="preserve">, 30, Україна </w:t>
      </w:r>
    </w:p>
    <w:p w:rsidR="002E685A" w:rsidRPr="001D54EE" w:rsidRDefault="002E685A" w:rsidP="002E685A">
      <w:pPr>
        <w:widowControl w:val="0"/>
        <w:ind w:firstLine="567"/>
        <w:jc w:val="both"/>
        <w:rPr>
          <w:lang w:val="uk-UA"/>
        </w:rPr>
      </w:pPr>
      <w:r w:rsidRPr="001D54EE">
        <w:rPr>
          <w:b/>
        </w:rPr>
        <w:t>9. Додаткова інформація</w:t>
      </w:r>
    </w:p>
    <w:p w:rsidR="00DB10F8" w:rsidRPr="001D54EE" w:rsidRDefault="00DB10F8"/>
    <w:sectPr w:rsidR="00DB10F8" w:rsidRPr="001D54EE">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11C" w:rsidRDefault="00F7411C" w:rsidP="00326E59">
      <w:r>
        <w:separator/>
      </w:r>
    </w:p>
  </w:endnote>
  <w:endnote w:type="continuationSeparator" w:id="0">
    <w:p w:rsidR="00F7411C" w:rsidRDefault="00F7411C" w:rsidP="0032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081053"/>
      <w:docPartObj>
        <w:docPartGallery w:val="Page Numbers (Bottom of Page)"/>
        <w:docPartUnique/>
      </w:docPartObj>
    </w:sdtPr>
    <w:sdtEndPr/>
    <w:sdtContent>
      <w:p w:rsidR="00326E59" w:rsidRDefault="00326E59">
        <w:pPr>
          <w:pStyle w:val="ac"/>
          <w:jc w:val="center"/>
        </w:pPr>
        <w:r>
          <w:fldChar w:fldCharType="begin"/>
        </w:r>
        <w:r>
          <w:instrText>PAGE   \* MERGEFORMAT</w:instrText>
        </w:r>
        <w:r>
          <w:fldChar w:fldCharType="separate"/>
        </w:r>
        <w:r w:rsidR="001D54EE">
          <w:rPr>
            <w:noProof/>
          </w:rPr>
          <w:t>1</w:t>
        </w:r>
        <w:r>
          <w:fldChar w:fldCharType="end"/>
        </w:r>
      </w:p>
    </w:sdtContent>
  </w:sdt>
  <w:p w:rsidR="00326E59" w:rsidRDefault="00326E5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11C" w:rsidRDefault="00F7411C" w:rsidP="00326E59">
      <w:r>
        <w:separator/>
      </w:r>
    </w:p>
  </w:footnote>
  <w:footnote w:type="continuationSeparator" w:id="0">
    <w:p w:rsidR="00F7411C" w:rsidRDefault="00F7411C" w:rsidP="00326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84"/>
    <w:rsid w:val="000848E1"/>
    <w:rsid w:val="00136EAB"/>
    <w:rsid w:val="00171125"/>
    <w:rsid w:val="00184D48"/>
    <w:rsid w:val="00195C08"/>
    <w:rsid w:val="001B28A5"/>
    <w:rsid w:val="001D54EE"/>
    <w:rsid w:val="002239DD"/>
    <w:rsid w:val="0025246A"/>
    <w:rsid w:val="00256DAD"/>
    <w:rsid w:val="00280F9A"/>
    <w:rsid w:val="002819AF"/>
    <w:rsid w:val="002E685A"/>
    <w:rsid w:val="00311D09"/>
    <w:rsid w:val="0031619E"/>
    <w:rsid w:val="00326E59"/>
    <w:rsid w:val="00426035"/>
    <w:rsid w:val="00475E5F"/>
    <w:rsid w:val="00492E3F"/>
    <w:rsid w:val="00551B0E"/>
    <w:rsid w:val="005925CF"/>
    <w:rsid w:val="00633565"/>
    <w:rsid w:val="00785B9F"/>
    <w:rsid w:val="0078782F"/>
    <w:rsid w:val="00895C89"/>
    <w:rsid w:val="008A6904"/>
    <w:rsid w:val="00901AF4"/>
    <w:rsid w:val="00A15BF7"/>
    <w:rsid w:val="00AA5184"/>
    <w:rsid w:val="00C70AB4"/>
    <w:rsid w:val="00CA4AE5"/>
    <w:rsid w:val="00D01109"/>
    <w:rsid w:val="00D4158D"/>
    <w:rsid w:val="00DB10F8"/>
    <w:rsid w:val="00F16A7B"/>
    <w:rsid w:val="00F40EDE"/>
    <w:rsid w:val="00F7411C"/>
    <w:rsid w:val="00FB2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4E090A5-81CC-4C32-97B4-94E09708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85A"/>
    <w:pPr>
      <w:spacing w:after="0" w:line="240" w:lineRule="auto"/>
    </w:pPr>
    <w:rPr>
      <w:rFonts w:eastAsia="Times New Roman"/>
      <w:sz w:val="24"/>
      <w:szCs w:val="24"/>
      <w:lang w:eastAsia="ru-RU"/>
    </w:rPr>
  </w:style>
  <w:style w:type="paragraph" w:styleId="1">
    <w:name w:val="heading 1"/>
    <w:basedOn w:val="a"/>
    <w:next w:val="a"/>
    <w:link w:val="10"/>
    <w:uiPriority w:val="9"/>
    <w:qFormat/>
    <w:rsid w:val="00184D48"/>
    <w:pPr>
      <w:keepNext/>
      <w:keepLines/>
      <w:spacing w:before="360" w:after="80" w:line="360" w:lineRule="auto"/>
      <w:jc w:val="center"/>
      <w:outlineLvl w:val="0"/>
    </w:pPr>
    <w:rPr>
      <w:rFonts w:eastAsiaTheme="majorEastAsia" w:cstheme="majorBidi"/>
      <w:b/>
      <w:color w:val="000000" w:themeColor="text1"/>
      <w:sz w:val="28"/>
      <w:szCs w:val="40"/>
      <w:lang w:eastAsia="en-US"/>
    </w:rPr>
  </w:style>
  <w:style w:type="paragraph" w:styleId="2">
    <w:name w:val="heading 2"/>
    <w:basedOn w:val="a"/>
    <w:next w:val="a"/>
    <w:link w:val="20"/>
    <w:uiPriority w:val="9"/>
    <w:unhideWhenUsed/>
    <w:qFormat/>
    <w:rsid w:val="00901AF4"/>
    <w:pPr>
      <w:keepNext/>
      <w:keepLines/>
      <w:spacing w:before="480" w:after="480" w:line="360" w:lineRule="auto"/>
      <w:ind w:firstLine="709"/>
      <w:jc w:val="both"/>
      <w:outlineLvl w:val="1"/>
    </w:pPr>
    <w:rPr>
      <w:rFonts w:eastAsiaTheme="majorEastAsia" w:cstheme="majorBidi"/>
      <w:b/>
      <w:color w:val="000000" w:themeColor="text1"/>
      <w:sz w:val="28"/>
      <w:szCs w:val="26"/>
      <w:lang w:eastAsia="en-US"/>
    </w:rPr>
  </w:style>
  <w:style w:type="paragraph" w:styleId="3">
    <w:name w:val="heading 3"/>
    <w:basedOn w:val="a"/>
    <w:next w:val="a"/>
    <w:link w:val="30"/>
    <w:rsid w:val="00FB221A"/>
    <w:pPr>
      <w:keepNext/>
      <w:keepLines/>
      <w:spacing w:before="480" w:after="480" w:line="360" w:lineRule="auto"/>
      <w:ind w:firstLine="709"/>
      <w:jc w:val="both"/>
      <w:outlineLvl w:val="2"/>
    </w:pPr>
    <w:rPr>
      <w:b/>
      <w:sz w:val="28"/>
      <w:szCs w:val="28"/>
      <w:lang w:val="uk-UA"/>
    </w:rPr>
  </w:style>
  <w:style w:type="paragraph" w:styleId="6">
    <w:name w:val="heading 6"/>
    <w:basedOn w:val="a"/>
    <w:next w:val="a"/>
    <w:link w:val="60"/>
    <w:qFormat/>
    <w:rsid w:val="002E685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D48"/>
    <w:rPr>
      <w:rFonts w:eastAsiaTheme="majorEastAsia" w:cstheme="majorBidi"/>
      <w:b/>
      <w:color w:val="000000" w:themeColor="text1"/>
      <w:sz w:val="28"/>
      <w:szCs w:val="40"/>
    </w:rPr>
  </w:style>
  <w:style w:type="paragraph" w:customStyle="1" w:styleId="a3">
    <w:name w:val="Курсачи"/>
    <w:basedOn w:val="a"/>
    <w:link w:val="a4"/>
    <w:qFormat/>
    <w:rsid w:val="008A6904"/>
    <w:pPr>
      <w:spacing w:line="360" w:lineRule="auto"/>
      <w:ind w:firstLine="709"/>
      <w:jc w:val="both"/>
    </w:pPr>
    <w:rPr>
      <w:rFonts w:eastAsiaTheme="minorHAnsi"/>
      <w:sz w:val="28"/>
      <w:szCs w:val="22"/>
      <w:lang w:eastAsia="en-US"/>
    </w:rPr>
  </w:style>
  <w:style w:type="character" w:customStyle="1" w:styleId="a4">
    <w:name w:val="Курсачи Знак"/>
    <w:basedOn w:val="a0"/>
    <w:link w:val="a3"/>
    <w:rsid w:val="008A6904"/>
    <w:rPr>
      <w:sz w:val="28"/>
    </w:rPr>
  </w:style>
  <w:style w:type="character" w:customStyle="1" w:styleId="20">
    <w:name w:val="Заголовок 2 Знак"/>
    <w:basedOn w:val="a0"/>
    <w:link w:val="2"/>
    <w:uiPriority w:val="9"/>
    <w:rsid w:val="00901AF4"/>
    <w:rPr>
      <w:rFonts w:eastAsiaTheme="majorEastAsia" w:cstheme="majorBidi"/>
      <w:b/>
      <w:color w:val="000000" w:themeColor="text1"/>
      <w:sz w:val="28"/>
      <w:szCs w:val="26"/>
    </w:rPr>
  </w:style>
  <w:style w:type="character" w:customStyle="1" w:styleId="30">
    <w:name w:val="Заголовок 3 Знак"/>
    <w:basedOn w:val="a0"/>
    <w:link w:val="3"/>
    <w:rsid w:val="00FB221A"/>
    <w:rPr>
      <w:rFonts w:eastAsia="Times New Roman"/>
      <w:b/>
      <w:sz w:val="28"/>
      <w:szCs w:val="28"/>
      <w:lang w:val="uk-UA" w:eastAsia="ru-RU"/>
    </w:rPr>
  </w:style>
  <w:style w:type="paragraph" w:customStyle="1" w:styleId="a5">
    <w:name w:val="Таблиця"/>
    <w:basedOn w:val="a"/>
    <w:qFormat/>
    <w:rsid w:val="000848E1"/>
    <w:pPr>
      <w:spacing w:line="256" w:lineRule="auto"/>
    </w:pPr>
    <w:rPr>
      <w:rFonts w:eastAsiaTheme="minorHAnsi" w:cstheme="minorBidi"/>
      <w:bCs/>
      <w:kern w:val="2"/>
      <w:sz w:val="28"/>
      <w:szCs w:val="22"/>
      <w:lang w:val="uk-UA" w:eastAsia="en-US"/>
      <w14:ligatures w14:val="standardContextual"/>
    </w:rPr>
  </w:style>
  <w:style w:type="character" w:customStyle="1" w:styleId="60">
    <w:name w:val="Заголовок 6 Знак"/>
    <w:basedOn w:val="a0"/>
    <w:link w:val="6"/>
    <w:rsid w:val="002E685A"/>
    <w:rPr>
      <w:rFonts w:eastAsia="Times New Roman"/>
      <w:b/>
      <w:bCs/>
      <w:sz w:val="22"/>
      <w:lang w:eastAsia="ru-RU"/>
    </w:rPr>
  </w:style>
  <w:style w:type="paragraph" w:styleId="a6">
    <w:name w:val="Body Text Indent"/>
    <w:aliases w:val=" Знак,Знак"/>
    <w:basedOn w:val="a"/>
    <w:link w:val="a7"/>
    <w:rsid w:val="002E685A"/>
    <w:pPr>
      <w:spacing w:after="120"/>
      <w:ind w:left="283"/>
    </w:pPr>
  </w:style>
  <w:style w:type="character" w:customStyle="1" w:styleId="a7">
    <w:name w:val="Основний текст з відступом Знак"/>
    <w:aliases w:val=" Знак Знак,Знак Знак"/>
    <w:basedOn w:val="a0"/>
    <w:link w:val="a6"/>
    <w:rsid w:val="002E685A"/>
    <w:rPr>
      <w:rFonts w:eastAsia="Times New Roman"/>
      <w:sz w:val="24"/>
      <w:szCs w:val="24"/>
      <w:lang w:eastAsia="ru-RU"/>
    </w:rPr>
  </w:style>
  <w:style w:type="paragraph" w:styleId="21">
    <w:name w:val="Body Text Indent 2"/>
    <w:basedOn w:val="a"/>
    <w:link w:val="22"/>
    <w:rsid w:val="002E685A"/>
    <w:pPr>
      <w:spacing w:after="120" w:line="480" w:lineRule="auto"/>
      <w:ind w:left="283"/>
    </w:pPr>
  </w:style>
  <w:style w:type="character" w:customStyle="1" w:styleId="22">
    <w:name w:val="Основний текст з відступом 2 Знак"/>
    <w:basedOn w:val="a0"/>
    <w:link w:val="21"/>
    <w:rsid w:val="002E685A"/>
    <w:rPr>
      <w:rFonts w:eastAsia="Times New Roman"/>
      <w:sz w:val="24"/>
      <w:szCs w:val="24"/>
      <w:lang w:eastAsia="ru-RU"/>
    </w:rPr>
  </w:style>
  <w:style w:type="character" w:customStyle="1" w:styleId="FontStyle13">
    <w:name w:val="Font Style13"/>
    <w:rsid w:val="002E685A"/>
    <w:rPr>
      <w:rFonts w:ascii="Times New Roman" w:hAnsi="Times New Roman" w:cs="Times New Roman"/>
      <w:b/>
      <w:bCs/>
      <w:sz w:val="22"/>
      <w:szCs w:val="22"/>
    </w:rPr>
  </w:style>
  <w:style w:type="paragraph" w:customStyle="1" w:styleId="11">
    <w:name w:val="Обычный1"/>
    <w:rsid w:val="002E685A"/>
    <w:pPr>
      <w:widowControl w:val="0"/>
      <w:spacing w:after="0" w:line="240" w:lineRule="auto"/>
    </w:pPr>
    <w:rPr>
      <w:rFonts w:eastAsia="Times New Roman"/>
      <w:snapToGrid w:val="0"/>
      <w:sz w:val="20"/>
      <w:szCs w:val="20"/>
      <w:lang w:eastAsia="ru-RU"/>
    </w:rPr>
  </w:style>
  <w:style w:type="character" w:styleId="a8">
    <w:name w:val="Strong"/>
    <w:qFormat/>
    <w:rsid w:val="002E685A"/>
    <w:rPr>
      <w:b/>
      <w:bCs/>
    </w:rPr>
  </w:style>
  <w:style w:type="character" w:customStyle="1" w:styleId="a9">
    <w:name w:val="Основной текст + Курсив"/>
    <w:rsid w:val="002E685A"/>
    <w:rPr>
      <w:rFonts w:ascii="Times New Roman" w:eastAsia="Times New Roman" w:hAnsi="Times New Roman"/>
      <w:i/>
      <w:iCs/>
      <w:color w:val="000000"/>
      <w:spacing w:val="0"/>
      <w:w w:val="100"/>
      <w:position w:val="0"/>
      <w:sz w:val="22"/>
      <w:szCs w:val="22"/>
      <w:shd w:val="clear" w:color="auto" w:fill="FFFFFF"/>
      <w:lang w:val="ru-RU" w:eastAsia="ru-RU" w:bidi="ru-RU"/>
    </w:rPr>
  </w:style>
  <w:style w:type="character" w:customStyle="1" w:styleId="Candara85pt">
    <w:name w:val="Основной текст + Candara;8;5 pt;Полужирный;Малые прописные"/>
    <w:rsid w:val="002E685A"/>
    <w:rPr>
      <w:rFonts w:ascii="Candara" w:eastAsia="Candara" w:hAnsi="Candara" w:cs="Candara"/>
      <w:b/>
      <w:bCs/>
      <w:i w:val="0"/>
      <w:iCs w:val="0"/>
      <w:smallCaps/>
      <w:strike w:val="0"/>
      <w:color w:val="000000"/>
      <w:spacing w:val="0"/>
      <w:w w:val="100"/>
      <w:position w:val="0"/>
      <w:sz w:val="17"/>
      <w:szCs w:val="17"/>
      <w:u w:val="none"/>
      <w:shd w:val="clear" w:color="auto" w:fill="FFFFFF"/>
      <w:lang w:val="uk-UA" w:eastAsia="uk-UA" w:bidi="uk-UA"/>
    </w:rPr>
  </w:style>
  <w:style w:type="paragraph" w:customStyle="1" w:styleId="7187">
    <w:name w:val="7187"/>
    <w:aliases w:val="bqiaagaaeyqcaaagiaiaaamlgqaabrkzaaaaaaaaaaaaaaaaaaaaaaaaaaaaaaaaaaaaaaaaaaaaaaaaaaaaaaaaaaaaaaaaaaaaaaaaaaaaaaaaaaaaaaaaaaaaaaaaaaaaaaaaaaaaaaaaaaaaaaaaaaaaaaaaaaaaaaaaaaaaaaaaaaaaaaaaaaaaaaaaaaaaaaaaaaaaaaaaaaaaaaaaaaaaaaaaaaaaaaaa"/>
    <w:basedOn w:val="a"/>
    <w:rsid w:val="002E685A"/>
    <w:pPr>
      <w:spacing w:before="100" w:beforeAutospacing="1" w:after="100" w:afterAutospacing="1"/>
    </w:pPr>
    <w:rPr>
      <w:lang w:val="en-US" w:eastAsia="en-US"/>
    </w:rPr>
  </w:style>
  <w:style w:type="character" w:customStyle="1" w:styleId="math-inline">
    <w:name w:val="math-inline"/>
    <w:basedOn w:val="a0"/>
    <w:rsid w:val="002819AF"/>
  </w:style>
  <w:style w:type="paragraph" w:styleId="aa">
    <w:name w:val="header"/>
    <w:basedOn w:val="a"/>
    <w:link w:val="ab"/>
    <w:uiPriority w:val="99"/>
    <w:unhideWhenUsed/>
    <w:rsid w:val="00326E59"/>
    <w:pPr>
      <w:tabs>
        <w:tab w:val="center" w:pos="4677"/>
        <w:tab w:val="right" w:pos="9355"/>
      </w:tabs>
    </w:pPr>
  </w:style>
  <w:style w:type="character" w:customStyle="1" w:styleId="ab">
    <w:name w:val="Верхній колонтитул Знак"/>
    <w:basedOn w:val="a0"/>
    <w:link w:val="aa"/>
    <w:uiPriority w:val="99"/>
    <w:rsid w:val="00326E59"/>
    <w:rPr>
      <w:rFonts w:eastAsia="Times New Roman"/>
      <w:sz w:val="24"/>
      <w:szCs w:val="24"/>
      <w:lang w:eastAsia="ru-RU"/>
    </w:rPr>
  </w:style>
  <w:style w:type="paragraph" w:styleId="ac">
    <w:name w:val="footer"/>
    <w:basedOn w:val="a"/>
    <w:link w:val="ad"/>
    <w:uiPriority w:val="99"/>
    <w:unhideWhenUsed/>
    <w:rsid w:val="00326E59"/>
    <w:pPr>
      <w:tabs>
        <w:tab w:val="center" w:pos="4677"/>
        <w:tab w:val="right" w:pos="9355"/>
      </w:tabs>
    </w:pPr>
  </w:style>
  <w:style w:type="character" w:customStyle="1" w:styleId="ad">
    <w:name w:val="Нижній колонтитул Знак"/>
    <w:basedOn w:val="a0"/>
    <w:link w:val="ac"/>
    <w:uiPriority w:val="99"/>
    <w:rsid w:val="00326E59"/>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95264">
      <w:bodyDiv w:val="1"/>
      <w:marLeft w:val="0"/>
      <w:marRight w:val="0"/>
      <w:marTop w:val="0"/>
      <w:marBottom w:val="0"/>
      <w:divBdr>
        <w:top w:val="none" w:sz="0" w:space="0" w:color="auto"/>
        <w:left w:val="none" w:sz="0" w:space="0" w:color="auto"/>
        <w:bottom w:val="none" w:sz="0" w:space="0" w:color="auto"/>
        <w:right w:val="none" w:sz="0" w:space="0" w:color="auto"/>
      </w:divBdr>
    </w:div>
    <w:div w:id="11648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7573</Words>
  <Characters>4317</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17</cp:revision>
  <dcterms:created xsi:type="dcterms:W3CDTF">2025-10-31T14:17:00Z</dcterms:created>
  <dcterms:modified xsi:type="dcterms:W3CDTF">2026-01-17T10:42:00Z</dcterms:modified>
</cp:coreProperties>
</file>