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2B777" w14:textId="465C3B8C" w:rsidR="00751FC0" w:rsidRPr="006C6BAF" w:rsidRDefault="000D20B3" w:rsidP="004B2635">
      <w:pPr>
        <w:ind w:firstLine="709"/>
        <w:jc w:val="center"/>
        <w:rPr>
          <w:lang w:val="uk-UA"/>
        </w:rPr>
      </w:pPr>
      <w:r w:rsidRPr="006C6BAF">
        <w:rPr>
          <w:b/>
          <w:lang w:val="uk-UA"/>
        </w:rPr>
        <w:t>Коротка характеристика препарату</w:t>
      </w:r>
    </w:p>
    <w:p w14:paraId="6814F551" w14:textId="5EF11E7D" w:rsidR="00BD044A" w:rsidRPr="006C6BAF" w:rsidRDefault="000D20B3" w:rsidP="004B2635">
      <w:pPr>
        <w:pStyle w:val="a6"/>
        <w:numPr>
          <w:ilvl w:val="0"/>
          <w:numId w:val="3"/>
        </w:numPr>
        <w:ind w:left="0" w:firstLine="709"/>
        <w:jc w:val="both"/>
        <w:rPr>
          <w:b/>
          <w:sz w:val="22"/>
          <w:szCs w:val="22"/>
          <w:lang w:val="uk-UA"/>
        </w:rPr>
      </w:pPr>
      <w:r w:rsidRPr="006C6BAF">
        <w:rPr>
          <w:b/>
          <w:sz w:val="22"/>
          <w:szCs w:val="22"/>
          <w:lang w:val="uk-UA"/>
        </w:rPr>
        <w:t>Назва</w:t>
      </w:r>
    </w:p>
    <w:p w14:paraId="1AF54072" w14:textId="53DE828E" w:rsidR="000D20B3" w:rsidRPr="006C6BAF" w:rsidRDefault="000D20B3" w:rsidP="004B2635">
      <w:pPr>
        <w:ind w:firstLine="709"/>
        <w:jc w:val="both"/>
        <w:rPr>
          <w:bCs/>
          <w:sz w:val="22"/>
          <w:szCs w:val="22"/>
          <w:lang w:val="uk-UA"/>
        </w:rPr>
      </w:pPr>
      <w:r w:rsidRPr="006C6BAF">
        <w:rPr>
          <w:bCs/>
          <w:sz w:val="22"/>
          <w:szCs w:val="22"/>
          <w:lang w:val="uk-UA"/>
        </w:rPr>
        <w:t>Сімпаріка ТРІО</w:t>
      </w:r>
    </w:p>
    <w:p w14:paraId="28D74B14" w14:textId="1CCC8330" w:rsidR="000D20B3" w:rsidRPr="006C6BAF" w:rsidRDefault="000D20B3" w:rsidP="004B2635">
      <w:pPr>
        <w:pStyle w:val="a6"/>
        <w:numPr>
          <w:ilvl w:val="0"/>
          <w:numId w:val="3"/>
        </w:numPr>
        <w:ind w:left="0" w:firstLine="709"/>
        <w:jc w:val="both"/>
        <w:rPr>
          <w:b/>
          <w:sz w:val="22"/>
          <w:szCs w:val="22"/>
          <w:lang w:val="uk-UA"/>
        </w:rPr>
      </w:pPr>
      <w:r w:rsidRPr="006C6BAF">
        <w:rPr>
          <w:b/>
          <w:sz w:val="22"/>
          <w:szCs w:val="22"/>
          <w:lang w:val="uk-UA"/>
        </w:rPr>
        <w:t>Склад</w:t>
      </w:r>
    </w:p>
    <w:p w14:paraId="6CB20EE7" w14:textId="544FF039" w:rsidR="00A768F6" w:rsidRPr="006C6BAF" w:rsidRDefault="00A768F6" w:rsidP="004B2635">
      <w:pPr>
        <w:ind w:firstLine="709"/>
        <w:jc w:val="both"/>
        <w:rPr>
          <w:bCs/>
          <w:sz w:val="22"/>
          <w:szCs w:val="22"/>
          <w:lang w:val="uk-UA"/>
        </w:rPr>
      </w:pPr>
      <w:r w:rsidRPr="006C6BAF">
        <w:rPr>
          <w:bCs/>
          <w:sz w:val="22"/>
          <w:szCs w:val="22"/>
          <w:lang w:val="uk-UA"/>
        </w:rPr>
        <w:t>100 мг препарату містить діючі речовини</w:t>
      </w:r>
      <w:r w:rsidR="007A0277" w:rsidRPr="006C6BAF">
        <w:rPr>
          <w:bCs/>
          <w:sz w:val="22"/>
          <w:szCs w:val="22"/>
          <w:lang w:val="uk-UA"/>
        </w:rPr>
        <w:t xml:space="preserve"> (мг)</w:t>
      </w:r>
      <w:r w:rsidRPr="006C6BAF">
        <w:rPr>
          <w:bCs/>
          <w:sz w:val="22"/>
          <w:szCs w:val="22"/>
          <w:lang w:val="uk-UA"/>
        </w:rPr>
        <w:t>:</w:t>
      </w:r>
    </w:p>
    <w:p w14:paraId="48965639" w14:textId="2A6F93DD" w:rsidR="00A768F6" w:rsidRPr="00C515A9" w:rsidRDefault="00A768F6" w:rsidP="004B2635">
      <w:pPr>
        <w:ind w:firstLine="709"/>
        <w:jc w:val="both"/>
        <w:rPr>
          <w:bCs/>
          <w:sz w:val="22"/>
          <w:szCs w:val="22"/>
        </w:rPr>
      </w:pPr>
      <w:r w:rsidRPr="006C6BAF">
        <w:rPr>
          <w:bCs/>
          <w:sz w:val="22"/>
          <w:szCs w:val="22"/>
          <w:lang w:val="uk-UA"/>
        </w:rPr>
        <w:t>сароланер – 1,333</w:t>
      </w:r>
      <w:r w:rsidR="007A0277" w:rsidRPr="006C6BAF">
        <w:rPr>
          <w:bCs/>
          <w:sz w:val="22"/>
          <w:szCs w:val="22"/>
          <w:lang w:val="uk-UA"/>
        </w:rPr>
        <w:t>;</w:t>
      </w:r>
    </w:p>
    <w:p w14:paraId="4A769549" w14:textId="1A632DC5" w:rsidR="00A768F6" w:rsidRPr="00C515A9" w:rsidRDefault="007A0277" w:rsidP="004B2635">
      <w:pPr>
        <w:ind w:firstLine="709"/>
        <w:jc w:val="both"/>
        <w:rPr>
          <w:bCs/>
          <w:sz w:val="22"/>
          <w:szCs w:val="22"/>
        </w:rPr>
      </w:pPr>
      <w:r w:rsidRPr="006C6BAF">
        <w:rPr>
          <w:bCs/>
          <w:sz w:val="22"/>
          <w:szCs w:val="22"/>
          <w:lang w:val="uk-UA"/>
        </w:rPr>
        <w:t>моксидектин</w:t>
      </w:r>
      <w:r w:rsidR="00A768F6" w:rsidRPr="006C6BAF">
        <w:rPr>
          <w:bCs/>
          <w:sz w:val="22"/>
          <w:szCs w:val="22"/>
          <w:lang w:val="uk-UA"/>
        </w:rPr>
        <w:t xml:space="preserve"> – 0,027</w:t>
      </w:r>
      <w:r w:rsidRPr="006C6BAF">
        <w:rPr>
          <w:bCs/>
          <w:sz w:val="22"/>
          <w:szCs w:val="22"/>
          <w:lang w:val="uk-UA"/>
        </w:rPr>
        <w:t>;</w:t>
      </w:r>
    </w:p>
    <w:p w14:paraId="4249DD6C" w14:textId="03D924B4" w:rsidR="00A768F6" w:rsidRPr="006C6BAF" w:rsidRDefault="00A768F6" w:rsidP="004B2635">
      <w:pPr>
        <w:ind w:firstLine="709"/>
        <w:jc w:val="both"/>
        <w:rPr>
          <w:bCs/>
          <w:sz w:val="22"/>
          <w:szCs w:val="22"/>
          <w:lang w:val="uk-UA"/>
        </w:rPr>
      </w:pPr>
      <w:r w:rsidRPr="006C6BAF">
        <w:rPr>
          <w:bCs/>
          <w:sz w:val="22"/>
          <w:szCs w:val="22"/>
          <w:lang w:val="uk-UA"/>
        </w:rPr>
        <w:t>пірантел (як пірантел</w:t>
      </w:r>
      <w:r w:rsidR="007A0277" w:rsidRPr="006C6BAF">
        <w:rPr>
          <w:bCs/>
          <w:sz w:val="22"/>
          <w:szCs w:val="22"/>
          <w:lang w:val="uk-UA"/>
        </w:rPr>
        <w:t>у</w:t>
      </w:r>
      <w:r w:rsidRPr="006C6BAF">
        <w:rPr>
          <w:bCs/>
          <w:sz w:val="22"/>
          <w:szCs w:val="22"/>
          <w:lang w:val="uk-UA"/>
        </w:rPr>
        <w:t xml:space="preserve"> ембонат) – 16,013</w:t>
      </w:r>
      <w:r w:rsidR="007A0277" w:rsidRPr="006C6BAF">
        <w:rPr>
          <w:bCs/>
          <w:sz w:val="22"/>
          <w:szCs w:val="22"/>
          <w:lang w:val="uk-UA"/>
        </w:rPr>
        <w:t>.</w:t>
      </w:r>
    </w:p>
    <w:p w14:paraId="4059DA54" w14:textId="1D9A702B" w:rsidR="000D20B3" w:rsidRPr="006C6BAF" w:rsidRDefault="00A768F6" w:rsidP="004B2635">
      <w:pPr>
        <w:ind w:firstLine="709"/>
        <w:jc w:val="both"/>
        <w:rPr>
          <w:bCs/>
          <w:sz w:val="22"/>
          <w:szCs w:val="22"/>
          <w:lang w:val="uk-UA"/>
        </w:rPr>
      </w:pPr>
      <w:r w:rsidRPr="006C6BAF">
        <w:rPr>
          <w:bCs/>
          <w:i/>
          <w:iCs/>
          <w:sz w:val="22"/>
          <w:szCs w:val="22"/>
          <w:lang w:val="uk-UA"/>
        </w:rPr>
        <w:t>Допоміжні речовини</w:t>
      </w:r>
      <w:r w:rsidRPr="006C6BAF">
        <w:rPr>
          <w:bCs/>
          <w:sz w:val="22"/>
          <w:szCs w:val="22"/>
          <w:lang w:val="uk-UA"/>
        </w:rPr>
        <w:t>: гіпромелоза, лактози моногідрат, крохмальний гліколат натрію типу</w:t>
      </w:r>
      <w:r w:rsidR="00002A3D" w:rsidRPr="006C6BAF">
        <w:rPr>
          <w:bCs/>
          <w:sz w:val="22"/>
          <w:szCs w:val="22"/>
          <w:lang w:val="uk-UA"/>
        </w:rPr>
        <w:t> </w:t>
      </w:r>
      <w:r w:rsidRPr="006C6BAF">
        <w:rPr>
          <w:bCs/>
          <w:sz w:val="22"/>
          <w:szCs w:val="22"/>
          <w:lang w:val="uk-UA"/>
        </w:rPr>
        <w:t xml:space="preserve">А, меглюмін, бутилгідроксітуол (E321), пігментна суміш 018 (E110, E129, E132), гідроксипропілцелюлоза, кремнезем колоїдний безводний, </w:t>
      </w:r>
      <w:r w:rsidR="007A0277" w:rsidRPr="006C6BAF">
        <w:rPr>
          <w:bCs/>
          <w:sz w:val="22"/>
          <w:szCs w:val="22"/>
          <w:lang w:val="uk-UA"/>
        </w:rPr>
        <w:t xml:space="preserve">магнію </w:t>
      </w:r>
      <w:r w:rsidRPr="006C6BAF">
        <w:rPr>
          <w:bCs/>
          <w:sz w:val="22"/>
          <w:szCs w:val="22"/>
          <w:lang w:val="uk-UA"/>
        </w:rPr>
        <w:t xml:space="preserve">стеарат, кукурудзяний крохмаль, кондитерський цукор, глюкоза рідка, порошок свинячої печінки, гідролізований рослинний білок, желатин, зародки пшениці, </w:t>
      </w:r>
      <w:r w:rsidR="007A0277" w:rsidRPr="006C6BAF">
        <w:rPr>
          <w:bCs/>
          <w:sz w:val="22"/>
          <w:szCs w:val="22"/>
          <w:lang w:val="uk-UA"/>
        </w:rPr>
        <w:t xml:space="preserve">кальцію гідрофосфат </w:t>
      </w:r>
      <w:r w:rsidRPr="006C6BAF">
        <w:rPr>
          <w:bCs/>
          <w:sz w:val="22"/>
          <w:szCs w:val="22"/>
          <w:lang w:val="uk-UA"/>
        </w:rPr>
        <w:t>безводний.</w:t>
      </w:r>
    </w:p>
    <w:p w14:paraId="3EA0ADD2" w14:textId="18C7D7F1" w:rsidR="00B63A67" w:rsidRPr="006C6BAF" w:rsidRDefault="00B63A67" w:rsidP="004B2635">
      <w:pPr>
        <w:pStyle w:val="a6"/>
        <w:numPr>
          <w:ilvl w:val="0"/>
          <w:numId w:val="3"/>
        </w:numPr>
        <w:ind w:left="0" w:firstLine="709"/>
        <w:jc w:val="both"/>
        <w:rPr>
          <w:b/>
          <w:sz w:val="22"/>
          <w:szCs w:val="22"/>
          <w:lang w:val="uk-UA"/>
        </w:rPr>
      </w:pPr>
      <w:r w:rsidRPr="006C6BAF">
        <w:rPr>
          <w:b/>
          <w:sz w:val="22"/>
          <w:szCs w:val="22"/>
          <w:lang w:val="uk-UA"/>
        </w:rPr>
        <w:t>Фармацевтична форма</w:t>
      </w:r>
    </w:p>
    <w:p w14:paraId="353929A1" w14:textId="77777777" w:rsidR="00B63A67" w:rsidRPr="006C6BAF" w:rsidRDefault="00B63A67" w:rsidP="004B2635">
      <w:pPr>
        <w:ind w:firstLine="709"/>
        <w:jc w:val="both"/>
        <w:rPr>
          <w:bCs/>
          <w:sz w:val="22"/>
          <w:szCs w:val="22"/>
          <w:lang w:val="uk-UA"/>
        </w:rPr>
      </w:pPr>
      <w:r w:rsidRPr="006C6BAF">
        <w:rPr>
          <w:bCs/>
          <w:sz w:val="22"/>
          <w:szCs w:val="22"/>
          <w:lang w:val="uk-UA"/>
        </w:rPr>
        <w:t>Таблетки.</w:t>
      </w:r>
    </w:p>
    <w:p w14:paraId="09AD80F9" w14:textId="5DFE04A2" w:rsidR="00B63A67" w:rsidRPr="006C6BAF" w:rsidRDefault="00B63A67" w:rsidP="004B2635">
      <w:pPr>
        <w:pStyle w:val="a6"/>
        <w:numPr>
          <w:ilvl w:val="0"/>
          <w:numId w:val="3"/>
        </w:numPr>
        <w:ind w:left="0" w:firstLine="709"/>
        <w:jc w:val="both"/>
        <w:rPr>
          <w:b/>
          <w:sz w:val="22"/>
          <w:szCs w:val="22"/>
          <w:lang w:val="uk-UA"/>
        </w:rPr>
      </w:pPr>
      <w:r w:rsidRPr="006C6BAF">
        <w:rPr>
          <w:b/>
          <w:sz w:val="22"/>
          <w:szCs w:val="22"/>
          <w:lang w:val="uk-UA"/>
        </w:rPr>
        <w:t>Фармакологічні властивості</w:t>
      </w:r>
    </w:p>
    <w:p w14:paraId="67145C06" w14:textId="7BB3BDCF" w:rsidR="00501633" w:rsidRPr="006C6BAF" w:rsidRDefault="00B63A67" w:rsidP="004B2635">
      <w:pPr>
        <w:ind w:firstLine="709"/>
        <w:jc w:val="both"/>
        <w:rPr>
          <w:b/>
          <w:bCs/>
          <w:i/>
          <w:sz w:val="22"/>
          <w:szCs w:val="22"/>
          <w:lang w:val="uk-UA"/>
        </w:rPr>
      </w:pPr>
      <w:r w:rsidRPr="006C6BAF">
        <w:rPr>
          <w:b/>
          <w:bCs/>
          <w:i/>
          <w:sz w:val="22"/>
          <w:szCs w:val="22"/>
          <w:lang w:val="uk-UA"/>
        </w:rPr>
        <w:t>ATCvet QP54AB52, антипаразитарні продукти, комбінації моксицедтину</w:t>
      </w:r>
      <w:r w:rsidR="00D54E39" w:rsidRPr="006C6BAF">
        <w:rPr>
          <w:b/>
          <w:bCs/>
          <w:i/>
          <w:sz w:val="22"/>
          <w:szCs w:val="22"/>
          <w:lang w:val="uk-UA"/>
        </w:rPr>
        <w:t>.</w:t>
      </w:r>
    </w:p>
    <w:p w14:paraId="6AB0D609" w14:textId="6C9AF6E7" w:rsidR="000D20B3" w:rsidRPr="006C6BAF" w:rsidRDefault="007A3267" w:rsidP="004B2635">
      <w:pPr>
        <w:ind w:firstLine="709"/>
        <w:rPr>
          <w:bCs/>
          <w:sz w:val="22"/>
          <w:szCs w:val="22"/>
          <w:u w:val="single"/>
          <w:lang w:val="uk-UA"/>
        </w:rPr>
      </w:pPr>
      <w:r w:rsidRPr="006C6BAF">
        <w:rPr>
          <w:sz w:val="22"/>
          <w:szCs w:val="22"/>
          <w:u w:val="single"/>
          <w:lang w:val="uk-UA"/>
        </w:rPr>
        <w:t>Фармакодинаміка</w:t>
      </w:r>
    </w:p>
    <w:p w14:paraId="6B7E0AE3" w14:textId="42791407" w:rsidR="007D5276" w:rsidRPr="006C6BAF" w:rsidRDefault="007A3267" w:rsidP="004B2635">
      <w:pPr>
        <w:ind w:firstLine="709"/>
        <w:jc w:val="both"/>
        <w:rPr>
          <w:bCs/>
          <w:sz w:val="22"/>
          <w:szCs w:val="22"/>
          <w:lang w:val="uk-UA"/>
        </w:rPr>
      </w:pPr>
      <w:r w:rsidRPr="006C6BAF">
        <w:rPr>
          <w:bCs/>
          <w:sz w:val="22"/>
          <w:szCs w:val="22"/>
          <w:lang w:val="uk-UA"/>
        </w:rPr>
        <w:t xml:space="preserve">Сароланер – це акарицид та інсектицид, що належить до групи ізоксазолінів. Основним об’єктом дії сароланеру </w:t>
      </w:r>
      <w:r w:rsidR="00D54E39" w:rsidRPr="006C6BAF">
        <w:rPr>
          <w:bCs/>
          <w:sz w:val="22"/>
          <w:szCs w:val="22"/>
          <w:lang w:val="uk-UA"/>
        </w:rPr>
        <w:t>в</w:t>
      </w:r>
      <w:r w:rsidRPr="006C6BAF">
        <w:rPr>
          <w:bCs/>
          <w:sz w:val="22"/>
          <w:szCs w:val="22"/>
          <w:lang w:val="uk-UA"/>
        </w:rPr>
        <w:t xml:space="preserve"> комах і акарид є функціональна блокада ліганд-залежних хлоридних каналів (ГАМК-рецептори та глутаматні рецептори). Сароланер блокує ГАМК- та глутамат-залежні хлоридні канали в центральній нервовій системі комах і акарид. Порушення сароланером роботи цих рецепторів запобігає поглинанню іонів хлору ГАМК- та глутамат-залежними іонними каналами, що призводить до збільшення нервової стимуляції та загибелі цільового паразита. Сароланер демонструє більш високу функціональну здатність блокувати рецептори комах/акарид порівняно з </w:t>
      </w:r>
      <w:r w:rsidR="003C742F" w:rsidRPr="006C6BAF">
        <w:rPr>
          <w:bCs/>
          <w:sz w:val="22"/>
          <w:szCs w:val="22"/>
          <w:lang w:val="uk-UA"/>
        </w:rPr>
        <w:t xml:space="preserve">рецепторами </w:t>
      </w:r>
      <w:r w:rsidRPr="006C6BAF">
        <w:rPr>
          <w:bCs/>
          <w:sz w:val="22"/>
          <w:szCs w:val="22"/>
          <w:lang w:val="uk-UA"/>
        </w:rPr>
        <w:t>ссавц</w:t>
      </w:r>
      <w:r w:rsidR="003C742F" w:rsidRPr="006C6BAF">
        <w:rPr>
          <w:bCs/>
          <w:sz w:val="22"/>
          <w:szCs w:val="22"/>
          <w:lang w:val="uk-UA"/>
        </w:rPr>
        <w:t>ів</w:t>
      </w:r>
      <w:r w:rsidRPr="006C6BAF">
        <w:rPr>
          <w:bCs/>
          <w:sz w:val="22"/>
          <w:szCs w:val="22"/>
          <w:lang w:val="uk-UA"/>
        </w:rPr>
        <w:t xml:space="preserve">. Сароланер не взаємодіє з інсектицидними ділянками зв’язування нікотинових або інших ГАМК-ергічних інсектицидів, </w:t>
      </w:r>
      <w:r w:rsidR="00D54E39" w:rsidRPr="006C6BAF">
        <w:rPr>
          <w:bCs/>
          <w:sz w:val="22"/>
          <w:szCs w:val="22"/>
          <w:lang w:val="uk-UA"/>
        </w:rPr>
        <w:t>а саме,</w:t>
      </w:r>
      <w:r w:rsidRPr="006C6BAF">
        <w:rPr>
          <w:bCs/>
          <w:sz w:val="22"/>
          <w:szCs w:val="22"/>
          <w:lang w:val="uk-UA"/>
        </w:rPr>
        <w:t xml:space="preserve"> неонікотиноїди, фіпрол</w:t>
      </w:r>
      <w:r w:rsidR="005A0D1D" w:rsidRPr="006C6BAF">
        <w:rPr>
          <w:bCs/>
          <w:sz w:val="22"/>
          <w:szCs w:val="22"/>
          <w:lang w:val="uk-UA"/>
        </w:rPr>
        <w:t>и</w:t>
      </w:r>
      <w:r w:rsidRPr="006C6BAF">
        <w:rPr>
          <w:bCs/>
          <w:sz w:val="22"/>
          <w:szCs w:val="22"/>
          <w:lang w:val="uk-UA"/>
        </w:rPr>
        <w:t>, мі</w:t>
      </w:r>
      <w:r w:rsidR="005A0D1D" w:rsidRPr="006C6BAF">
        <w:rPr>
          <w:bCs/>
          <w:sz w:val="22"/>
          <w:szCs w:val="22"/>
          <w:lang w:val="uk-UA"/>
        </w:rPr>
        <w:t>лбеміцини</w:t>
      </w:r>
      <w:r w:rsidRPr="006C6BAF">
        <w:rPr>
          <w:bCs/>
          <w:sz w:val="22"/>
          <w:szCs w:val="22"/>
          <w:lang w:val="uk-UA"/>
        </w:rPr>
        <w:t>, авермектин</w:t>
      </w:r>
      <w:r w:rsidR="00984E25" w:rsidRPr="006C6BAF">
        <w:rPr>
          <w:bCs/>
          <w:sz w:val="22"/>
          <w:szCs w:val="22"/>
          <w:lang w:val="uk-UA"/>
        </w:rPr>
        <w:t>и</w:t>
      </w:r>
      <w:r w:rsidRPr="006C6BAF">
        <w:rPr>
          <w:bCs/>
          <w:sz w:val="22"/>
          <w:szCs w:val="22"/>
          <w:lang w:val="uk-UA"/>
        </w:rPr>
        <w:t xml:space="preserve"> та циклодієн</w:t>
      </w:r>
      <w:r w:rsidR="00984E25" w:rsidRPr="006C6BAF">
        <w:rPr>
          <w:bCs/>
          <w:sz w:val="22"/>
          <w:szCs w:val="22"/>
          <w:lang w:val="uk-UA"/>
        </w:rPr>
        <w:t>и</w:t>
      </w:r>
      <w:r w:rsidRPr="006C6BAF">
        <w:rPr>
          <w:bCs/>
          <w:sz w:val="22"/>
          <w:szCs w:val="22"/>
          <w:lang w:val="uk-UA"/>
        </w:rPr>
        <w:t>. Сароланер ефективний проти дорослих бліх</w:t>
      </w:r>
      <w:r w:rsidR="00984E25" w:rsidRPr="006C6BAF">
        <w:rPr>
          <w:bCs/>
          <w:sz w:val="22"/>
          <w:szCs w:val="22"/>
          <w:lang w:val="uk-UA"/>
        </w:rPr>
        <w:t xml:space="preserve"> (</w:t>
      </w:r>
      <w:r w:rsidR="001D2C7C" w:rsidRPr="006C6BAF">
        <w:rPr>
          <w:bCs/>
          <w:i/>
          <w:iCs/>
          <w:sz w:val="22"/>
          <w:szCs w:val="22"/>
          <w:lang w:val="uk-UA"/>
        </w:rPr>
        <w:t xml:space="preserve">Ctenocephalides felis </w:t>
      </w:r>
      <w:r w:rsidR="001D2C7C" w:rsidRPr="006C6BAF">
        <w:rPr>
          <w:bCs/>
          <w:sz w:val="22"/>
          <w:szCs w:val="22"/>
          <w:lang w:val="uk-UA"/>
        </w:rPr>
        <w:t>та</w:t>
      </w:r>
      <w:r w:rsidR="001D2C7C" w:rsidRPr="006C6BAF">
        <w:rPr>
          <w:bCs/>
          <w:i/>
          <w:iCs/>
          <w:sz w:val="22"/>
          <w:szCs w:val="22"/>
          <w:lang w:val="uk-UA"/>
        </w:rPr>
        <w:t xml:space="preserve"> Ctenocephalides canis</w:t>
      </w:r>
      <w:r w:rsidR="00984E25" w:rsidRPr="006C6BAF">
        <w:rPr>
          <w:bCs/>
          <w:sz w:val="22"/>
          <w:szCs w:val="22"/>
          <w:lang w:val="uk-UA"/>
        </w:rPr>
        <w:t>)</w:t>
      </w:r>
      <w:r w:rsidR="003F0066" w:rsidRPr="006C6BAF">
        <w:rPr>
          <w:bCs/>
          <w:sz w:val="22"/>
          <w:szCs w:val="22"/>
          <w:lang w:val="uk-UA"/>
        </w:rPr>
        <w:t xml:space="preserve"> і</w:t>
      </w:r>
      <w:r w:rsidR="007D5276" w:rsidRPr="006C6BAF">
        <w:rPr>
          <w:bCs/>
          <w:sz w:val="22"/>
          <w:szCs w:val="22"/>
          <w:lang w:val="uk-UA"/>
        </w:rPr>
        <w:t xml:space="preserve"> </w:t>
      </w:r>
      <w:r w:rsidR="003F0066" w:rsidRPr="006C6BAF">
        <w:rPr>
          <w:bCs/>
          <w:sz w:val="22"/>
          <w:szCs w:val="22"/>
          <w:lang w:val="uk-UA"/>
        </w:rPr>
        <w:t>таких виді</w:t>
      </w:r>
      <w:r w:rsidR="007D5276" w:rsidRPr="006C6BAF">
        <w:rPr>
          <w:bCs/>
          <w:sz w:val="22"/>
          <w:szCs w:val="22"/>
          <w:lang w:val="uk-UA"/>
        </w:rPr>
        <w:t xml:space="preserve">в кліщів, як </w:t>
      </w:r>
      <w:r w:rsidR="007D5276" w:rsidRPr="006C6BAF">
        <w:rPr>
          <w:bCs/>
          <w:i/>
          <w:iCs/>
          <w:sz w:val="22"/>
          <w:szCs w:val="22"/>
          <w:lang w:val="uk-UA"/>
        </w:rPr>
        <w:t>Dermacentor reticulatus, Ixodes hexagonus, Ixodes ricinus</w:t>
      </w:r>
      <w:r w:rsidR="007D5276" w:rsidRPr="006C6BAF">
        <w:rPr>
          <w:bCs/>
          <w:sz w:val="22"/>
          <w:szCs w:val="22"/>
          <w:lang w:val="uk-UA"/>
        </w:rPr>
        <w:t xml:space="preserve"> та </w:t>
      </w:r>
      <w:r w:rsidR="007D5276" w:rsidRPr="006C6BAF">
        <w:rPr>
          <w:bCs/>
          <w:i/>
          <w:iCs/>
          <w:sz w:val="22"/>
          <w:szCs w:val="22"/>
          <w:lang w:val="uk-UA"/>
        </w:rPr>
        <w:t>Rhipicephalus sanguineus</w:t>
      </w:r>
      <w:r w:rsidR="007D5276" w:rsidRPr="006C6BAF">
        <w:rPr>
          <w:bCs/>
          <w:sz w:val="22"/>
          <w:szCs w:val="22"/>
          <w:lang w:val="uk-UA"/>
        </w:rPr>
        <w:t xml:space="preserve">, </w:t>
      </w:r>
      <w:r w:rsidR="007D5276" w:rsidRPr="006C6BAF">
        <w:rPr>
          <w:bCs/>
          <w:i/>
          <w:iCs/>
          <w:sz w:val="22"/>
          <w:szCs w:val="22"/>
          <w:lang w:val="uk-UA"/>
        </w:rPr>
        <w:t>Demodex canis</w:t>
      </w:r>
      <w:r w:rsidR="007D5276" w:rsidRPr="006C6BAF">
        <w:rPr>
          <w:bCs/>
          <w:sz w:val="22"/>
          <w:szCs w:val="22"/>
          <w:lang w:val="uk-UA"/>
        </w:rPr>
        <w:t xml:space="preserve"> і </w:t>
      </w:r>
      <w:r w:rsidR="007D5276" w:rsidRPr="006C6BAF">
        <w:rPr>
          <w:bCs/>
          <w:i/>
          <w:iCs/>
          <w:sz w:val="22"/>
          <w:szCs w:val="22"/>
          <w:lang w:val="uk-UA"/>
        </w:rPr>
        <w:t>Sarcoptes scabiei var. canis</w:t>
      </w:r>
      <w:r w:rsidR="007D5276" w:rsidRPr="006C6BAF">
        <w:rPr>
          <w:bCs/>
          <w:sz w:val="22"/>
          <w:szCs w:val="22"/>
          <w:lang w:val="uk-UA"/>
        </w:rPr>
        <w:t>.</w:t>
      </w:r>
    </w:p>
    <w:p w14:paraId="01D19550" w14:textId="77777777" w:rsidR="00E569FE" w:rsidRPr="006C6BAF" w:rsidRDefault="00E569FE" w:rsidP="004B2635">
      <w:pPr>
        <w:ind w:firstLine="709"/>
        <w:jc w:val="both"/>
        <w:rPr>
          <w:bCs/>
          <w:sz w:val="22"/>
          <w:szCs w:val="22"/>
          <w:lang w:val="uk-UA"/>
        </w:rPr>
      </w:pPr>
      <w:r w:rsidRPr="006C6BAF">
        <w:rPr>
          <w:bCs/>
          <w:sz w:val="22"/>
          <w:szCs w:val="22"/>
          <w:lang w:val="uk-UA"/>
        </w:rPr>
        <w:t xml:space="preserve">Сароланер знижує ризик зараження </w:t>
      </w:r>
      <w:r w:rsidRPr="006C6BAF">
        <w:rPr>
          <w:bCs/>
          <w:i/>
          <w:iCs/>
          <w:sz w:val="22"/>
          <w:szCs w:val="22"/>
          <w:lang w:val="uk-UA"/>
        </w:rPr>
        <w:t>Dipylidium caninum</w:t>
      </w:r>
      <w:r w:rsidRPr="006C6BAF">
        <w:rPr>
          <w:bCs/>
          <w:sz w:val="22"/>
          <w:szCs w:val="22"/>
          <w:lang w:val="uk-UA"/>
        </w:rPr>
        <w:t xml:space="preserve"> через передачу </w:t>
      </w:r>
      <w:r w:rsidRPr="006C6BAF">
        <w:rPr>
          <w:bCs/>
          <w:i/>
          <w:iCs/>
          <w:sz w:val="22"/>
          <w:szCs w:val="22"/>
          <w:lang w:val="uk-UA"/>
        </w:rPr>
        <w:t>Ctenocephalides felis</w:t>
      </w:r>
      <w:r w:rsidRPr="006C6BAF">
        <w:rPr>
          <w:bCs/>
          <w:sz w:val="22"/>
          <w:szCs w:val="22"/>
          <w:lang w:val="uk-UA"/>
        </w:rPr>
        <w:t>, знищуючи бліх до того, як відбудеться передача захворювання.</w:t>
      </w:r>
    </w:p>
    <w:p w14:paraId="3BDB710F" w14:textId="708323B5" w:rsidR="00984E25" w:rsidRPr="006C6BAF" w:rsidRDefault="00733A6F" w:rsidP="004B2635">
      <w:pPr>
        <w:ind w:firstLine="709"/>
        <w:jc w:val="both"/>
        <w:rPr>
          <w:bCs/>
          <w:sz w:val="22"/>
          <w:szCs w:val="22"/>
          <w:lang w:val="uk-UA"/>
        </w:rPr>
      </w:pPr>
      <w:r w:rsidRPr="006C6BAF">
        <w:rPr>
          <w:bCs/>
          <w:sz w:val="22"/>
          <w:szCs w:val="22"/>
          <w:lang w:val="uk-UA"/>
        </w:rPr>
        <w:t>Після застосування препарат</w:t>
      </w:r>
      <w:r w:rsidR="00461AB4" w:rsidRPr="006C6BAF">
        <w:rPr>
          <w:bCs/>
          <w:sz w:val="22"/>
          <w:szCs w:val="22"/>
          <w:lang w:val="uk-UA"/>
        </w:rPr>
        <w:t>у загибель кліщів, які паразитують на тварині, та нових інвазій наступає протягом 48 годин.</w:t>
      </w:r>
      <w:r w:rsidR="002B274B" w:rsidRPr="006C6BAF">
        <w:rPr>
          <w:lang w:val="uk-UA"/>
        </w:rPr>
        <w:t xml:space="preserve"> </w:t>
      </w:r>
      <w:r w:rsidR="002B274B" w:rsidRPr="006C6BAF">
        <w:rPr>
          <w:bCs/>
          <w:sz w:val="22"/>
          <w:szCs w:val="22"/>
          <w:lang w:val="uk-UA"/>
        </w:rPr>
        <w:t xml:space="preserve">Для виду </w:t>
      </w:r>
      <w:r w:rsidR="002B274B" w:rsidRPr="006C6BAF">
        <w:rPr>
          <w:bCs/>
          <w:i/>
          <w:iCs/>
          <w:sz w:val="22"/>
          <w:szCs w:val="22"/>
          <w:lang w:val="uk-UA"/>
        </w:rPr>
        <w:t>Ixodes ricinus</w:t>
      </w:r>
      <w:r w:rsidR="002B274B" w:rsidRPr="006C6BAF">
        <w:rPr>
          <w:bCs/>
          <w:sz w:val="22"/>
          <w:szCs w:val="22"/>
          <w:lang w:val="uk-UA"/>
        </w:rPr>
        <w:t xml:space="preserve"> початок ефективності настає вже через 24 години і зберігається протягом 35 днів після застосування препарату.</w:t>
      </w:r>
    </w:p>
    <w:p w14:paraId="2A735500" w14:textId="12305712" w:rsidR="00C369A0" w:rsidRPr="006C6BAF" w:rsidRDefault="00DD6389" w:rsidP="004B2635">
      <w:pPr>
        <w:ind w:firstLine="709"/>
        <w:jc w:val="both"/>
        <w:rPr>
          <w:bCs/>
          <w:sz w:val="22"/>
          <w:szCs w:val="22"/>
          <w:lang w:val="uk-UA"/>
        </w:rPr>
      </w:pPr>
      <w:r w:rsidRPr="006C6BAF">
        <w:rPr>
          <w:bCs/>
          <w:sz w:val="22"/>
          <w:szCs w:val="22"/>
          <w:lang w:val="uk-UA"/>
        </w:rPr>
        <w:t>Для бліх початок ефективної дії препарату настає через 12-24</w:t>
      </w:r>
      <w:r w:rsidR="00C369A0" w:rsidRPr="006C6BAF">
        <w:rPr>
          <w:bCs/>
          <w:sz w:val="22"/>
          <w:szCs w:val="22"/>
          <w:lang w:val="uk-UA"/>
        </w:rPr>
        <w:t> </w:t>
      </w:r>
      <w:r w:rsidRPr="006C6BAF">
        <w:rPr>
          <w:bCs/>
          <w:sz w:val="22"/>
          <w:szCs w:val="22"/>
          <w:lang w:val="uk-UA"/>
        </w:rPr>
        <w:t>годин після застосування та триває 5</w:t>
      </w:r>
      <w:r w:rsidR="00C369A0" w:rsidRPr="006C6BAF">
        <w:rPr>
          <w:bCs/>
          <w:sz w:val="22"/>
          <w:szCs w:val="22"/>
          <w:lang w:val="uk-UA"/>
        </w:rPr>
        <w:t> </w:t>
      </w:r>
      <w:r w:rsidRPr="006C6BAF">
        <w:rPr>
          <w:bCs/>
          <w:sz w:val="22"/>
          <w:szCs w:val="22"/>
          <w:lang w:val="uk-UA"/>
        </w:rPr>
        <w:t>тижнів. Блохи, які вже паразитували на тварині, гинуть через 8</w:t>
      </w:r>
      <w:r w:rsidR="00C369A0" w:rsidRPr="006C6BAF">
        <w:rPr>
          <w:bCs/>
          <w:sz w:val="22"/>
          <w:szCs w:val="22"/>
          <w:lang w:val="uk-UA"/>
        </w:rPr>
        <w:t> </w:t>
      </w:r>
      <w:r w:rsidRPr="006C6BAF">
        <w:rPr>
          <w:bCs/>
          <w:sz w:val="22"/>
          <w:szCs w:val="22"/>
          <w:lang w:val="uk-UA"/>
        </w:rPr>
        <w:t>годин після застосування препарату. Ветеринарний лікарський засіб вбиває нових бліх</w:t>
      </w:r>
      <w:r w:rsidR="00C369A0" w:rsidRPr="006C6BAF">
        <w:rPr>
          <w:bCs/>
          <w:sz w:val="22"/>
          <w:szCs w:val="22"/>
          <w:lang w:val="uk-UA"/>
        </w:rPr>
        <w:t xml:space="preserve"> на собаці до того, як вони можуть відкласти яйця, і тому він запобігає забрудненню навколишнього середовища блохами в місцях, до яких собака має доступ.</w:t>
      </w:r>
    </w:p>
    <w:p w14:paraId="167C877F" w14:textId="37DC546F" w:rsidR="00466271" w:rsidRPr="006C6BAF" w:rsidRDefault="001D518F" w:rsidP="004B2635">
      <w:pPr>
        <w:ind w:firstLine="709"/>
        <w:jc w:val="both"/>
        <w:rPr>
          <w:bCs/>
          <w:sz w:val="22"/>
          <w:szCs w:val="22"/>
          <w:lang w:val="uk-UA"/>
        </w:rPr>
      </w:pPr>
      <w:r w:rsidRPr="006C6BAF">
        <w:rPr>
          <w:bCs/>
          <w:sz w:val="22"/>
          <w:szCs w:val="22"/>
          <w:lang w:val="uk-UA"/>
        </w:rPr>
        <w:t xml:space="preserve">Моксидектин – це макроциклічний лактон другого покоління родини мільбеміцинів. Його основним способом дії є втручання в нервово-м'язову передачу на рівні глутамат-залежних хлоридних каналів і, </w:t>
      </w:r>
      <w:r w:rsidR="00717D71" w:rsidRPr="006C6BAF">
        <w:rPr>
          <w:bCs/>
          <w:sz w:val="22"/>
          <w:szCs w:val="22"/>
          <w:lang w:val="uk-UA"/>
        </w:rPr>
        <w:t>щонайменше</w:t>
      </w:r>
      <w:r w:rsidRPr="006C6BAF">
        <w:rPr>
          <w:bCs/>
          <w:sz w:val="22"/>
          <w:szCs w:val="22"/>
          <w:lang w:val="uk-UA"/>
        </w:rPr>
        <w:t>, ГАМК-залежних каналів. Ця інтерференція призводить до відкриття хлоридних каналів на постсинаптичному з'єднанні, щоб забезпечити приплив хлорид-іонів. Це призводить до млявого паралічу і можливої загибелі паразитів, які зазнали впливу препарату.</w:t>
      </w:r>
    </w:p>
    <w:p w14:paraId="77BBD009" w14:textId="1F26A1B9" w:rsidR="00E31278" w:rsidRPr="006C6BAF" w:rsidRDefault="00466271" w:rsidP="004B2635">
      <w:pPr>
        <w:ind w:firstLine="709"/>
        <w:jc w:val="both"/>
        <w:rPr>
          <w:bCs/>
          <w:sz w:val="22"/>
          <w:szCs w:val="22"/>
          <w:lang w:val="uk-UA"/>
        </w:rPr>
      </w:pPr>
      <w:r w:rsidRPr="006C6BAF">
        <w:rPr>
          <w:bCs/>
          <w:sz w:val="22"/>
          <w:szCs w:val="22"/>
          <w:lang w:val="uk-UA"/>
        </w:rPr>
        <w:t xml:space="preserve">Моксидектин активний проти дорослих особин </w:t>
      </w:r>
      <w:r w:rsidRPr="006C6BAF">
        <w:rPr>
          <w:bCs/>
          <w:i/>
          <w:iCs/>
          <w:sz w:val="22"/>
          <w:szCs w:val="22"/>
          <w:lang w:val="uk-UA"/>
        </w:rPr>
        <w:t>Toxocara canis</w:t>
      </w:r>
      <w:r w:rsidRPr="006C6BAF">
        <w:rPr>
          <w:bCs/>
          <w:sz w:val="22"/>
          <w:szCs w:val="22"/>
          <w:lang w:val="uk-UA"/>
        </w:rPr>
        <w:t xml:space="preserve">, личинок L4 та незрілих стадій (L5) </w:t>
      </w:r>
      <w:r w:rsidRPr="006C6BAF">
        <w:rPr>
          <w:bCs/>
          <w:i/>
          <w:iCs/>
          <w:sz w:val="22"/>
          <w:szCs w:val="22"/>
          <w:lang w:val="uk-UA"/>
        </w:rPr>
        <w:t>Ancylostoma caninum</w:t>
      </w:r>
      <w:r w:rsidRPr="006C6BAF">
        <w:rPr>
          <w:bCs/>
          <w:sz w:val="22"/>
          <w:szCs w:val="22"/>
          <w:lang w:val="uk-UA"/>
        </w:rPr>
        <w:t xml:space="preserve">, L4 </w:t>
      </w:r>
      <w:r w:rsidRPr="006C6BAF">
        <w:rPr>
          <w:bCs/>
          <w:i/>
          <w:iCs/>
          <w:sz w:val="22"/>
          <w:szCs w:val="22"/>
          <w:lang w:val="uk-UA"/>
        </w:rPr>
        <w:t>Dirofilaria immitis</w:t>
      </w:r>
      <w:r w:rsidRPr="006C6BAF">
        <w:rPr>
          <w:bCs/>
          <w:sz w:val="22"/>
          <w:szCs w:val="22"/>
          <w:lang w:val="uk-UA"/>
        </w:rPr>
        <w:t xml:space="preserve">, дорослих і незрілих стадій (L5) </w:t>
      </w:r>
      <w:r w:rsidRPr="006C6BAF">
        <w:rPr>
          <w:bCs/>
          <w:i/>
          <w:iCs/>
          <w:sz w:val="22"/>
          <w:szCs w:val="22"/>
          <w:lang w:val="uk-UA"/>
        </w:rPr>
        <w:t>Angiostrongylus vasorum</w:t>
      </w:r>
      <w:r w:rsidRPr="006C6BAF">
        <w:rPr>
          <w:bCs/>
          <w:sz w:val="22"/>
          <w:szCs w:val="22"/>
          <w:lang w:val="uk-UA"/>
        </w:rPr>
        <w:t xml:space="preserve">, а також незрілих стадій </w:t>
      </w:r>
      <w:r w:rsidRPr="006C6BAF">
        <w:rPr>
          <w:bCs/>
          <w:i/>
          <w:iCs/>
          <w:sz w:val="22"/>
          <w:szCs w:val="22"/>
          <w:lang w:val="uk-UA"/>
        </w:rPr>
        <w:t>Thelazia callipaeda</w:t>
      </w:r>
      <w:r w:rsidRPr="006C6BAF">
        <w:rPr>
          <w:bCs/>
          <w:sz w:val="22"/>
          <w:szCs w:val="22"/>
          <w:lang w:val="uk-UA"/>
        </w:rPr>
        <w:t>.</w:t>
      </w:r>
    </w:p>
    <w:p w14:paraId="56D51C7A" w14:textId="77777777" w:rsidR="001D518F" w:rsidRPr="006C6BAF" w:rsidRDefault="001D518F" w:rsidP="004B2635">
      <w:pPr>
        <w:ind w:firstLine="709"/>
        <w:jc w:val="both"/>
        <w:rPr>
          <w:bCs/>
          <w:i/>
          <w:iCs/>
          <w:sz w:val="22"/>
          <w:szCs w:val="22"/>
          <w:lang w:val="uk-UA"/>
        </w:rPr>
      </w:pPr>
      <w:r w:rsidRPr="006C6BAF">
        <w:rPr>
          <w:bCs/>
          <w:sz w:val="22"/>
          <w:szCs w:val="22"/>
          <w:lang w:val="uk-UA"/>
        </w:rPr>
        <w:t xml:space="preserve">Пірантел – агоніст нікотинового ацетилхолінового (ACh) канального рецептора (nAChR). Пірантел імітує агоністичні ефекти ACh за рахунок високоаффінного зв'язування з підтипоспецифічними іонофорними nAChR у нематод, в той час як не зв'язується з мускариновими nAChR. Після зв'язування з рецептором канал відкривається, щоб забезпечити приплив катіонів, що призводить до деполяризації і збудливого впливу на м'язи нематоди, що в </w:t>
      </w:r>
      <w:r w:rsidRPr="006C6BAF">
        <w:rPr>
          <w:bCs/>
          <w:sz w:val="22"/>
          <w:szCs w:val="22"/>
          <w:lang w:val="uk-UA"/>
        </w:rPr>
        <w:lastRenderedPageBreak/>
        <w:t xml:space="preserve">кінцевому підсумку призводить до спастичного паралічу хробака і смерті. Пірантел активний відносно незрілих стадій (L5) і дорослих особин </w:t>
      </w:r>
      <w:r w:rsidRPr="006C6BAF">
        <w:rPr>
          <w:bCs/>
          <w:i/>
          <w:iCs/>
          <w:sz w:val="22"/>
          <w:szCs w:val="22"/>
          <w:lang w:val="uk-UA"/>
        </w:rPr>
        <w:t>Toxocara canis</w:t>
      </w:r>
      <w:r w:rsidRPr="006C6BAF">
        <w:rPr>
          <w:bCs/>
          <w:sz w:val="22"/>
          <w:szCs w:val="22"/>
          <w:lang w:val="uk-UA"/>
        </w:rPr>
        <w:t xml:space="preserve">, дорослих особин </w:t>
      </w:r>
      <w:r w:rsidRPr="006C6BAF">
        <w:rPr>
          <w:bCs/>
          <w:i/>
          <w:iCs/>
          <w:sz w:val="22"/>
          <w:szCs w:val="22"/>
          <w:lang w:val="uk-UA"/>
        </w:rPr>
        <w:t>Ancylostoma caninum</w:t>
      </w:r>
      <w:r w:rsidRPr="006C6BAF">
        <w:rPr>
          <w:bCs/>
          <w:sz w:val="22"/>
          <w:szCs w:val="22"/>
          <w:lang w:val="uk-UA"/>
        </w:rPr>
        <w:t xml:space="preserve">, </w:t>
      </w:r>
      <w:r w:rsidRPr="006C6BAF">
        <w:rPr>
          <w:bCs/>
          <w:i/>
          <w:iCs/>
          <w:sz w:val="22"/>
          <w:szCs w:val="22"/>
          <w:lang w:val="uk-UA"/>
        </w:rPr>
        <w:t>Toxascaris leonina</w:t>
      </w:r>
      <w:r w:rsidRPr="006C6BAF">
        <w:rPr>
          <w:bCs/>
          <w:sz w:val="22"/>
          <w:szCs w:val="22"/>
          <w:lang w:val="uk-UA"/>
        </w:rPr>
        <w:t xml:space="preserve"> і </w:t>
      </w:r>
      <w:r w:rsidRPr="006C6BAF">
        <w:rPr>
          <w:bCs/>
          <w:i/>
          <w:iCs/>
          <w:sz w:val="22"/>
          <w:szCs w:val="22"/>
          <w:lang w:val="uk-UA"/>
        </w:rPr>
        <w:t>Uncinaria stenocephala.</w:t>
      </w:r>
    </w:p>
    <w:p w14:paraId="10FD83D0" w14:textId="0CF0632C" w:rsidR="007A3267" w:rsidRPr="006C6BAF" w:rsidRDefault="001D518F" w:rsidP="004B2635">
      <w:pPr>
        <w:ind w:firstLine="709"/>
        <w:jc w:val="both"/>
        <w:rPr>
          <w:bCs/>
          <w:sz w:val="22"/>
          <w:szCs w:val="22"/>
          <w:lang w:val="uk-UA"/>
        </w:rPr>
      </w:pPr>
      <w:r w:rsidRPr="006C6BAF">
        <w:rPr>
          <w:bCs/>
          <w:sz w:val="22"/>
          <w:szCs w:val="22"/>
          <w:lang w:val="uk-UA"/>
        </w:rPr>
        <w:t xml:space="preserve">У цій фіксованій комбінації моксидектин і пірантел забезпечують додаткову антигельмінтну ефективність за рахунок різних механізмів дії. Зокрема, обидві діючі речовини сприяють загальній ефективності проти шлунково-кишкових нематод </w:t>
      </w:r>
      <w:r w:rsidRPr="006C6BAF">
        <w:rPr>
          <w:bCs/>
          <w:i/>
          <w:iCs/>
          <w:sz w:val="22"/>
          <w:szCs w:val="22"/>
          <w:lang w:val="uk-UA"/>
        </w:rPr>
        <w:t>Ancylostoma caninum</w:t>
      </w:r>
      <w:r w:rsidRPr="006C6BAF">
        <w:rPr>
          <w:bCs/>
          <w:sz w:val="22"/>
          <w:szCs w:val="22"/>
          <w:lang w:val="uk-UA"/>
        </w:rPr>
        <w:t xml:space="preserve"> і </w:t>
      </w:r>
      <w:r w:rsidRPr="006C6BAF">
        <w:rPr>
          <w:bCs/>
          <w:i/>
          <w:iCs/>
          <w:sz w:val="22"/>
          <w:szCs w:val="22"/>
          <w:lang w:val="uk-UA"/>
        </w:rPr>
        <w:t>Toxocara canis</w:t>
      </w:r>
      <w:r w:rsidRPr="006C6BAF">
        <w:rPr>
          <w:bCs/>
          <w:sz w:val="22"/>
          <w:szCs w:val="22"/>
          <w:lang w:val="uk-UA"/>
        </w:rPr>
        <w:t>.</w:t>
      </w:r>
    </w:p>
    <w:p w14:paraId="7B60D682" w14:textId="743F58E5" w:rsidR="00702E71" w:rsidRPr="006C6BAF" w:rsidRDefault="00702E71" w:rsidP="004B2635">
      <w:pPr>
        <w:ind w:firstLine="708"/>
        <w:rPr>
          <w:bCs/>
          <w:sz w:val="22"/>
          <w:szCs w:val="22"/>
          <w:u w:val="single"/>
          <w:lang w:val="uk-UA"/>
        </w:rPr>
      </w:pPr>
      <w:r w:rsidRPr="006C6BAF">
        <w:rPr>
          <w:sz w:val="22"/>
          <w:szCs w:val="22"/>
          <w:u w:val="single"/>
          <w:lang w:val="uk-UA"/>
        </w:rPr>
        <w:t>Фармакокінетика</w:t>
      </w:r>
    </w:p>
    <w:p w14:paraId="0DAF1611" w14:textId="3D88B880" w:rsidR="005D37C0" w:rsidRPr="006C6BAF" w:rsidRDefault="005D37C0" w:rsidP="004B2635">
      <w:pPr>
        <w:ind w:firstLine="709"/>
        <w:jc w:val="both"/>
        <w:rPr>
          <w:bCs/>
          <w:sz w:val="22"/>
          <w:szCs w:val="22"/>
          <w:lang w:val="uk-UA"/>
        </w:rPr>
      </w:pPr>
      <w:r w:rsidRPr="006C6BAF">
        <w:rPr>
          <w:bCs/>
          <w:sz w:val="22"/>
          <w:szCs w:val="22"/>
          <w:lang w:val="uk-UA"/>
        </w:rPr>
        <w:t>Сароланер легко і швидко всмоктується систем</w:t>
      </w:r>
      <w:r w:rsidR="00B56BFF" w:rsidRPr="006C6BAF">
        <w:rPr>
          <w:bCs/>
          <w:sz w:val="22"/>
          <w:szCs w:val="22"/>
          <w:lang w:val="uk-UA"/>
        </w:rPr>
        <w:t>но</w:t>
      </w:r>
      <w:r w:rsidRPr="006C6BAF">
        <w:rPr>
          <w:bCs/>
          <w:sz w:val="22"/>
          <w:szCs w:val="22"/>
          <w:lang w:val="uk-UA"/>
        </w:rPr>
        <w:t xml:space="preserve"> після перорального прийому, досягаючи максимальної концентрації в плазмі крові протягом 3,5 години (максимальний час) після прийому з високою біодоступністю 86,7%. Сароланер повільно виводиться з плазми крові (період напіввиведення становить приблизно 12 днів) через біліарну екскрецію та виведення через кал з незначним внеском метаболічного кліренсу.</w:t>
      </w:r>
    </w:p>
    <w:p w14:paraId="2118C650" w14:textId="37958CA6" w:rsidR="005D37C0" w:rsidRPr="006C6BAF" w:rsidRDefault="005D37C0" w:rsidP="004B2635">
      <w:pPr>
        <w:ind w:firstLine="709"/>
        <w:jc w:val="both"/>
        <w:rPr>
          <w:bCs/>
          <w:sz w:val="22"/>
          <w:szCs w:val="22"/>
          <w:lang w:val="uk-UA"/>
        </w:rPr>
      </w:pPr>
      <w:r w:rsidRPr="006C6BAF">
        <w:rPr>
          <w:bCs/>
          <w:sz w:val="22"/>
          <w:szCs w:val="22"/>
          <w:lang w:val="uk-UA"/>
        </w:rPr>
        <w:t>Моксидектин легко і швидко всмоктується систем</w:t>
      </w:r>
      <w:r w:rsidR="00701813" w:rsidRPr="006C6BAF">
        <w:rPr>
          <w:bCs/>
          <w:sz w:val="22"/>
          <w:szCs w:val="22"/>
          <w:lang w:val="uk-UA"/>
        </w:rPr>
        <w:t>н</w:t>
      </w:r>
      <w:r w:rsidRPr="006C6BAF">
        <w:rPr>
          <w:bCs/>
          <w:sz w:val="22"/>
          <w:szCs w:val="22"/>
          <w:lang w:val="uk-UA"/>
        </w:rPr>
        <w:t>о після перорального прийому, досягаючи максимальної концентрації в плазмі крові протягом 2,4 години (максимальний час) після прийому</w:t>
      </w:r>
      <w:r w:rsidR="00701813" w:rsidRPr="006C6BAF">
        <w:rPr>
          <w:bCs/>
          <w:sz w:val="22"/>
          <w:szCs w:val="22"/>
          <w:lang w:val="uk-UA"/>
        </w:rPr>
        <w:t xml:space="preserve"> і</w:t>
      </w:r>
      <w:r w:rsidRPr="006C6BAF">
        <w:rPr>
          <w:bCs/>
          <w:sz w:val="22"/>
          <w:szCs w:val="22"/>
          <w:lang w:val="uk-UA"/>
        </w:rPr>
        <w:t xml:space="preserve"> з 66,9% біодоступністю. Моксидектин повільно виводиться з плазми крові (період напіввиведення становить приблизно 11 днів) через біліарну екскрецію та виведення через кал з незначним внеском метаболічного кліренсу.</w:t>
      </w:r>
    </w:p>
    <w:p w14:paraId="69935BE5" w14:textId="77777777" w:rsidR="00423897" w:rsidRPr="006C6BAF" w:rsidRDefault="00423897" w:rsidP="004B2635">
      <w:pPr>
        <w:ind w:firstLine="709"/>
        <w:jc w:val="both"/>
        <w:rPr>
          <w:sz w:val="22"/>
          <w:szCs w:val="22"/>
          <w:lang w:val="uk-UA"/>
        </w:rPr>
      </w:pPr>
      <w:r w:rsidRPr="006C6BAF">
        <w:rPr>
          <w:sz w:val="22"/>
          <w:szCs w:val="22"/>
          <w:lang w:val="uk-UA"/>
        </w:rPr>
        <w:t>Пірантел ембонат погано всмоктується, і поглинута частина досягає максимальної концентрації через 1,5 години, період напіврозпаду 7,7 годин. Пірантел виводиться з калом, а невелика поглинена частина виводиться в основному з сечею.</w:t>
      </w:r>
    </w:p>
    <w:p w14:paraId="4C768324" w14:textId="69304C0E" w:rsidR="007A3267" w:rsidRPr="006C6BAF" w:rsidRDefault="005D37C0" w:rsidP="004B2635">
      <w:pPr>
        <w:ind w:firstLine="709"/>
        <w:jc w:val="both"/>
        <w:rPr>
          <w:bCs/>
          <w:sz w:val="22"/>
          <w:szCs w:val="22"/>
          <w:lang w:val="uk-UA"/>
        </w:rPr>
      </w:pPr>
      <w:r w:rsidRPr="006C6BAF">
        <w:rPr>
          <w:bCs/>
          <w:sz w:val="22"/>
          <w:szCs w:val="22"/>
          <w:lang w:val="uk-UA"/>
        </w:rPr>
        <w:t>Прийом їжі не впливає на ступінь всмоктування сароланера і моксидектину.</w:t>
      </w:r>
    </w:p>
    <w:p w14:paraId="6BB13F91" w14:textId="6F986758" w:rsidR="007A3267" w:rsidRPr="006C6BAF" w:rsidRDefault="00EC472C" w:rsidP="004B2635">
      <w:pPr>
        <w:pStyle w:val="a6"/>
        <w:numPr>
          <w:ilvl w:val="0"/>
          <w:numId w:val="3"/>
        </w:numPr>
        <w:ind w:left="0" w:firstLine="709"/>
        <w:jc w:val="both"/>
        <w:rPr>
          <w:b/>
          <w:sz w:val="22"/>
          <w:szCs w:val="22"/>
          <w:lang w:val="uk-UA"/>
        </w:rPr>
      </w:pPr>
      <w:r w:rsidRPr="006C6BAF">
        <w:rPr>
          <w:b/>
          <w:sz w:val="22"/>
          <w:szCs w:val="22"/>
          <w:lang w:val="uk-UA"/>
        </w:rPr>
        <w:t>Клінічні особливості</w:t>
      </w:r>
    </w:p>
    <w:p w14:paraId="6BC4CED4" w14:textId="6FC1E5FC" w:rsidR="00EC472C" w:rsidRPr="006C6BAF" w:rsidRDefault="00EB0BA0" w:rsidP="004B2635">
      <w:pPr>
        <w:pStyle w:val="a6"/>
        <w:numPr>
          <w:ilvl w:val="1"/>
          <w:numId w:val="3"/>
        </w:numPr>
        <w:ind w:left="0" w:firstLine="709"/>
        <w:jc w:val="both"/>
        <w:rPr>
          <w:b/>
          <w:sz w:val="22"/>
          <w:szCs w:val="22"/>
          <w:lang w:val="uk-UA"/>
        </w:rPr>
      </w:pPr>
      <w:r w:rsidRPr="006C6BAF">
        <w:rPr>
          <w:b/>
          <w:sz w:val="22"/>
          <w:szCs w:val="22"/>
          <w:lang w:val="uk-UA"/>
        </w:rPr>
        <w:t>Вид тварин</w:t>
      </w:r>
    </w:p>
    <w:p w14:paraId="6B86EA57" w14:textId="514A9535" w:rsidR="00EB0BA0" w:rsidRPr="006C6BAF" w:rsidRDefault="00EB0BA0" w:rsidP="004B2635">
      <w:pPr>
        <w:ind w:firstLine="709"/>
        <w:jc w:val="both"/>
        <w:rPr>
          <w:bCs/>
          <w:sz w:val="22"/>
          <w:szCs w:val="22"/>
          <w:lang w:val="uk-UA"/>
        </w:rPr>
      </w:pPr>
      <w:r w:rsidRPr="006C6BAF">
        <w:rPr>
          <w:bCs/>
          <w:sz w:val="22"/>
          <w:szCs w:val="22"/>
          <w:lang w:val="uk-UA"/>
        </w:rPr>
        <w:t>Собаки</w:t>
      </w:r>
      <w:r w:rsidR="00A402B3" w:rsidRPr="006C6BAF">
        <w:rPr>
          <w:bCs/>
          <w:sz w:val="22"/>
          <w:szCs w:val="22"/>
          <w:lang w:val="uk-UA"/>
        </w:rPr>
        <w:t>.</w:t>
      </w:r>
    </w:p>
    <w:p w14:paraId="04FF4190" w14:textId="1D396A62" w:rsidR="007A3267" w:rsidRPr="006C6BAF" w:rsidRDefault="00EB0BA0" w:rsidP="004B2635">
      <w:pPr>
        <w:pStyle w:val="a6"/>
        <w:numPr>
          <w:ilvl w:val="1"/>
          <w:numId w:val="3"/>
        </w:numPr>
        <w:ind w:left="0" w:firstLine="709"/>
        <w:jc w:val="both"/>
        <w:rPr>
          <w:b/>
          <w:sz w:val="22"/>
          <w:szCs w:val="22"/>
          <w:lang w:val="uk-UA"/>
        </w:rPr>
      </w:pPr>
      <w:r w:rsidRPr="006C6BAF">
        <w:rPr>
          <w:b/>
          <w:sz w:val="22"/>
          <w:szCs w:val="22"/>
          <w:lang w:val="uk-UA"/>
        </w:rPr>
        <w:t>Показання до застосування</w:t>
      </w:r>
    </w:p>
    <w:p w14:paraId="194AB07B" w14:textId="49BD0D22" w:rsidR="007E3DDE" w:rsidRPr="006C6BAF" w:rsidRDefault="00A5004A" w:rsidP="004B2635">
      <w:pPr>
        <w:ind w:firstLine="709"/>
        <w:jc w:val="both"/>
        <w:rPr>
          <w:bCs/>
          <w:sz w:val="22"/>
          <w:szCs w:val="22"/>
          <w:lang w:val="uk-UA"/>
        </w:rPr>
      </w:pPr>
      <w:r w:rsidRPr="006C6BAF">
        <w:rPr>
          <w:bCs/>
          <w:sz w:val="22"/>
          <w:szCs w:val="22"/>
          <w:lang w:val="uk-UA"/>
        </w:rPr>
        <w:t>Застосовувати собак</w:t>
      </w:r>
      <w:r w:rsidR="008A7316" w:rsidRPr="006C6BAF">
        <w:rPr>
          <w:bCs/>
          <w:sz w:val="22"/>
          <w:szCs w:val="22"/>
          <w:lang w:val="uk-UA"/>
        </w:rPr>
        <w:t>ам</w:t>
      </w:r>
      <w:r w:rsidRPr="006C6BAF">
        <w:rPr>
          <w:bCs/>
          <w:sz w:val="22"/>
          <w:szCs w:val="22"/>
          <w:lang w:val="uk-UA"/>
        </w:rPr>
        <w:t xml:space="preserve">, які мають змішані інвазії зовнішніх і внутрішніх паразитів, або </w:t>
      </w:r>
      <w:r w:rsidR="00475D00" w:rsidRPr="006C6BAF">
        <w:rPr>
          <w:bCs/>
          <w:sz w:val="22"/>
          <w:szCs w:val="22"/>
          <w:lang w:val="uk-UA"/>
        </w:rPr>
        <w:t>мають</w:t>
      </w:r>
      <w:r w:rsidRPr="006C6BAF">
        <w:rPr>
          <w:bCs/>
          <w:sz w:val="22"/>
          <w:szCs w:val="22"/>
          <w:lang w:val="uk-UA"/>
        </w:rPr>
        <w:t xml:space="preserve"> підвищений ризик зараження. Сімпаріка TRIO застосовується тваринам проти кліщів, бліх та гастроінтестинальних нематод, як</w:t>
      </w:r>
      <w:r w:rsidR="00F93123" w:rsidRPr="006C6BAF">
        <w:rPr>
          <w:bCs/>
          <w:sz w:val="22"/>
          <w:szCs w:val="22"/>
          <w:lang w:val="uk-UA"/>
        </w:rPr>
        <w:t>их</w:t>
      </w:r>
      <w:r w:rsidRPr="006C6BAF">
        <w:rPr>
          <w:bCs/>
          <w:sz w:val="22"/>
          <w:szCs w:val="22"/>
          <w:lang w:val="uk-UA"/>
        </w:rPr>
        <w:t xml:space="preserve"> виявлено одночасно. Також препарат </w:t>
      </w:r>
      <w:r w:rsidR="00D82E26" w:rsidRPr="006C6BAF">
        <w:rPr>
          <w:bCs/>
          <w:sz w:val="22"/>
          <w:szCs w:val="22"/>
          <w:lang w:val="uk-UA"/>
        </w:rPr>
        <w:t>забезпечує одночасну ефективність для лікування та профілактики ангіостронгільозу, а також для профілактики дирофіляріозу і телязіозу.</w:t>
      </w:r>
    </w:p>
    <w:p w14:paraId="153A83CD" w14:textId="10E0C6E5" w:rsidR="00A5004A" w:rsidRPr="006C6BAF" w:rsidRDefault="00F93123" w:rsidP="004B2635">
      <w:pPr>
        <w:ind w:firstLine="709"/>
        <w:jc w:val="both"/>
        <w:rPr>
          <w:bCs/>
          <w:sz w:val="22"/>
          <w:szCs w:val="22"/>
          <w:u w:val="single"/>
          <w:lang w:val="uk-UA"/>
        </w:rPr>
      </w:pPr>
      <w:r w:rsidRPr="006C6BAF">
        <w:rPr>
          <w:bCs/>
          <w:sz w:val="22"/>
          <w:szCs w:val="22"/>
          <w:u w:val="single"/>
          <w:lang w:val="uk-UA"/>
        </w:rPr>
        <w:t>Ектопаразити</w:t>
      </w:r>
    </w:p>
    <w:p w14:paraId="5A2DABD4" w14:textId="15AF1C51" w:rsidR="00F93123" w:rsidRPr="006C6BAF" w:rsidRDefault="00F93123" w:rsidP="004B2635">
      <w:pPr>
        <w:pStyle w:val="a6"/>
        <w:numPr>
          <w:ilvl w:val="0"/>
          <w:numId w:val="5"/>
        </w:numPr>
        <w:ind w:left="0" w:firstLine="709"/>
        <w:jc w:val="both"/>
        <w:rPr>
          <w:bCs/>
          <w:sz w:val="22"/>
          <w:szCs w:val="22"/>
          <w:lang w:val="uk-UA"/>
        </w:rPr>
      </w:pPr>
      <w:r w:rsidRPr="006C6BAF">
        <w:rPr>
          <w:bCs/>
          <w:sz w:val="22"/>
          <w:szCs w:val="22"/>
          <w:lang w:val="uk-UA"/>
        </w:rPr>
        <w:t xml:space="preserve">Для лікування кліщових інвазій. Препарат негайно та стійко знищує протягом 5 тижнів кліщів </w:t>
      </w:r>
      <w:r w:rsidRPr="006C6BAF">
        <w:rPr>
          <w:bCs/>
          <w:i/>
          <w:iCs/>
          <w:sz w:val="22"/>
          <w:szCs w:val="22"/>
          <w:lang w:val="uk-UA"/>
        </w:rPr>
        <w:t>Ixodes hexagonus, Ixodes Ricinus</w:t>
      </w:r>
      <w:r w:rsidRPr="006C6BAF">
        <w:rPr>
          <w:bCs/>
          <w:sz w:val="22"/>
          <w:szCs w:val="22"/>
          <w:lang w:val="uk-UA"/>
        </w:rPr>
        <w:t xml:space="preserve"> та </w:t>
      </w:r>
      <w:r w:rsidRPr="006C6BAF">
        <w:rPr>
          <w:bCs/>
          <w:i/>
          <w:iCs/>
          <w:sz w:val="22"/>
          <w:szCs w:val="22"/>
          <w:lang w:val="uk-UA"/>
        </w:rPr>
        <w:t>Rhipicephalus sanguineus</w:t>
      </w:r>
      <w:r w:rsidRPr="006C6BAF">
        <w:rPr>
          <w:bCs/>
          <w:sz w:val="22"/>
          <w:szCs w:val="22"/>
          <w:lang w:val="uk-UA"/>
        </w:rPr>
        <w:t xml:space="preserve">, а також протягом 4 тижнів – </w:t>
      </w:r>
      <w:r w:rsidRPr="006C6BAF">
        <w:rPr>
          <w:bCs/>
          <w:i/>
          <w:iCs/>
          <w:sz w:val="22"/>
          <w:szCs w:val="22"/>
          <w:lang w:val="uk-UA"/>
        </w:rPr>
        <w:t>Dermacenter reticulatus</w:t>
      </w:r>
      <w:r w:rsidRPr="006C6BAF">
        <w:rPr>
          <w:bCs/>
          <w:sz w:val="22"/>
          <w:szCs w:val="22"/>
          <w:lang w:val="uk-UA"/>
        </w:rPr>
        <w:t>.</w:t>
      </w:r>
    </w:p>
    <w:p w14:paraId="2525DC21" w14:textId="2B61C039" w:rsidR="00F93123" w:rsidRPr="006C6BAF" w:rsidRDefault="00F93123" w:rsidP="004B2635">
      <w:pPr>
        <w:pStyle w:val="a6"/>
        <w:numPr>
          <w:ilvl w:val="0"/>
          <w:numId w:val="5"/>
        </w:numPr>
        <w:ind w:left="0" w:firstLine="709"/>
        <w:jc w:val="both"/>
        <w:rPr>
          <w:bCs/>
          <w:sz w:val="22"/>
          <w:szCs w:val="22"/>
          <w:lang w:val="uk-UA"/>
        </w:rPr>
      </w:pPr>
      <w:r w:rsidRPr="006C6BAF">
        <w:rPr>
          <w:bCs/>
          <w:sz w:val="22"/>
          <w:szCs w:val="22"/>
          <w:lang w:val="uk-UA"/>
        </w:rPr>
        <w:t>Для лікування блошиних інвазій. Препарат негайно та стійко знищує та захищає від нових уражень протягом 5</w:t>
      </w:r>
      <w:r w:rsidR="00E4108A" w:rsidRPr="006C6BAF">
        <w:rPr>
          <w:bCs/>
          <w:sz w:val="22"/>
          <w:szCs w:val="22"/>
          <w:lang w:val="uk-UA"/>
        </w:rPr>
        <w:t> </w:t>
      </w:r>
      <w:r w:rsidRPr="006C6BAF">
        <w:rPr>
          <w:bCs/>
          <w:sz w:val="22"/>
          <w:szCs w:val="22"/>
          <w:lang w:val="uk-UA"/>
        </w:rPr>
        <w:t xml:space="preserve">тижнів від </w:t>
      </w:r>
      <w:r w:rsidRPr="006C6BAF">
        <w:rPr>
          <w:bCs/>
          <w:i/>
          <w:iCs/>
          <w:sz w:val="22"/>
          <w:szCs w:val="22"/>
          <w:lang w:val="uk-UA"/>
        </w:rPr>
        <w:t>Ctenocephalides felis</w:t>
      </w:r>
      <w:r w:rsidRPr="006C6BAF">
        <w:rPr>
          <w:bCs/>
          <w:sz w:val="22"/>
          <w:szCs w:val="22"/>
          <w:lang w:val="uk-UA"/>
        </w:rPr>
        <w:t xml:space="preserve"> та </w:t>
      </w:r>
      <w:r w:rsidRPr="006C6BAF">
        <w:rPr>
          <w:bCs/>
          <w:i/>
          <w:iCs/>
          <w:sz w:val="22"/>
          <w:szCs w:val="22"/>
          <w:lang w:val="uk-UA"/>
        </w:rPr>
        <w:t>Ctenocephalides canis</w:t>
      </w:r>
      <w:r w:rsidRPr="006C6BAF">
        <w:rPr>
          <w:bCs/>
          <w:sz w:val="22"/>
          <w:szCs w:val="22"/>
          <w:lang w:val="uk-UA"/>
        </w:rPr>
        <w:t>.</w:t>
      </w:r>
    </w:p>
    <w:p w14:paraId="387A97FC" w14:textId="19E51D23" w:rsidR="00F93123" w:rsidRPr="006C6BAF" w:rsidRDefault="00F93123" w:rsidP="004B2635">
      <w:pPr>
        <w:pStyle w:val="a6"/>
        <w:numPr>
          <w:ilvl w:val="0"/>
          <w:numId w:val="5"/>
        </w:numPr>
        <w:ind w:left="0" w:firstLine="709"/>
        <w:jc w:val="both"/>
        <w:rPr>
          <w:bCs/>
          <w:sz w:val="22"/>
          <w:szCs w:val="22"/>
          <w:lang w:val="uk-UA"/>
        </w:rPr>
      </w:pPr>
      <w:r w:rsidRPr="006C6BAF">
        <w:rPr>
          <w:bCs/>
          <w:sz w:val="22"/>
          <w:szCs w:val="22"/>
          <w:lang w:val="uk-UA"/>
        </w:rPr>
        <w:t xml:space="preserve">Препарат може застосовуватися </w:t>
      </w:r>
      <w:r w:rsidR="00A402B3" w:rsidRPr="006C6BAF">
        <w:rPr>
          <w:bCs/>
          <w:sz w:val="22"/>
          <w:szCs w:val="22"/>
          <w:lang w:val="uk-UA"/>
        </w:rPr>
        <w:t>в</w:t>
      </w:r>
      <w:r w:rsidRPr="006C6BAF">
        <w:rPr>
          <w:bCs/>
          <w:sz w:val="22"/>
          <w:szCs w:val="22"/>
          <w:lang w:val="uk-UA"/>
        </w:rPr>
        <w:t xml:space="preserve"> складі терапевтичної стратегії для лікування алергічного дерматиту, викликаного блохами (FAD).</w:t>
      </w:r>
    </w:p>
    <w:p w14:paraId="522568A6" w14:textId="77777777" w:rsidR="00F93123" w:rsidRPr="006C6BAF" w:rsidRDefault="00F93123" w:rsidP="004B2635">
      <w:pPr>
        <w:pStyle w:val="a6"/>
        <w:numPr>
          <w:ilvl w:val="0"/>
          <w:numId w:val="5"/>
        </w:numPr>
        <w:ind w:left="0" w:firstLine="709"/>
        <w:jc w:val="both"/>
        <w:rPr>
          <w:bCs/>
          <w:sz w:val="22"/>
          <w:szCs w:val="22"/>
          <w:lang w:val="uk-UA"/>
        </w:rPr>
      </w:pPr>
      <w:r w:rsidRPr="006C6BAF">
        <w:rPr>
          <w:bCs/>
          <w:sz w:val="22"/>
          <w:szCs w:val="22"/>
          <w:lang w:val="uk-UA"/>
        </w:rPr>
        <w:t>Для лікування саркоптозу (</w:t>
      </w:r>
      <w:r w:rsidRPr="006C6BAF">
        <w:rPr>
          <w:bCs/>
          <w:i/>
          <w:iCs/>
          <w:sz w:val="22"/>
          <w:szCs w:val="22"/>
          <w:lang w:val="uk-UA"/>
        </w:rPr>
        <w:t>Sarcoptes scabiei var. canis</w:t>
      </w:r>
      <w:r w:rsidRPr="006C6BAF">
        <w:rPr>
          <w:bCs/>
          <w:sz w:val="22"/>
          <w:szCs w:val="22"/>
          <w:lang w:val="uk-UA"/>
        </w:rPr>
        <w:t>).</w:t>
      </w:r>
    </w:p>
    <w:p w14:paraId="0833026D" w14:textId="002C9ACD" w:rsidR="00A5004A" w:rsidRPr="006C6BAF" w:rsidRDefault="00F93123" w:rsidP="004B2635">
      <w:pPr>
        <w:pStyle w:val="a6"/>
        <w:numPr>
          <w:ilvl w:val="0"/>
          <w:numId w:val="5"/>
        </w:numPr>
        <w:ind w:left="0" w:firstLine="709"/>
        <w:jc w:val="both"/>
        <w:rPr>
          <w:bCs/>
          <w:sz w:val="22"/>
          <w:szCs w:val="22"/>
          <w:lang w:val="uk-UA"/>
        </w:rPr>
      </w:pPr>
      <w:r w:rsidRPr="006C6BAF">
        <w:rPr>
          <w:bCs/>
          <w:sz w:val="22"/>
          <w:szCs w:val="22"/>
          <w:lang w:val="uk-UA"/>
        </w:rPr>
        <w:t>Для лікування демодекозу (</w:t>
      </w:r>
      <w:r w:rsidRPr="006C6BAF">
        <w:rPr>
          <w:bCs/>
          <w:i/>
          <w:iCs/>
          <w:sz w:val="22"/>
          <w:szCs w:val="22"/>
          <w:lang w:val="uk-UA"/>
        </w:rPr>
        <w:t>Demodex canis</w:t>
      </w:r>
      <w:r w:rsidRPr="006C6BAF">
        <w:rPr>
          <w:bCs/>
          <w:sz w:val="22"/>
          <w:szCs w:val="22"/>
          <w:lang w:val="uk-UA"/>
        </w:rPr>
        <w:t>).</w:t>
      </w:r>
    </w:p>
    <w:p w14:paraId="59227C77" w14:textId="54E250C2" w:rsidR="00A5004A" w:rsidRPr="006C6BAF" w:rsidRDefault="001D24BF" w:rsidP="004B2635">
      <w:pPr>
        <w:ind w:firstLine="709"/>
        <w:jc w:val="both"/>
        <w:rPr>
          <w:bCs/>
          <w:sz w:val="22"/>
          <w:szCs w:val="22"/>
          <w:u w:val="single"/>
          <w:lang w:val="uk-UA"/>
        </w:rPr>
      </w:pPr>
      <w:r w:rsidRPr="006C6BAF">
        <w:rPr>
          <w:bCs/>
          <w:sz w:val="22"/>
          <w:szCs w:val="22"/>
          <w:u w:val="single"/>
          <w:lang w:val="uk-UA"/>
        </w:rPr>
        <w:t>Гастроінтестинальні нематоди</w:t>
      </w:r>
    </w:p>
    <w:p w14:paraId="4D9E2BDD" w14:textId="77777777" w:rsidR="00111805" w:rsidRPr="006C6BAF" w:rsidRDefault="00111805" w:rsidP="004B2635">
      <w:pPr>
        <w:ind w:firstLine="709"/>
        <w:jc w:val="both"/>
        <w:rPr>
          <w:bCs/>
          <w:sz w:val="22"/>
          <w:szCs w:val="22"/>
          <w:lang w:val="uk-UA"/>
        </w:rPr>
      </w:pPr>
      <w:r w:rsidRPr="006C6BAF">
        <w:rPr>
          <w:bCs/>
          <w:sz w:val="22"/>
          <w:szCs w:val="22"/>
          <w:lang w:val="uk-UA"/>
        </w:rPr>
        <w:t>Для лікування інвазій гастроінтестинальними круглими нематодами та анкілостомами:</w:t>
      </w:r>
    </w:p>
    <w:p w14:paraId="1A1BD172" w14:textId="77777777" w:rsidR="00111805" w:rsidRPr="006C6BAF" w:rsidRDefault="00111805" w:rsidP="004B2635">
      <w:pPr>
        <w:pStyle w:val="a6"/>
        <w:numPr>
          <w:ilvl w:val="0"/>
          <w:numId w:val="6"/>
        </w:numPr>
        <w:ind w:left="0" w:firstLine="709"/>
        <w:jc w:val="both"/>
        <w:rPr>
          <w:bCs/>
          <w:sz w:val="22"/>
          <w:szCs w:val="22"/>
          <w:lang w:val="uk-UA"/>
        </w:rPr>
      </w:pPr>
      <w:r w:rsidRPr="006C6BAF">
        <w:rPr>
          <w:bCs/>
          <w:i/>
          <w:iCs/>
          <w:sz w:val="22"/>
          <w:szCs w:val="22"/>
          <w:lang w:val="uk-UA"/>
        </w:rPr>
        <w:t>Toxocara canis</w:t>
      </w:r>
      <w:r w:rsidRPr="006C6BAF">
        <w:rPr>
          <w:bCs/>
          <w:sz w:val="22"/>
          <w:szCs w:val="22"/>
          <w:lang w:val="uk-UA"/>
        </w:rPr>
        <w:t xml:space="preserve"> незрілі дорослі стадії (L5) і дорослі стадії;</w:t>
      </w:r>
    </w:p>
    <w:p w14:paraId="383EC134" w14:textId="77777777" w:rsidR="00111805" w:rsidRPr="006C6BAF" w:rsidRDefault="00111805" w:rsidP="004B2635">
      <w:pPr>
        <w:pStyle w:val="a6"/>
        <w:numPr>
          <w:ilvl w:val="0"/>
          <w:numId w:val="6"/>
        </w:numPr>
        <w:ind w:left="0" w:firstLine="709"/>
        <w:jc w:val="both"/>
        <w:rPr>
          <w:bCs/>
          <w:sz w:val="22"/>
          <w:szCs w:val="22"/>
          <w:lang w:val="uk-UA"/>
        </w:rPr>
      </w:pPr>
      <w:r w:rsidRPr="006C6BAF">
        <w:rPr>
          <w:bCs/>
          <w:sz w:val="22"/>
          <w:szCs w:val="22"/>
          <w:lang w:val="uk-UA"/>
        </w:rPr>
        <w:t xml:space="preserve">Личинки </w:t>
      </w:r>
      <w:r w:rsidRPr="006C6BAF">
        <w:rPr>
          <w:bCs/>
          <w:i/>
          <w:iCs/>
          <w:sz w:val="22"/>
          <w:szCs w:val="22"/>
          <w:lang w:val="uk-UA"/>
        </w:rPr>
        <w:t>Ancylostoma caninum</w:t>
      </w:r>
      <w:r w:rsidRPr="006C6BAF">
        <w:rPr>
          <w:bCs/>
          <w:sz w:val="22"/>
          <w:szCs w:val="22"/>
          <w:lang w:val="uk-UA"/>
        </w:rPr>
        <w:t xml:space="preserve"> L4, незрілі дорослі стадії (L5) і дорослі стадії;</w:t>
      </w:r>
    </w:p>
    <w:p w14:paraId="5A86C9F8" w14:textId="77777777" w:rsidR="00111805" w:rsidRPr="006C6BAF" w:rsidRDefault="00111805" w:rsidP="004B2635">
      <w:pPr>
        <w:pStyle w:val="a6"/>
        <w:numPr>
          <w:ilvl w:val="0"/>
          <w:numId w:val="6"/>
        </w:numPr>
        <w:ind w:left="0" w:firstLine="709"/>
        <w:jc w:val="both"/>
        <w:rPr>
          <w:bCs/>
          <w:sz w:val="22"/>
          <w:szCs w:val="22"/>
          <w:lang w:val="uk-UA"/>
        </w:rPr>
      </w:pPr>
      <w:r w:rsidRPr="006C6BAF">
        <w:rPr>
          <w:bCs/>
          <w:i/>
          <w:iCs/>
          <w:sz w:val="22"/>
          <w:szCs w:val="22"/>
          <w:lang w:val="uk-UA"/>
        </w:rPr>
        <w:t>Toxascaris leonina</w:t>
      </w:r>
      <w:r w:rsidRPr="006C6BAF">
        <w:rPr>
          <w:bCs/>
          <w:sz w:val="22"/>
          <w:szCs w:val="22"/>
          <w:lang w:val="uk-UA"/>
        </w:rPr>
        <w:t xml:space="preserve"> дорослі стадії;</w:t>
      </w:r>
    </w:p>
    <w:p w14:paraId="208C1987" w14:textId="7FFF2660" w:rsidR="001D24BF" w:rsidRPr="006C6BAF" w:rsidRDefault="00111805" w:rsidP="004B2635">
      <w:pPr>
        <w:pStyle w:val="a6"/>
        <w:numPr>
          <w:ilvl w:val="0"/>
          <w:numId w:val="6"/>
        </w:numPr>
        <w:ind w:left="0" w:firstLine="709"/>
        <w:jc w:val="both"/>
        <w:rPr>
          <w:bCs/>
          <w:sz w:val="22"/>
          <w:szCs w:val="22"/>
          <w:lang w:val="uk-UA"/>
        </w:rPr>
      </w:pPr>
      <w:r w:rsidRPr="006C6BAF">
        <w:rPr>
          <w:bCs/>
          <w:i/>
          <w:iCs/>
          <w:sz w:val="22"/>
          <w:szCs w:val="22"/>
          <w:lang w:val="uk-UA"/>
        </w:rPr>
        <w:t>Uncinaria stenocephala</w:t>
      </w:r>
      <w:r w:rsidRPr="006C6BAF">
        <w:rPr>
          <w:bCs/>
          <w:sz w:val="22"/>
          <w:szCs w:val="22"/>
          <w:lang w:val="uk-UA"/>
        </w:rPr>
        <w:t xml:space="preserve"> дорослі стадії.</w:t>
      </w:r>
    </w:p>
    <w:p w14:paraId="7B743C4A" w14:textId="77777777" w:rsidR="00AB3E87" w:rsidRPr="006C6BAF" w:rsidRDefault="00AB3E87" w:rsidP="004B2635">
      <w:pPr>
        <w:ind w:firstLine="709"/>
        <w:jc w:val="both"/>
        <w:rPr>
          <w:bCs/>
          <w:sz w:val="22"/>
          <w:szCs w:val="22"/>
          <w:u w:val="single"/>
          <w:lang w:val="uk-UA"/>
        </w:rPr>
      </w:pPr>
      <w:r w:rsidRPr="006C6BAF">
        <w:rPr>
          <w:bCs/>
          <w:sz w:val="22"/>
          <w:szCs w:val="22"/>
          <w:u w:val="single"/>
          <w:lang w:val="uk-UA"/>
        </w:rPr>
        <w:t>Інші нематоди</w:t>
      </w:r>
    </w:p>
    <w:p w14:paraId="05349DEC" w14:textId="77777777" w:rsidR="00AB3E87" w:rsidRPr="006C6BAF" w:rsidRDefault="00AB3E87" w:rsidP="004B2635">
      <w:pPr>
        <w:pStyle w:val="a6"/>
        <w:numPr>
          <w:ilvl w:val="0"/>
          <w:numId w:val="7"/>
        </w:numPr>
        <w:ind w:left="0" w:firstLine="709"/>
        <w:jc w:val="both"/>
        <w:rPr>
          <w:bCs/>
          <w:sz w:val="22"/>
          <w:szCs w:val="22"/>
          <w:lang w:val="uk-UA"/>
        </w:rPr>
      </w:pPr>
      <w:r w:rsidRPr="006C6BAF">
        <w:rPr>
          <w:bCs/>
          <w:sz w:val="22"/>
          <w:szCs w:val="22"/>
          <w:lang w:val="uk-UA"/>
        </w:rPr>
        <w:t>Для профілактики дирофіляріозу (</w:t>
      </w:r>
      <w:r w:rsidRPr="006C6BAF">
        <w:rPr>
          <w:bCs/>
          <w:i/>
          <w:iCs/>
          <w:sz w:val="22"/>
          <w:szCs w:val="22"/>
          <w:lang w:val="uk-UA"/>
        </w:rPr>
        <w:t>Dirofilaria immitis</w:t>
      </w:r>
      <w:r w:rsidRPr="006C6BAF">
        <w:rPr>
          <w:bCs/>
          <w:sz w:val="22"/>
          <w:szCs w:val="22"/>
          <w:lang w:val="uk-UA"/>
        </w:rPr>
        <w:t>);</w:t>
      </w:r>
    </w:p>
    <w:p w14:paraId="4E9B2406" w14:textId="77777777" w:rsidR="00AB3E87" w:rsidRPr="006C6BAF" w:rsidRDefault="00AB3E87" w:rsidP="004B2635">
      <w:pPr>
        <w:pStyle w:val="a6"/>
        <w:numPr>
          <w:ilvl w:val="0"/>
          <w:numId w:val="7"/>
        </w:numPr>
        <w:ind w:left="0" w:firstLine="709"/>
        <w:jc w:val="both"/>
        <w:rPr>
          <w:bCs/>
          <w:sz w:val="22"/>
          <w:szCs w:val="22"/>
          <w:lang w:val="uk-UA"/>
        </w:rPr>
      </w:pPr>
      <w:r w:rsidRPr="006C6BAF">
        <w:rPr>
          <w:bCs/>
          <w:sz w:val="22"/>
          <w:szCs w:val="22"/>
          <w:lang w:val="uk-UA"/>
        </w:rPr>
        <w:t xml:space="preserve">Для профілактики ангіостронгільозу шляхом зниження рівня зараження незрілими дорослими (L5) стадіями </w:t>
      </w:r>
      <w:r w:rsidRPr="006C6BAF">
        <w:rPr>
          <w:bCs/>
          <w:i/>
          <w:iCs/>
          <w:sz w:val="22"/>
          <w:szCs w:val="22"/>
          <w:lang w:val="uk-UA"/>
        </w:rPr>
        <w:t>Angiostrongylus vasorum</w:t>
      </w:r>
      <w:r w:rsidRPr="006C6BAF">
        <w:rPr>
          <w:bCs/>
          <w:sz w:val="22"/>
          <w:szCs w:val="22"/>
          <w:lang w:val="uk-UA"/>
        </w:rPr>
        <w:t>.</w:t>
      </w:r>
    </w:p>
    <w:p w14:paraId="29E59549" w14:textId="09825FA9" w:rsidR="000F1DBF" w:rsidRPr="006C6BAF" w:rsidRDefault="000F1DBF" w:rsidP="004B2635">
      <w:pPr>
        <w:pStyle w:val="a6"/>
        <w:numPr>
          <w:ilvl w:val="0"/>
          <w:numId w:val="7"/>
        </w:numPr>
        <w:ind w:left="0" w:firstLine="709"/>
        <w:jc w:val="both"/>
        <w:rPr>
          <w:bCs/>
          <w:sz w:val="22"/>
          <w:szCs w:val="22"/>
          <w:lang w:val="uk-UA"/>
        </w:rPr>
      </w:pPr>
      <w:r w:rsidRPr="006C6BAF">
        <w:rPr>
          <w:bCs/>
          <w:sz w:val="22"/>
          <w:szCs w:val="22"/>
          <w:lang w:val="uk-UA"/>
        </w:rPr>
        <w:t>Для лікування ангіостронгільозу (</w:t>
      </w:r>
      <w:r w:rsidRPr="006C6BAF">
        <w:rPr>
          <w:bCs/>
          <w:i/>
          <w:iCs/>
          <w:sz w:val="22"/>
          <w:szCs w:val="22"/>
          <w:lang w:val="uk-UA"/>
        </w:rPr>
        <w:t>Angiostrongylus vasorum</w:t>
      </w:r>
      <w:r w:rsidRPr="006C6BAF">
        <w:rPr>
          <w:bCs/>
          <w:sz w:val="22"/>
          <w:szCs w:val="22"/>
          <w:lang w:val="uk-UA"/>
        </w:rPr>
        <w:t>);</w:t>
      </w:r>
    </w:p>
    <w:p w14:paraId="7D8C4F3A" w14:textId="68DEA3C6" w:rsidR="001D24BF" w:rsidRPr="006C6BAF" w:rsidRDefault="00AB3E87" w:rsidP="004B2635">
      <w:pPr>
        <w:pStyle w:val="a6"/>
        <w:numPr>
          <w:ilvl w:val="0"/>
          <w:numId w:val="7"/>
        </w:numPr>
        <w:ind w:left="0" w:firstLine="709"/>
        <w:jc w:val="both"/>
        <w:rPr>
          <w:bCs/>
          <w:sz w:val="22"/>
          <w:szCs w:val="22"/>
          <w:lang w:val="uk-UA"/>
        </w:rPr>
      </w:pPr>
      <w:r w:rsidRPr="006C6BAF">
        <w:rPr>
          <w:bCs/>
          <w:sz w:val="22"/>
          <w:szCs w:val="22"/>
          <w:lang w:val="uk-UA"/>
        </w:rPr>
        <w:t xml:space="preserve">Для </w:t>
      </w:r>
      <w:r w:rsidR="000F1DBF" w:rsidRPr="006C6BAF">
        <w:rPr>
          <w:bCs/>
          <w:sz w:val="22"/>
          <w:szCs w:val="22"/>
          <w:lang w:val="uk-UA"/>
        </w:rPr>
        <w:t>профілактики</w:t>
      </w:r>
      <w:r w:rsidRPr="006C6BAF">
        <w:rPr>
          <w:bCs/>
          <w:sz w:val="22"/>
          <w:szCs w:val="22"/>
          <w:lang w:val="uk-UA"/>
        </w:rPr>
        <w:t xml:space="preserve"> розвитку телязіозу (дорослі форми </w:t>
      </w:r>
      <w:r w:rsidRPr="006C6BAF">
        <w:rPr>
          <w:bCs/>
          <w:i/>
          <w:iCs/>
          <w:sz w:val="22"/>
          <w:szCs w:val="22"/>
          <w:lang w:val="uk-UA"/>
        </w:rPr>
        <w:t>Thelazia callipaeda</w:t>
      </w:r>
      <w:r w:rsidR="004D3877" w:rsidRPr="006C6BAF">
        <w:rPr>
          <w:bCs/>
          <w:sz w:val="22"/>
          <w:szCs w:val="22"/>
          <w:lang w:val="uk-UA"/>
        </w:rPr>
        <w:t>, що паразитують в очах</w:t>
      </w:r>
      <w:r w:rsidRPr="006C6BAF">
        <w:rPr>
          <w:bCs/>
          <w:sz w:val="22"/>
          <w:szCs w:val="22"/>
          <w:lang w:val="uk-UA"/>
        </w:rPr>
        <w:t>).</w:t>
      </w:r>
    </w:p>
    <w:p w14:paraId="421B0170" w14:textId="33CF72B1" w:rsidR="001D24BF" w:rsidRPr="006C6BAF" w:rsidRDefault="00E843BA" w:rsidP="004B2635">
      <w:pPr>
        <w:ind w:firstLine="709"/>
        <w:jc w:val="both"/>
        <w:rPr>
          <w:bCs/>
          <w:sz w:val="22"/>
          <w:szCs w:val="22"/>
          <w:lang w:val="uk-UA"/>
        </w:rPr>
      </w:pPr>
      <w:r w:rsidRPr="006C6BAF">
        <w:rPr>
          <w:bCs/>
          <w:sz w:val="22"/>
          <w:szCs w:val="22"/>
          <w:lang w:val="uk-UA"/>
        </w:rPr>
        <w:lastRenderedPageBreak/>
        <w:t xml:space="preserve">Зниження ризику зараження </w:t>
      </w:r>
      <w:r w:rsidRPr="006C6BAF">
        <w:rPr>
          <w:bCs/>
          <w:i/>
          <w:iCs/>
          <w:sz w:val="22"/>
          <w:szCs w:val="22"/>
          <w:lang w:val="uk-UA"/>
        </w:rPr>
        <w:t>Dipylidium caninum</w:t>
      </w:r>
      <w:r w:rsidRPr="006C6BAF">
        <w:rPr>
          <w:bCs/>
          <w:sz w:val="22"/>
          <w:szCs w:val="22"/>
          <w:lang w:val="uk-UA"/>
        </w:rPr>
        <w:t xml:space="preserve"> через передачу </w:t>
      </w:r>
      <w:r w:rsidRPr="006C6BAF">
        <w:rPr>
          <w:bCs/>
          <w:i/>
          <w:iCs/>
          <w:sz w:val="22"/>
          <w:szCs w:val="22"/>
          <w:lang w:val="uk-UA"/>
        </w:rPr>
        <w:t>Ctenocephalides felis</w:t>
      </w:r>
      <w:r w:rsidRPr="006C6BAF">
        <w:rPr>
          <w:bCs/>
          <w:sz w:val="22"/>
          <w:szCs w:val="22"/>
          <w:lang w:val="uk-UA"/>
        </w:rPr>
        <w:t xml:space="preserve"> протягом одного місяця після лікування. Ефект є непрямим завдяки дії препарату проти переносника.</w:t>
      </w:r>
    </w:p>
    <w:p w14:paraId="0904C857" w14:textId="24C126A1" w:rsidR="00AB3E87" w:rsidRPr="006C6BAF" w:rsidRDefault="00AB3E87" w:rsidP="004B2635">
      <w:pPr>
        <w:pStyle w:val="a6"/>
        <w:numPr>
          <w:ilvl w:val="1"/>
          <w:numId w:val="3"/>
        </w:numPr>
        <w:ind w:left="0" w:firstLine="709"/>
        <w:jc w:val="both"/>
        <w:rPr>
          <w:b/>
          <w:sz w:val="22"/>
          <w:szCs w:val="22"/>
          <w:lang w:val="uk-UA"/>
        </w:rPr>
      </w:pPr>
      <w:r w:rsidRPr="006C6BAF">
        <w:rPr>
          <w:b/>
          <w:sz w:val="22"/>
          <w:szCs w:val="22"/>
          <w:lang w:val="uk-UA"/>
        </w:rPr>
        <w:t>Протипоказання</w:t>
      </w:r>
    </w:p>
    <w:p w14:paraId="19650DDD" w14:textId="3CF688C0" w:rsidR="00AB3E87" w:rsidRPr="006C6BAF" w:rsidRDefault="00AB3E87" w:rsidP="004B2635">
      <w:pPr>
        <w:ind w:firstLine="709"/>
        <w:jc w:val="both"/>
        <w:rPr>
          <w:bCs/>
          <w:sz w:val="22"/>
          <w:szCs w:val="22"/>
          <w:lang w:val="uk-UA"/>
        </w:rPr>
      </w:pPr>
      <w:r w:rsidRPr="006C6BAF">
        <w:rPr>
          <w:bCs/>
          <w:sz w:val="22"/>
          <w:szCs w:val="22"/>
          <w:lang w:val="uk-UA"/>
        </w:rPr>
        <w:t xml:space="preserve">Не застосовувати </w:t>
      </w:r>
      <w:r w:rsidR="00A402B3" w:rsidRPr="006C6BAF">
        <w:rPr>
          <w:bCs/>
          <w:sz w:val="22"/>
          <w:szCs w:val="22"/>
          <w:lang w:val="uk-UA"/>
        </w:rPr>
        <w:t>в</w:t>
      </w:r>
      <w:r w:rsidRPr="006C6BAF">
        <w:rPr>
          <w:bCs/>
          <w:sz w:val="22"/>
          <w:szCs w:val="22"/>
          <w:lang w:val="uk-UA"/>
        </w:rPr>
        <w:t xml:space="preserve"> разі підвищеної чутливості до діючих або допоміжних речовин.</w:t>
      </w:r>
    </w:p>
    <w:p w14:paraId="72A4FB68" w14:textId="4F5FA87A" w:rsidR="001D24BF" w:rsidRPr="006C6BAF" w:rsidRDefault="00AB3E87" w:rsidP="004B2635">
      <w:pPr>
        <w:pStyle w:val="a6"/>
        <w:numPr>
          <w:ilvl w:val="1"/>
          <w:numId w:val="3"/>
        </w:numPr>
        <w:ind w:left="0" w:firstLine="709"/>
        <w:jc w:val="both"/>
        <w:rPr>
          <w:b/>
          <w:sz w:val="22"/>
          <w:szCs w:val="22"/>
          <w:lang w:val="uk-UA"/>
        </w:rPr>
      </w:pPr>
      <w:r w:rsidRPr="006C6BAF">
        <w:rPr>
          <w:b/>
          <w:sz w:val="22"/>
          <w:szCs w:val="22"/>
          <w:lang w:val="uk-UA"/>
        </w:rPr>
        <w:t>Побічні реакції</w:t>
      </w:r>
    </w:p>
    <w:p w14:paraId="6E3C36FF" w14:textId="311DEA15" w:rsidR="00AD7629" w:rsidRPr="006C6BAF" w:rsidRDefault="00AD7629" w:rsidP="004B2635">
      <w:pPr>
        <w:ind w:firstLine="709"/>
        <w:jc w:val="both"/>
        <w:rPr>
          <w:bCs/>
          <w:sz w:val="22"/>
          <w:szCs w:val="22"/>
          <w:lang w:val="uk-UA"/>
        </w:rPr>
      </w:pPr>
      <w:r w:rsidRPr="006C6BAF">
        <w:rPr>
          <w:bCs/>
          <w:sz w:val="22"/>
          <w:szCs w:val="22"/>
          <w:lang w:val="uk-UA"/>
        </w:rPr>
        <w:t xml:space="preserve">За результатами постмаркетингового дослідження безпеки </w:t>
      </w:r>
      <w:r w:rsidR="00A402B3" w:rsidRPr="006C6BAF">
        <w:rPr>
          <w:bCs/>
          <w:sz w:val="22"/>
          <w:szCs w:val="22"/>
          <w:lang w:val="uk-UA"/>
        </w:rPr>
        <w:t>в</w:t>
      </w:r>
      <w:r w:rsidRPr="006C6BAF">
        <w:rPr>
          <w:bCs/>
          <w:sz w:val="22"/>
          <w:szCs w:val="22"/>
          <w:lang w:val="uk-UA"/>
        </w:rPr>
        <w:t xml:space="preserve"> дуже рідкісних випадках можуть виникати шлунково-кишкові ознаки, </w:t>
      </w:r>
      <w:r w:rsidR="00A402B3" w:rsidRPr="006C6BAF">
        <w:rPr>
          <w:bCs/>
          <w:sz w:val="22"/>
          <w:szCs w:val="22"/>
          <w:lang w:val="uk-UA"/>
        </w:rPr>
        <w:t>а саме,</w:t>
      </w:r>
      <w:r w:rsidRPr="006C6BAF">
        <w:rPr>
          <w:bCs/>
          <w:sz w:val="22"/>
          <w:szCs w:val="22"/>
          <w:lang w:val="uk-UA"/>
        </w:rPr>
        <w:t xml:space="preserve"> блювання та діарея, а також системні </w:t>
      </w:r>
      <w:r w:rsidR="00475ED3" w:rsidRPr="006C6BAF">
        <w:rPr>
          <w:bCs/>
          <w:sz w:val="22"/>
          <w:szCs w:val="22"/>
          <w:lang w:val="uk-UA"/>
        </w:rPr>
        <w:t>розлади</w:t>
      </w:r>
      <w:r w:rsidRPr="006C6BAF">
        <w:rPr>
          <w:bCs/>
          <w:sz w:val="22"/>
          <w:szCs w:val="22"/>
          <w:lang w:val="uk-UA"/>
        </w:rPr>
        <w:t xml:space="preserve">, </w:t>
      </w:r>
      <w:r w:rsidR="00A402B3" w:rsidRPr="006C6BAF">
        <w:rPr>
          <w:bCs/>
          <w:sz w:val="22"/>
          <w:szCs w:val="22"/>
          <w:lang w:val="uk-UA"/>
        </w:rPr>
        <w:t xml:space="preserve">а саме, </w:t>
      </w:r>
      <w:r w:rsidRPr="006C6BAF">
        <w:rPr>
          <w:bCs/>
          <w:sz w:val="22"/>
          <w:szCs w:val="22"/>
          <w:lang w:val="uk-UA"/>
        </w:rPr>
        <w:t xml:space="preserve">млявість, анорексія/втрата апетиту. Неврологічні ознаки, </w:t>
      </w:r>
      <w:r w:rsidR="00A402B3" w:rsidRPr="006C6BAF">
        <w:rPr>
          <w:bCs/>
          <w:sz w:val="22"/>
          <w:szCs w:val="22"/>
          <w:lang w:val="uk-UA"/>
        </w:rPr>
        <w:t xml:space="preserve">а саме, </w:t>
      </w:r>
      <w:r w:rsidRPr="006C6BAF">
        <w:rPr>
          <w:bCs/>
          <w:sz w:val="22"/>
          <w:szCs w:val="22"/>
          <w:lang w:val="uk-UA"/>
        </w:rPr>
        <w:t>тремор, атаксія або судоми, можуть виникати в дуже рідкісних випадках. У більшості випадків всі вищезазначені ознаки слабкі та минущі.</w:t>
      </w:r>
    </w:p>
    <w:p w14:paraId="2FBA80BD" w14:textId="77777777" w:rsidR="00C14A88" w:rsidRPr="006C6BAF" w:rsidRDefault="00C14A88" w:rsidP="004B2635">
      <w:pPr>
        <w:pStyle w:val="a6"/>
        <w:numPr>
          <w:ilvl w:val="1"/>
          <w:numId w:val="3"/>
        </w:numPr>
        <w:ind w:left="0" w:firstLine="709"/>
        <w:jc w:val="both"/>
        <w:rPr>
          <w:b/>
          <w:sz w:val="22"/>
          <w:szCs w:val="22"/>
          <w:lang w:val="uk-UA"/>
        </w:rPr>
      </w:pPr>
      <w:r w:rsidRPr="006C6BAF">
        <w:rPr>
          <w:b/>
          <w:sz w:val="22"/>
          <w:szCs w:val="22"/>
          <w:lang w:val="uk-UA"/>
        </w:rPr>
        <w:t>Особливі застереження при використанні</w:t>
      </w:r>
    </w:p>
    <w:p w14:paraId="20E9A5C2" w14:textId="428166F4" w:rsidR="00C14A88" w:rsidRPr="006C6BAF" w:rsidRDefault="00C14A88" w:rsidP="004B2635">
      <w:pPr>
        <w:ind w:firstLine="709"/>
        <w:jc w:val="both"/>
        <w:rPr>
          <w:bCs/>
          <w:sz w:val="22"/>
          <w:szCs w:val="22"/>
          <w:lang w:val="uk-UA"/>
        </w:rPr>
      </w:pPr>
      <w:r w:rsidRPr="006C6BAF">
        <w:rPr>
          <w:bCs/>
          <w:sz w:val="22"/>
          <w:szCs w:val="22"/>
          <w:lang w:val="uk-UA"/>
        </w:rPr>
        <w:t xml:space="preserve">Кліщі і блохи повинні почати </w:t>
      </w:r>
      <w:r w:rsidR="000034F9" w:rsidRPr="006C6BAF">
        <w:rPr>
          <w:sz w:val="22"/>
          <w:szCs w:val="22"/>
          <w:lang w:val="uk-UA"/>
        </w:rPr>
        <w:t xml:space="preserve">живитися </w:t>
      </w:r>
      <w:r w:rsidRPr="006C6BAF">
        <w:rPr>
          <w:bCs/>
          <w:sz w:val="22"/>
          <w:szCs w:val="22"/>
          <w:lang w:val="uk-UA"/>
        </w:rPr>
        <w:t>на господареві, щоб сароланер почав на них діяти; тому не можна виключати передачу інфекційних захворювань, які передаються через паразитів.</w:t>
      </w:r>
    </w:p>
    <w:p w14:paraId="20664337" w14:textId="2B5A7724" w:rsidR="00C14A88" w:rsidRPr="006C6BAF" w:rsidRDefault="00C14A88" w:rsidP="004B2635">
      <w:pPr>
        <w:ind w:firstLine="709"/>
        <w:jc w:val="both"/>
        <w:rPr>
          <w:bCs/>
          <w:sz w:val="22"/>
          <w:szCs w:val="22"/>
          <w:lang w:val="uk-UA"/>
        </w:rPr>
      </w:pPr>
      <w:r w:rsidRPr="006C6BAF">
        <w:rPr>
          <w:bCs/>
          <w:sz w:val="22"/>
          <w:szCs w:val="22"/>
          <w:lang w:val="uk-UA"/>
        </w:rPr>
        <w:t>Цей вете</w:t>
      </w:r>
      <w:r w:rsidR="00A402B3" w:rsidRPr="006C6BAF">
        <w:rPr>
          <w:bCs/>
          <w:sz w:val="22"/>
          <w:szCs w:val="22"/>
          <w:lang w:val="uk-UA"/>
        </w:rPr>
        <w:t>ринарний лікарський препарат не</w:t>
      </w:r>
      <w:r w:rsidRPr="006C6BAF">
        <w:rPr>
          <w:bCs/>
          <w:sz w:val="22"/>
          <w:szCs w:val="22"/>
          <w:lang w:val="uk-UA"/>
        </w:rPr>
        <w:t xml:space="preserve">ефективний проти незрілої стадії </w:t>
      </w:r>
      <w:r w:rsidRPr="006C6BAF">
        <w:rPr>
          <w:bCs/>
          <w:i/>
          <w:iCs/>
          <w:sz w:val="22"/>
          <w:szCs w:val="22"/>
          <w:lang w:val="uk-UA"/>
        </w:rPr>
        <w:t>D. immitis</w:t>
      </w:r>
      <w:r w:rsidRPr="006C6BAF">
        <w:rPr>
          <w:bCs/>
          <w:sz w:val="22"/>
          <w:szCs w:val="22"/>
          <w:lang w:val="uk-UA"/>
        </w:rPr>
        <w:t>. Однак</w:t>
      </w:r>
      <w:r w:rsidR="00A402B3" w:rsidRPr="006C6BAF">
        <w:rPr>
          <w:bCs/>
          <w:sz w:val="22"/>
          <w:szCs w:val="22"/>
          <w:lang w:val="uk-UA"/>
        </w:rPr>
        <w:t>,</w:t>
      </w:r>
      <w:r w:rsidRPr="006C6BAF">
        <w:rPr>
          <w:bCs/>
          <w:sz w:val="22"/>
          <w:szCs w:val="22"/>
          <w:lang w:val="uk-UA"/>
        </w:rPr>
        <w:t xml:space="preserve"> випадкове введення собакам, інфіковани</w:t>
      </w:r>
      <w:r w:rsidR="00553CC0" w:rsidRPr="006C6BAF">
        <w:rPr>
          <w:bCs/>
          <w:sz w:val="22"/>
          <w:szCs w:val="22"/>
          <w:lang w:val="uk-UA"/>
        </w:rPr>
        <w:t xml:space="preserve">м дорослими серцевими нематодами, не повинно створювати проблем з безпекою. </w:t>
      </w:r>
      <w:r w:rsidRPr="006C6BAF">
        <w:rPr>
          <w:bCs/>
          <w:sz w:val="22"/>
          <w:szCs w:val="22"/>
          <w:lang w:val="uk-UA"/>
        </w:rPr>
        <w:t xml:space="preserve">Собаки в районах, ендемічних для серцевих нематод (або ті, які </w:t>
      </w:r>
      <w:r w:rsidR="00723FAB" w:rsidRPr="006C6BAF">
        <w:rPr>
          <w:bCs/>
          <w:sz w:val="22"/>
          <w:szCs w:val="22"/>
          <w:lang w:val="uk-UA"/>
        </w:rPr>
        <w:t>подорожували</w:t>
      </w:r>
      <w:r w:rsidRPr="006C6BAF">
        <w:rPr>
          <w:bCs/>
          <w:sz w:val="22"/>
          <w:szCs w:val="22"/>
          <w:lang w:val="uk-UA"/>
        </w:rPr>
        <w:t xml:space="preserve"> в ендемічні район</w:t>
      </w:r>
      <w:r w:rsidR="00723FAB" w:rsidRPr="006C6BAF">
        <w:rPr>
          <w:bCs/>
          <w:sz w:val="22"/>
          <w:szCs w:val="22"/>
          <w:lang w:val="uk-UA"/>
        </w:rPr>
        <w:t>и</w:t>
      </w:r>
      <w:r w:rsidRPr="006C6BAF">
        <w:rPr>
          <w:bCs/>
          <w:sz w:val="22"/>
          <w:szCs w:val="22"/>
          <w:lang w:val="uk-UA"/>
        </w:rPr>
        <w:t xml:space="preserve">), можуть бути заражені дорослими серцевими нематодами. Підтримка ефективності макроциклічних лактонів має вирішальне значення для боротьби з </w:t>
      </w:r>
      <w:r w:rsidRPr="006C6BAF">
        <w:rPr>
          <w:bCs/>
          <w:i/>
          <w:iCs/>
          <w:sz w:val="22"/>
          <w:szCs w:val="22"/>
          <w:lang w:val="uk-UA"/>
        </w:rPr>
        <w:t>Dirofilaria immitis</w:t>
      </w:r>
      <w:r w:rsidRPr="006C6BAF">
        <w:rPr>
          <w:bCs/>
          <w:sz w:val="22"/>
          <w:szCs w:val="22"/>
          <w:lang w:val="uk-UA"/>
        </w:rPr>
        <w:t>. Щоб звести до мінімуму ризик селективної резистентності, рекомендується перевіряти собак як на наявність циркулюючих антигенів, так і на наявність мікрофілярій у крові на початку кожного сезону профілактичного лікування. Лікувати слід тільки негативних тварин.</w:t>
      </w:r>
    </w:p>
    <w:p w14:paraId="1E50A788" w14:textId="7EF5EBFC" w:rsidR="00AB3E87" w:rsidRPr="006C6BAF" w:rsidRDefault="00C14A88" w:rsidP="004B2635">
      <w:pPr>
        <w:ind w:firstLine="709"/>
        <w:jc w:val="both"/>
        <w:rPr>
          <w:bCs/>
          <w:sz w:val="22"/>
          <w:szCs w:val="22"/>
          <w:lang w:val="uk-UA"/>
        </w:rPr>
      </w:pPr>
      <w:r w:rsidRPr="006C6BAF">
        <w:rPr>
          <w:bCs/>
          <w:sz w:val="22"/>
          <w:szCs w:val="22"/>
          <w:lang w:val="uk-UA"/>
        </w:rPr>
        <w:t>Стійкість паразитів до будь-якого конкретного класу паразитицидів може розвинутися після частого або багаторазового використання продукту цього класу. Тому використання цього продукту повинно ґрунтуватися на оцінці кожного окремого випадку та на місцевій епідеміологічній інформації про поточну сприйнятливість цільових видів, щоб обмежити можливість майбутньої селективної резистентності.</w:t>
      </w:r>
    </w:p>
    <w:p w14:paraId="2978A34C" w14:textId="0B0EF274" w:rsidR="001B0436" w:rsidRPr="006C6BAF" w:rsidRDefault="001B0436" w:rsidP="004B2635">
      <w:pPr>
        <w:ind w:firstLine="709"/>
        <w:jc w:val="both"/>
        <w:rPr>
          <w:bCs/>
          <w:sz w:val="22"/>
          <w:szCs w:val="22"/>
          <w:u w:val="single"/>
          <w:lang w:val="uk-UA"/>
        </w:rPr>
      </w:pPr>
      <w:r w:rsidRPr="006C6BAF">
        <w:rPr>
          <w:bCs/>
          <w:sz w:val="22"/>
          <w:szCs w:val="22"/>
          <w:u w:val="single"/>
          <w:lang w:val="uk-UA"/>
        </w:rPr>
        <w:t xml:space="preserve">Особливі запобіжні заходи при застосуванні </w:t>
      </w:r>
      <w:r w:rsidR="00CD6DAA" w:rsidRPr="006C6BAF">
        <w:rPr>
          <w:bCs/>
          <w:sz w:val="22"/>
          <w:szCs w:val="22"/>
          <w:u w:val="single"/>
          <w:lang w:val="uk-UA"/>
        </w:rPr>
        <w:t>в</w:t>
      </w:r>
      <w:r w:rsidRPr="006C6BAF">
        <w:rPr>
          <w:bCs/>
          <w:sz w:val="22"/>
          <w:szCs w:val="22"/>
          <w:u w:val="single"/>
          <w:lang w:val="uk-UA"/>
        </w:rPr>
        <w:t xml:space="preserve"> тварин</w:t>
      </w:r>
    </w:p>
    <w:p w14:paraId="54AF7198" w14:textId="77777777" w:rsidR="0041047E" w:rsidRPr="006C6BAF" w:rsidRDefault="001B0436" w:rsidP="004B2635">
      <w:pPr>
        <w:ind w:firstLine="709"/>
        <w:jc w:val="both"/>
        <w:rPr>
          <w:bCs/>
          <w:sz w:val="22"/>
          <w:szCs w:val="22"/>
          <w:lang w:val="uk-UA"/>
        </w:rPr>
      </w:pPr>
      <w:r w:rsidRPr="006C6BAF">
        <w:rPr>
          <w:bCs/>
          <w:sz w:val="22"/>
          <w:szCs w:val="22"/>
          <w:lang w:val="uk-UA"/>
        </w:rPr>
        <w:t>При відсутності доступних даних лікування цуценят у віці менше 8 тижнів і/або собак з масою тіла менше 1,25 кг повинно базуватися на оцінці користі і ризику ветеринарним лікарем.</w:t>
      </w:r>
    </w:p>
    <w:p w14:paraId="532A775B" w14:textId="4899786B" w:rsidR="00AB3E87" w:rsidRPr="006C6BAF" w:rsidRDefault="001B0436" w:rsidP="004B2635">
      <w:pPr>
        <w:ind w:firstLine="709"/>
        <w:jc w:val="both"/>
        <w:rPr>
          <w:bCs/>
          <w:sz w:val="22"/>
          <w:szCs w:val="22"/>
          <w:lang w:val="uk-UA"/>
        </w:rPr>
      </w:pPr>
      <w:r w:rsidRPr="006C6BAF">
        <w:rPr>
          <w:bCs/>
          <w:sz w:val="22"/>
          <w:szCs w:val="22"/>
          <w:lang w:val="uk-UA"/>
        </w:rPr>
        <w:t>Препарат добре переноси</w:t>
      </w:r>
      <w:r w:rsidR="0041047E" w:rsidRPr="006C6BAF">
        <w:rPr>
          <w:bCs/>
          <w:sz w:val="22"/>
          <w:szCs w:val="22"/>
          <w:lang w:val="uk-UA"/>
        </w:rPr>
        <w:t>вся</w:t>
      </w:r>
      <w:r w:rsidRPr="006C6BAF">
        <w:rPr>
          <w:bCs/>
          <w:sz w:val="22"/>
          <w:szCs w:val="22"/>
          <w:lang w:val="uk-UA"/>
        </w:rPr>
        <w:t xml:space="preserve"> собаками з мутацією гену ABCB1 (MDR1 -/-). Однак</w:t>
      </w:r>
      <w:r w:rsidR="00A402B3" w:rsidRPr="006C6BAF">
        <w:rPr>
          <w:bCs/>
          <w:sz w:val="22"/>
          <w:szCs w:val="22"/>
          <w:lang w:val="uk-UA"/>
        </w:rPr>
        <w:t>,</w:t>
      </w:r>
      <w:r w:rsidRPr="006C6BAF">
        <w:rPr>
          <w:bCs/>
          <w:sz w:val="22"/>
          <w:szCs w:val="22"/>
          <w:lang w:val="uk-UA"/>
        </w:rPr>
        <w:t xml:space="preserve"> у </w:t>
      </w:r>
      <w:r w:rsidR="004E53F4" w:rsidRPr="006C6BAF">
        <w:rPr>
          <w:bCs/>
          <w:sz w:val="22"/>
          <w:szCs w:val="22"/>
          <w:lang w:val="uk-UA"/>
        </w:rPr>
        <w:t>чутливих порід</w:t>
      </w:r>
      <w:r w:rsidRPr="006C6BAF">
        <w:rPr>
          <w:bCs/>
          <w:sz w:val="22"/>
          <w:szCs w:val="22"/>
          <w:lang w:val="uk-UA"/>
        </w:rPr>
        <w:t xml:space="preserve"> (колі та споріднені породи </w:t>
      </w:r>
      <w:r w:rsidR="004E53F4" w:rsidRPr="006C6BAF">
        <w:rPr>
          <w:bCs/>
          <w:sz w:val="22"/>
          <w:szCs w:val="22"/>
          <w:lang w:val="uk-UA"/>
        </w:rPr>
        <w:t>та</w:t>
      </w:r>
      <w:r w:rsidRPr="006C6BAF">
        <w:rPr>
          <w:bCs/>
          <w:sz w:val="22"/>
          <w:szCs w:val="22"/>
          <w:lang w:val="uk-UA"/>
        </w:rPr>
        <w:t xml:space="preserve"> інші чутливі собаки) повинна суворо дотримуватися рекомендована доза.</w:t>
      </w:r>
    </w:p>
    <w:p w14:paraId="763BEAA7" w14:textId="0B92A64D" w:rsidR="004E53F4" w:rsidRPr="006C6BAF" w:rsidRDefault="004E53F4" w:rsidP="004B2635">
      <w:pPr>
        <w:pStyle w:val="a6"/>
        <w:numPr>
          <w:ilvl w:val="1"/>
          <w:numId w:val="3"/>
        </w:numPr>
        <w:ind w:left="0" w:firstLine="709"/>
        <w:jc w:val="both"/>
        <w:rPr>
          <w:b/>
          <w:sz w:val="22"/>
          <w:szCs w:val="22"/>
          <w:lang w:val="uk-UA"/>
        </w:rPr>
      </w:pPr>
      <w:r w:rsidRPr="006C6BAF">
        <w:rPr>
          <w:b/>
          <w:sz w:val="22"/>
          <w:szCs w:val="22"/>
          <w:lang w:val="uk-UA"/>
        </w:rPr>
        <w:t>Застосування під час вагітності, лактації, несучості</w:t>
      </w:r>
    </w:p>
    <w:p w14:paraId="52A4F600" w14:textId="5BFD912C" w:rsidR="00AB3E87" w:rsidRPr="006C6BAF" w:rsidRDefault="004E53F4" w:rsidP="004B2635">
      <w:pPr>
        <w:ind w:firstLine="709"/>
        <w:jc w:val="both"/>
        <w:rPr>
          <w:bCs/>
          <w:sz w:val="22"/>
          <w:szCs w:val="22"/>
          <w:lang w:val="uk-UA"/>
        </w:rPr>
      </w:pPr>
      <w:r w:rsidRPr="006C6BAF">
        <w:rPr>
          <w:bCs/>
          <w:sz w:val="22"/>
          <w:szCs w:val="22"/>
          <w:lang w:val="uk-UA"/>
        </w:rPr>
        <w:t xml:space="preserve">Безпека препарату не встановлювалась під час вагітності та лактації, або </w:t>
      </w:r>
      <w:r w:rsidR="00A402B3" w:rsidRPr="006C6BAF">
        <w:rPr>
          <w:bCs/>
          <w:sz w:val="22"/>
          <w:szCs w:val="22"/>
          <w:lang w:val="uk-UA"/>
        </w:rPr>
        <w:t>в</w:t>
      </w:r>
      <w:r w:rsidRPr="006C6BAF">
        <w:rPr>
          <w:bCs/>
          <w:sz w:val="22"/>
          <w:szCs w:val="22"/>
          <w:lang w:val="uk-UA"/>
        </w:rPr>
        <w:t xml:space="preserve"> тварин, призначених для розведення. Застосування </w:t>
      </w:r>
      <w:r w:rsidR="00A402B3" w:rsidRPr="006C6BAF">
        <w:rPr>
          <w:bCs/>
          <w:sz w:val="22"/>
          <w:szCs w:val="22"/>
          <w:lang w:val="uk-UA"/>
        </w:rPr>
        <w:t>в</w:t>
      </w:r>
      <w:r w:rsidRPr="006C6BAF">
        <w:rPr>
          <w:bCs/>
          <w:sz w:val="22"/>
          <w:szCs w:val="22"/>
          <w:lang w:val="uk-UA"/>
        </w:rPr>
        <w:t xml:space="preserve"> таких тварин не рекомендовано.</w:t>
      </w:r>
    </w:p>
    <w:p w14:paraId="3114DC2D" w14:textId="2B509811" w:rsidR="00943874" w:rsidRPr="006C6BAF" w:rsidRDefault="00943874" w:rsidP="004B2635">
      <w:pPr>
        <w:pStyle w:val="a6"/>
        <w:numPr>
          <w:ilvl w:val="1"/>
          <w:numId w:val="3"/>
        </w:numPr>
        <w:ind w:left="0" w:firstLine="709"/>
        <w:jc w:val="both"/>
        <w:rPr>
          <w:b/>
          <w:sz w:val="22"/>
          <w:szCs w:val="22"/>
          <w:lang w:val="uk-UA"/>
        </w:rPr>
      </w:pPr>
      <w:r w:rsidRPr="006C6BAF">
        <w:rPr>
          <w:b/>
          <w:sz w:val="22"/>
          <w:szCs w:val="22"/>
          <w:lang w:val="uk-UA"/>
        </w:rPr>
        <w:t>Взаємодія з іншими лікарськими засобами та інші форми взаємодії</w:t>
      </w:r>
    </w:p>
    <w:p w14:paraId="084F6BD7" w14:textId="7CD9A332" w:rsidR="00943874" w:rsidRPr="006C6BAF" w:rsidRDefault="00943874" w:rsidP="004B2635">
      <w:pPr>
        <w:ind w:firstLine="709"/>
        <w:jc w:val="both"/>
        <w:rPr>
          <w:bCs/>
          <w:sz w:val="22"/>
          <w:szCs w:val="22"/>
          <w:lang w:val="uk-UA"/>
        </w:rPr>
      </w:pPr>
      <w:r w:rsidRPr="006C6BAF">
        <w:rPr>
          <w:bCs/>
          <w:sz w:val="22"/>
          <w:szCs w:val="22"/>
          <w:lang w:val="uk-UA"/>
        </w:rPr>
        <w:t>Невідомі.</w:t>
      </w:r>
    </w:p>
    <w:p w14:paraId="21465819" w14:textId="01F523D2" w:rsidR="00943874" w:rsidRPr="006C6BAF" w:rsidRDefault="00943874" w:rsidP="004B2635">
      <w:pPr>
        <w:pStyle w:val="a6"/>
        <w:numPr>
          <w:ilvl w:val="1"/>
          <w:numId w:val="3"/>
        </w:numPr>
        <w:ind w:left="0" w:firstLine="709"/>
        <w:jc w:val="both"/>
        <w:rPr>
          <w:b/>
          <w:sz w:val="22"/>
          <w:szCs w:val="22"/>
          <w:lang w:val="uk-UA"/>
        </w:rPr>
      </w:pPr>
      <w:r w:rsidRPr="006C6BAF">
        <w:rPr>
          <w:b/>
          <w:sz w:val="22"/>
          <w:szCs w:val="22"/>
          <w:lang w:val="uk-UA"/>
        </w:rPr>
        <w:t>Дози і способи введення тваринам різного віку</w:t>
      </w:r>
    </w:p>
    <w:p w14:paraId="7205A008" w14:textId="77777777" w:rsidR="00A526A9" w:rsidRPr="006C6BAF" w:rsidRDefault="00943874" w:rsidP="004B2635">
      <w:pPr>
        <w:ind w:firstLine="709"/>
        <w:jc w:val="both"/>
        <w:rPr>
          <w:bCs/>
          <w:sz w:val="22"/>
          <w:szCs w:val="22"/>
          <w:lang w:val="uk-UA"/>
        </w:rPr>
      </w:pPr>
      <w:r w:rsidRPr="006C6BAF">
        <w:rPr>
          <w:bCs/>
          <w:sz w:val="22"/>
          <w:szCs w:val="22"/>
          <w:lang w:val="uk-UA"/>
        </w:rPr>
        <w:t>Препарат призначений для перорального застосування. Собака може приймати таблетку як з їжею так і без.</w:t>
      </w:r>
    </w:p>
    <w:p w14:paraId="4495C124" w14:textId="27F1603C" w:rsidR="00777747" w:rsidRPr="006C6BAF" w:rsidRDefault="0076749E" w:rsidP="004B2635">
      <w:pPr>
        <w:ind w:firstLine="709"/>
        <w:jc w:val="both"/>
        <w:rPr>
          <w:bCs/>
          <w:sz w:val="22"/>
          <w:szCs w:val="22"/>
          <w:lang w:val="uk-UA"/>
        </w:rPr>
      </w:pPr>
      <w:r w:rsidRPr="006C6BAF">
        <w:rPr>
          <w:bCs/>
          <w:sz w:val="22"/>
          <w:szCs w:val="22"/>
          <w:lang w:val="uk-UA"/>
        </w:rPr>
        <w:t xml:space="preserve">Таблетки Сімпаріка </w:t>
      </w:r>
      <w:r w:rsidR="00294FB5" w:rsidRPr="006C6BAF">
        <w:rPr>
          <w:bCs/>
          <w:sz w:val="22"/>
          <w:szCs w:val="22"/>
          <w:lang w:val="uk-UA"/>
        </w:rPr>
        <w:t>ТРІО</w:t>
      </w:r>
      <w:r w:rsidRPr="006C6BAF">
        <w:rPr>
          <w:bCs/>
          <w:sz w:val="22"/>
          <w:szCs w:val="22"/>
          <w:lang w:val="uk-UA"/>
        </w:rPr>
        <w:t xml:space="preserve"> приємні на смак і </w:t>
      </w:r>
      <w:r w:rsidR="00A526A9" w:rsidRPr="006C6BAF">
        <w:rPr>
          <w:bCs/>
          <w:sz w:val="22"/>
          <w:szCs w:val="22"/>
          <w:lang w:val="uk-UA"/>
        </w:rPr>
        <w:t>охоче</w:t>
      </w:r>
      <w:r w:rsidRPr="006C6BAF">
        <w:rPr>
          <w:bCs/>
          <w:sz w:val="22"/>
          <w:szCs w:val="22"/>
          <w:lang w:val="uk-UA"/>
        </w:rPr>
        <w:t xml:space="preserve"> споживаються більшістю собак, коли їх дають </w:t>
      </w:r>
      <w:r w:rsidR="00294FB5" w:rsidRPr="006C6BAF">
        <w:rPr>
          <w:bCs/>
          <w:sz w:val="22"/>
          <w:szCs w:val="22"/>
          <w:lang w:val="uk-UA"/>
        </w:rPr>
        <w:t>пропонує власник</w:t>
      </w:r>
      <w:r w:rsidRPr="006C6BAF">
        <w:rPr>
          <w:bCs/>
          <w:sz w:val="22"/>
          <w:szCs w:val="22"/>
          <w:lang w:val="uk-UA"/>
        </w:rPr>
        <w:t xml:space="preserve">. </w:t>
      </w:r>
      <w:r w:rsidR="00294FB5" w:rsidRPr="006C6BAF">
        <w:rPr>
          <w:bCs/>
          <w:sz w:val="22"/>
          <w:szCs w:val="22"/>
          <w:lang w:val="uk-UA"/>
        </w:rPr>
        <w:t>Якщо т</w:t>
      </w:r>
      <w:r w:rsidRPr="006C6BAF">
        <w:rPr>
          <w:bCs/>
          <w:sz w:val="22"/>
          <w:szCs w:val="22"/>
          <w:lang w:val="uk-UA"/>
        </w:rPr>
        <w:t>аблетк</w:t>
      </w:r>
      <w:r w:rsidR="00B06D0F" w:rsidRPr="006C6BAF">
        <w:rPr>
          <w:bCs/>
          <w:sz w:val="22"/>
          <w:szCs w:val="22"/>
          <w:lang w:val="uk-UA"/>
        </w:rPr>
        <w:t xml:space="preserve">а </w:t>
      </w:r>
      <w:r w:rsidR="00777747" w:rsidRPr="006C6BAF">
        <w:rPr>
          <w:bCs/>
          <w:sz w:val="22"/>
          <w:szCs w:val="22"/>
          <w:lang w:val="uk-UA"/>
        </w:rPr>
        <w:t>не приймається собакою</w:t>
      </w:r>
      <w:r w:rsidRPr="006C6BAF">
        <w:rPr>
          <w:bCs/>
          <w:sz w:val="22"/>
          <w:szCs w:val="22"/>
          <w:lang w:val="uk-UA"/>
        </w:rPr>
        <w:t xml:space="preserve"> добровільно, </w:t>
      </w:r>
      <w:r w:rsidR="00777747" w:rsidRPr="006C6BAF">
        <w:rPr>
          <w:bCs/>
          <w:sz w:val="22"/>
          <w:szCs w:val="22"/>
          <w:lang w:val="uk-UA"/>
        </w:rPr>
        <w:t>її</w:t>
      </w:r>
      <w:r w:rsidRPr="006C6BAF">
        <w:rPr>
          <w:bCs/>
          <w:sz w:val="22"/>
          <w:szCs w:val="22"/>
          <w:lang w:val="uk-UA"/>
        </w:rPr>
        <w:t xml:space="preserve"> також можна давати з їжею або безпосередньо в рот.</w:t>
      </w:r>
      <w:r w:rsidR="00777747" w:rsidRPr="006C6BAF">
        <w:rPr>
          <w:bCs/>
          <w:sz w:val="22"/>
          <w:szCs w:val="22"/>
          <w:lang w:val="uk-UA"/>
        </w:rPr>
        <w:t xml:space="preserve"> Таблетки не потрібно ділити.</w:t>
      </w:r>
    </w:p>
    <w:p w14:paraId="41B4DCA5" w14:textId="7356DD1A" w:rsidR="00AB3E87" w:rsidRPr="006C6BAF" w:rsidRDefault="00BC0E93" w:rsidP="004B2635">
      <w:pPr>
        <w:ind w:firstLine="709"/>
        <w:jc w:val="both"/>
        <w:rPr>
          <w:bCs/>
          <w:sz w:val="22"/>
          <w:szCs w:val="22"/>
          <w:lang w:val="uk-UA"/>
        </w:rPr>
      </w:pPr>
      <w:r w:rsidRPr="006C6BAF">
        <w:rPr>
          <w:bCs/>
          <w:sz w:val="22"/>
          <w:szCs w:val="22"/>
          <w:lang w:val="uk-UA"/>
        </w:rPr>
        <w:t xml:space="preserve">Ветеринарний лікарський препарат слід призначати </w:t>
      </w:r>
      <w:r w:rsidR="00A402B3" w:rsidRPr="006C6BAF">
        <w:rPr>
          <w:bCs/>
          <w:sz w:val="22"/>
          <w:szCs w:val="22"/>
          <w:lang w:val="uk-UA"/>
        </w:rPr>
        <w:t>в</w:t>
      </w:r>
      <w:r w:rsidRPr="006C6BAF">
        <w:rPr>
          <w:bCs/>
          <w:sz w:val="22"/>
          <w:szCs w:val="22"/>
          <w:lang w:val="uk-UA"/>
        </w:rPr>
        <w:t xml:space="preserve"> дозі </w:t>
      </w:r>
      <w:r w:rsidR="0076749E" w:rsidRPr="006C6BAF">
        <w:rPr>
          <w:bCs/>
          <w:sz w:val="22"/>
          <w:szCs w:val="22"/>
          <w:lang w:val="uk-UA"/>
        </w:rPr>
        <w:t>1,2-2,4</w:t>
      </w:r>
      <w:r w:rsidRPr="006C6BAF">
        <w:rPr>
          <w:bCs/>
          <w:sz w:val="22"/>
          <w:szCs w:val="22"/>
          <w:lang w:val="uk-UA"/>
        </w:rPr>
        <w:t> </w:t>
      </w:r>
      <w:r w:rsidR="0076749E" w:rsidRPr="006C6BAF">
        <w:rPr>
          <w:bCs/>
          <w:sz w:val="22"/>
          <w:szCs w:val="22"/>
          <w:lang w:val="uk-UA"/>
        </w:rPr>
        <w:t>мг/кг сароланера, 0,024-0,048</w:t>
      </w:r>
      <w:r w:rsidR="00C37624" w:rsidRPr="006C6BAF">
        <w:rPr>
          <w:bCs/>
          <w:sz w:val="22"/>
          <w:szCs w:val="22"/>
          <w:lang w:val="uk-UA"/>
        </w:rPr>
        <w:t> </w:t>
      </w:r>
      <w:r w:rsidR="0076749E" w:rsidRPr="006C6BAF">
        <w:rPr>
          <w:bCs/>
          <w:sz w:val="22"/>
          <w:szCs w:val="22"/>
          <w:lang w:val="uk-UA"/>
        </w:rPr>
        <w:t>мг/кг моксицедтину та 0,5-1</w:t>
      </w:r>
      <w:r w:rsidR="00C37624" w:rsidRPr="006C6BAF">
        <w:rPr>
          <w:bCs/>
          <w:sz w:val="22"/>
          <w:szCs w:val="22"/>
          <w:lang w:val="uk-UA"/>
        </w:rPr>
        <w:t> </w:t>
      </w:r>
      <w:r w:rsidR="0076749E" w:rsidRPr="006C6BAF">
        <w:rPr>
          <w:bCs/>
          <w:sz w:val="22"/>
          <w:szCs w:val="22"/>
          <w:lang w:val="uk-UA"/>
        </w:rPr>
        <w:t>мг/кг пірантелу</w:t>
      </w:r>
      <w:r w:rsidR="00C37624" w:rsidRPr="006C6BAF">
        <w:rPr>
          <w:bCs/>
          <w:sz w:val="22"/>
          <w:szCs w:val="22"/>
          <w:lang w:val="uk-UA"/>
        </w:rPr>
        <w:t xml:space="preserve"> відповідно до таблиці:</w:t>
      </w:r>
    </w:p>
    <w:tbl>
      <w:tblPr>
        <w:tblW w:w="9643" w:type="dxa"/>
        <w:tblLayout w:type="fixed"/>
        <w:tblCellMar>
          <w:left w:w="0" w:type="dxa"/>
          <w:right w:w="0" w:type="dxa"/>
        </w:tblCellMar>
        <w:tblLook w:val="0000" w:firstRow="0" w:lastRow="0" w:firstColumn="0" w:lastColumn="0" w:noHBand="0" w:noVBand="0"/>
      </w:tblPr>
      <w:tblGrid>
        <w:gridCol w:w="985"/>
        <w:gridCol w:w="1443"/>
        <w:gridCol w:w="1443"/>
        <w:gridCol w:w="1443"/>
        <w:gridCol w:w="1443"/>
        <w:gridCol w:w="1443"/>
        <w:gridCol w:w="1443"/>
      </w:tblGrid>
      <w:tr w:rsidR="00C37624" w:rsidRPr="006C6BAF" w14:paraId="165C7B31" w14:textId="77777777" w:rsidTr="00B66CFE">
        <w:trPr>
          <w:trHeight w:hRule="exact" w:val="991"/>
        </w:trPr>
        <w:tc>
          <w:tcPr>
            <w:tcW w:w="985" w:type="dxa"/>
            <w:tcBorders>
              <w:top w:val="single" w:sz="4" w:space="0" w:color="auto"/>
              <w:left w:val="single" w:sz="4" w:space="0" w:color="auto"/>
              <w:bottom w:val="nil"/>
              <w:right w:val="nil"/>
            </w:tcBorders>
            <w:shd w:val="clear" w:color="auto" w:fill="FFFFFF"/>
          </w:tcPr>
          <w:p w14:paraId="5C6949B3" w14:textId="77777777" w:rsidR="00C37624" w:rsidRPr="006C6BAF" w:rsidRDefault="00C37624" w:rsidP="004B2635">
            <w:pPr>
              <w:widowControl w:val="0"/>
              <w:jc w:val="center"/>
              <w:rPr>
                <w:sz w:val="20"/>
                <w:szCs w:val="20"/>
                <w:lang w:val="uk-UA" w:eastAsia="uk-UA"/>
              </w:rPr>
            </w:pPr>
            <w:r w:rsidRPr="006C6BAF">
              <w:rPr>
                <w:color w:val="000000"/>
                <w:sz w:val="20"/>
                <w:szCs w:val="20"/>
                <w:lang w:val="uk-UA"/>
              </w:rPr>
              <w:t>Маса тіла собаки</w:t>
            </w:r>
          </w:p>
          <w:p w14:paraId="4E3D4C2A" w14:textId="77777777" w:rsidR="00C37624" w:rsidRPr="006C6BAF" w:rsidRDefault="00C37624" w:rsidP="004B2635">
            <w:pPr>
              <w:widowControl w:val="0"/>
              <w:jc w:val="center"/>
              <w:rPr>
                <w:sz w:val="20"/>
                <w:szCs w:val="20"/>
                <w:lang w:val="uk-UA" w:eastAsia="uk-UA"/>
              </w:rPr>
            </w:pPr>
            <w:r w:rsidRPr="006C6BAF">
              <w:rPr>
                <w:color w:val="000000"/>
                <w:sz w:val="20"/>
                <w:szCs w:val="20"/>
                <w:lang w:val="uk-UA"/>
              </w:rPr>
              <w:t>(кг)</w:t>
            </w:r>
          </w:p>
        </w:tc>
        <w:tc>
          <w:tcPr>
            <w:tcW w:w="1443" w:type="dxa"/>
            <w:tcBorders>
              <w:top w:val="single" w:sz="4" w:space="0" w:color="auto"/>
              <w:left w:val="single" w:sz="4" w:space="0" w:color="auto"/>
              <w:bottom w:val="nil"/>
              <w:right w:val="nil"/>
            </w:tcBorders>
            <w:shd w:val="clear" w:color="auto" w:fill="FFFFFF"/>
          </w:tcPr>
          <w:p w14:paraId="209FD5EE" w14:textId="62FBB44A" w:rsidR="00C37624" w:rsidRPr="006C6BAF" w:rsidRDefault="00C37624" w:rsidP="004B2635">
            <w:pPr>
              <w:widowControl w:val="0"/>
              <w:jc w:val="center"/>
              <w:rPr>
                <w:color w:val="000000"/>
                <w:sz w:val="20"/>
                <w:szCs w:val="20"/>
                <w:lang w:val="uk-UA"/>
              </w:rPr>
            </w:pPr>
            <w:r w:rsidRPr="006C6BAF">
              <w:rPr>
                <w:color w:val="000000"/>
                <w:sz w:val="20"/>
                <w:szCs w:val="20"/>
                <w:lang w:val="uk-UA"/>
              </w:rPr>
              <w:t>Склад</w:t>
            </w:r>
            <w:r w:rsidR="00B66CFE" w:rsidRPr="006C6BAF">
              <w:rPr>
                <w:color w:val="000000"/>
                <w:sz w:val="20"/>
                <w:szCs w:val="20"/>
                <w:lang w:val="uk-UA"/>
              </w:rPr>
              <w:t xml:space="preserve"> </w:t>
            </w:r>
          </w:p>
          <w:p w14:paraId="2EDEC9CD"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 xml:space="preserve">таблетки </w:t>
            </w:r>
          </w:p>
          <w:p w14:paraId="33F09C1C" w14:textId="77777777" w:rsidR="00C37624" w:rsidRPr="006C6BAF" w:rsidRDefault="00C37624" w:rsidP="004B2635">
            <w:pPr>
              <w:widowControl w:val="0"/>
              <w:jc w:val="center"/>
              <w:rPr>
                <w:sz w:val="20"/>
                <w:szCs w:val="20"/>
                <w:lang w:val="uk-UA" w:eastAsia="uk-UA"/>
              </w:rPr>
            </w:pPr>
            <w:r w:rsidRPr="006C6BAF">
              <w:rPr>
                <w:color w:val="000000"/>
                <w:sz w:val="20"/>
                <w:szCs w:val="20"/>
                <w:lang w:val="uk-UA"/>
              </w:rPr>
              <w:t>3 мг / 0,06 мг / 12,5 мг</w:t>
            </w:r>
          </w:p>
        </w:tc>
        <w:tc>
          <w:tcPr>
            <w:tcW w:w="1443" w:type="dxa"/>
            <w:tcBorders>
              <w:top w:val="single" w:sz="4" w:space="0" w:color="auto"/>
              <w:left w:val="single" w:sz="4" w:space="0" w:color="auto"/>
              <w:bottom w:val="nil"/>
              <w:right w:val="nil"/>
            </w:tcBorders>
            <w:shd w:val="clear" w:color="auto" w:fill="FFFFFF"/>
          </w:tcPr>
          <w:p w14:paraId="30A1A175"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Склад</w:t>
            </w:r>
          </w:p>
          <w:p w14:paraId="43BBE3B0"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 xml:space="preserve"> таблетки </w:t>
            </w:r>
          </w:p>
          <w:p w14:paraId="1A1ABD24" w14:textId="77777777" w:rsidR="00C37624" w:rsidRPr="006C6BAF" w:rsidRDefault="00C37624" w:rsidP="004B2635">
            <w:pPr>
              <w:widowControl w:val="0"/>
              <w:jc w:val="center"/>
              <w:rPr>
                <w:sz w:val="20"/>
                <w:szCs w:val="20"/>
                <w:lang w:val="uk-UA" w:eastAsia="uk-UA"/>
              </w:rPr>
            </w:pPr>
            <w:r w:rsidRPr="006C6BAF">
              <w:rPr>
                <w:color w:val="000000"/>
                <w:sz w:val="20"/>
                <w:szCs w:val="20"/>
                <w:lang w:val="uk-UA"/>
              </w:rPr>
              <w:t>6 мг / 0,12 мг / 25 мг</w:t>
            </w:r>
          </w:p>
        </w:tc>
        <w:tc>
          <w:tcPr>
            <w:tcW w:w="1443" w:type="dxa"/>
            <w:tcBorders>
              <w:top w:val="single" w:sz="4" w:space="0" w:color="auto"/>
              <w:left w:val="single" w:sz="4" w:space="0" w:color="auto"/>
              <w:bottom w:val="nil"/>
              <w:right w:val="nil"/>
            </w:tcBorders>
            <w:shd w:val="clear" w:color="auto" w:fill="FFFFFF"/>
          </w:tcPr>
          <w:p w14:paraId="0ED6DEA1"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Склад</w:t>
            </w:r>
          </w:p>
          <w:p w14:paraId="64278414"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 xml:space="preserve"> таблетки </w:t>
            </w:r>
          </w:p>
          <w:p w14:paraId="5B02D8F1"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12 мг / 0,24 мг / 50 мг</w:t>
            </w:r>
          </w:p>
        </w:tc>
        <w:tc>
          <w:tcPr>
            <w:tcW w:w="1443" w:type="dxa"/>
            <w:tcBorders>
              <w:top w:val="single" w:sz="4" w:space="0" w:color="auto"/>
              <w:left w:val="single" w:sz="4" w:space="0" w:color="auto"/>
              <w:bottom w:val="nil"/>
              <w:right w:val="nil"/>
            </w:tcBorders>
            <w:shd w:val="clear" w:color="auto" w:fill="FFFFFF"/>
          </w:tcPr>
          <w:p w14:paraId="1749820D"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Склад</w:t>
            </w:r>
          </w:p>
          <w:p w14:paraId="7A0EE0CB"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 xml:space="preserve"> таблетки </w:t>
            </w:r>
          </w:p>
          <w:p w14:paraId="27D2D52B" w14:textId="77777777" w:rsidR="00C37624" w:rsidRPr="006C6BAF" w:rsidRDefault="00C37624" w:rsidP="004B2635">
            <w:pPr>
              <w:widowControl w:val="0"/>
              <w:jc w:val="center"/>
              <w:rPr>
                <w:sz w:val="20"/>
                <w:szCs w:val="20"/>
                <w:lang w:val="uk-UA" w:eastAsia="uk-UA"/>
              </w:rPr>
            </w:pPr>
            <w:r w:rsidRPr="006C6BAF">
              <w:rPr>
                <w:color w:val="000000"/>
                <w:sz w:val="20"/>
                <w:szCs w:val="20"/>
                <w:lang w:val="uk-UA"/>
              </w:rPr>
              <w:t>24 мг / 0,48 мг / 100 мг</w:t>
            </w:r>
          </w:p>
        </w:tc>
        <w:tc>
          <w:tcPr>
            <w:tcW w:w="1443" w:type="dxa"/>
            <w:tcBorders>
              <w:top w:val="single" w:sz="4" w:space="0" w:color="auto"/>
              <w:left w:val="single" w:sz="4" w:space="0" w:color="auto"/>
              <w:bottom w:val="nil"/>
              <w:right w:val="nil"/>
            </w:tcBorders>
            <w:shd w:val="clear" w:color="auto" w:fill="FFFFFF"/>
          </w:tcPr>
          <w:p w14:paraId="5E488B31"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Склад</w:t>
            </w:r>
          </w:p>
          <w:p w14:paraId="2010B5F6"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 xml:space="preserve">таблетки </w:t>
            </w:r>
          </w:p>
          <w:p w14:paraId="3C216C12" w14:textId="77777777" w:rsidR="00C37624" w:rsidRPr="006C6BAF" w:rsidRDefault="00C37624" w:rsidP="004B2635">
            <w:pPr>
              <w:widowControl w:val="0"/>
              <w:jc w:val="center"/>
              <w:rPr>
                <w:sz w:val="20"/>
                <w:szCs w:val="20"/>
                <w:lang w:val="uk-UA" w:eastAsia="uk-UA"/>
              </w:rPr>
            </w:pPr>
            <w:r w:rsidRPr="006C6BAF">
              <w:rPr>
                <w:color w:val="000000"/>
                <w:sz w:val="20"/>
                <w:szCs w:val="20"/>
                <w:lang w:val="uk-UA"/>
              </w:rPr>
              <w:t>48 мг/0,96 мг/200 мг</w:t>
            </w:r>
          </w:p>
        </w:tc>
        <w:tc>
          <w:tcPr>
            <w:tcW w:w="1443" w:type="dxa"/>
            <w:tcBorders>
              <w:top w:val="single" w:sz="4" w:space="0" w:color="auto"/>
              <w:left w:val="single" w:sz="4" w:space="0" w:color="auto"/>
              <w:bottom w:val="nil"/>
              <w:right w:val="single" w:sz="4" w:space="0" w:color="auto"/>
            </w:tcBorders>
            <w:shd w:val="clear" w:color="auto" w:fill="FFFFFF"/>
          </w:tcPr>
          <w:p w14:paraId="693BAFE0"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Склад</w:t>
            </w:r>
          </w:p>
          <w:p w14:paraId="31D70D33" w14:textId="77777777" w:rsidR="00C37624" w:rsidRPr="006C6BAF" w:rsidRDefault="00C37624" w:rsidP="004B2635">
            <w:pPr>
              <w:widowControl w:val="0"/>
              <w:jc w:val="center"/>
              <w:rPr>
                <w:color w:val="000000"/>
                <w:sz w:val="20"/>
                <w:szCs w:val="20"/>
                <w:lang w:val="uk-UA"/>
              </w:rPr>
            </w:pPr>
            <w:r w:rsidRPr="006C6BAF">
              <w:rPr>
                <w:color w:val="000000"/>
                <w:sz w:val="20"/>
                <w:szCs w:val="20"/>
                <w:lang w:val="uk-UA"/>
              </w:rPr>
              <w:t xml:space="preserve">таблетки </w:t>
            </w:r>
          </w:p>
          <w:p w14:paraId="22223BCA" w14:textId="77777777" w:rsidR="00C37624" w:rsidRPr="006C6BAF" w:rsidRDefault="00C37624" w:rsidP="004B2635">
            <w:pPr>
              <w:widowControl w:val="0"/>
              <w:jc w:val="center"/>
              <w:rPr>
                <w:sz w:val="20"/>
                <w:szCs w:val="20"/>
                <w:lang w:val="uk-UA" w:eastAsia="uk-UA"/>
              </w:rPr>
            </w:pPr>
            <w:r w:rsidRPr="006C6BAF">
              <w:rPr>
                <w:color w:val="000000"/>
                <w:sz w:val="20"/>
                <w:szCs w:val="20"/>
                <w:lang w:val="uk-UA"/>
              </w:rPr>
              <w:t>72 мг / 1,44 мг / 300 мг</w:t>
            </w:r>
          </w:p>
        </w:tc>
      </w:tr>
      <w:tr w:rsidR="00C37624" w:rsidRPr="006C6BAF" w14:paraId="0B4B9089" w14:textId="77777777" w:rsidTr="00B66CFE">
        <w:trPr>
          <w:trHeight w:hRule="exact" w:val="269"/>
        </w:trPr>
        <w:tc>
          <w:tcPr>
            <w:tcW w:w="985" w:type="dxa"/>
            <w:tcBorders>
              <w:top w:val="single" w:sz="4" w:space="0" w:color="auto"/>
              <w:left w:val="single" w:sz="4" w:space="0" w:color="auto"/>
              <w:bottom w:val="nil"/>
              <w:right w:val="nil"/>
            </w:tcBorders>
            <w:shd w:val="clear" w:color="auto" w:fill="FFFFFF"/>
          </w:tcPr>
          <w:p w14:paraId="74EED33A"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1.25-2.5 кг</w:t>
            </w:r>
          </w:p>
        </w:tc>
        <w:tc>
          <w:tcPr>
            <w:tcW w:w="1443" w:type="dxa"/>
            <w:tcBorders>
              <w:top w:val="single" w:sz="4" w:space="0" w:color="auto"/>
              <w:left w:val="single" w:sz="4" w:space="0" w:color="auto"/>
              <w:bottom w:val="nil"/>
              <w:right w:val="nil"/>
            </w:tcBorders>
            <w:shd w:val="clear" w:color="auto" w:fill="FFFFFF"/>
          </w:tcPr>
          <w:p w14:paraId="092A3C67"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1</w:t>
            </w:r>
          </w:p>
        </w:tc>
        <w:tc>
          <w:tcPr>
            <w:tcW w:w="1443" w:type="dxa"/>
            <w:tcBorders>
              <w:top w:val="single" w:sz="4" w:space="0" w:color="auto"/>
              <w:left w:val="single" w:sz="4" w:space="0" w:color="auto"/>
              <w:bottom w:val="nil"/>
              <w:right w:val="nil"/>
            </w:tcBorders>
            <w:shd w:val="clear" w:color="auto" w:fill="808080"/>
          </w:tcPr>
          <w:p w14:paraId="345BF749"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472A8A61"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460B836E"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42BDE4C8"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single" w:sz="4" w:space="0" w:color="auto"/>
            </w:tcBorders>
            <w:shd w:val="clear" w:color="auto" w:fill="808080"/>
          </w:tcPr>
          <w:p w14:paraId="09FEB3FC" w14:textId="77777777" w:rsidR="00C37624" w:rsidRPr="006C6BAF" w:rsidRDefault="00C37624" w:rsidP="004B2635">
            <w:pPr>
              <w:widowControl w:val="0"/>
              <w:jc w:val="both"/>
              <w:rPr>
                <w:sz w:val="20"/>
                <w:szCs w:val="20"/>
                <w:lang w:val="uk-UA" w:eastAsia="uk-UA"/>
              </w:rPr>
            </w:pPr>
          </w:p>
        </w:tc>
      </w:tr>
      <w:tr w:rsidR="00C37624" w:rsidRPr="006C6BAF" w14:paraId="29BF796A" w14:textId="77777777" w:rsidTr="00B66CFE">
        <w:trPr>
          <w:trHeight w:hRule="exact" w:val="269"/>
        </w:trPr>
        <w:tc>
          <w:tcPr>
            <w:tcW w:w="985" w:type="dxa"/>
            <w:tcBorders>
              <w:top w:val="single" w:sz="4" w:space="0" w:color="auto"/>
              <w:left w:val="single" w:sz="4" w:space="0" w:color="auto"/>
              <w:bottom w:val="nil"/>
              <w:right w:val="nil"/>
            </w:tcBorders>
            <w:shd w:val="clear" w:color="auto" w:fill="FFFFFF"/>
          </w:tcPr>
          <w:p w14:paraId="6CF47DE8"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&gt;2.5-5 кг</w:t>
            </w:r>
          </w:p>
        </w:tc>
        <w:tc>
          <w:tcPr>
            <w:tcW w:w="1443" w:type="dxa"/>
            <w:tcBorders>
              <w:top w:val="single" w:sz="4" w:space="0" w:color="auto"/>
              <w:left w:val="single" w:sz="4" w:space="0" w:color="auto"/>
              <w:bottom w:val="nil"/>
              <w:right w:val="nil"/>
            </w:tcBorders>
            <w:shd w:val="clear" w:color="auto" w:fill="808080"/>
          </w:tcPr>
          <w:p w14:paraId="7A8F1893"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FFFFFF"/>
          </w:tcPr>
          <w:p w14:paraId="5EAEC3CD"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1</w:t>
            </w:r>
          </w:p>
        </w:tc>
        <w:tc>
          <w:tcPr>
            <w:tcW w:w="1443" w:type="dxa"/>
            <w:tcBorders>
              <w:top w:val="single" w:sz="4" w:space="0" w:color="auto"/>
              <w:left w:val="single" w:sz="4" w:space="0" w:color="auto"/>
              <w:bottom w:val="nil"/>
              <w:right w:val="nil"/>
            </w:tcBorders>
            <w:shd w:val="clear" w:color="auto" w:fill="808080"/>
          </w:tcPr>
          <w:p w14:paraId="719A67CF"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4B8D7652"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0D010707"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single" w:sz="4" w:space="0" w:color="auto"/>
            </w:tcBorders>
            <w:shd w:val="clear" w:color="auto" w:fill="808080"/>
          </w:tcPr>
          <w:p w14:paraId="7B7745D8" w14:textId="77777777" w:rsidR="00C37624" w:rsidRPr="006C6BAF" w:rsidRDefault="00C37624" w:rsidP="004B2635">
            <w:pPr>
              <w:widowControl w:val="0"/>
              <w:jc w:val="both"/>
              <w:rPr>
                <w:sz w:val="20"/>
                <w:szCs w:val="20"/>
                <w:lang w:val="uk-UA" w:eastAsia="uk-UA"/>
              </w:rPr>
            </w:pPr>
          </w:p>
        </w:tc>
      </w:tr>
      <w:tr w:rsidR="00C37624" w:rsidRPr="006C6BAF" w14:paraId="0D4FDE63" w14:textId="77777777" w:rsidTr="00B66CFE">
        <w:trPr>
          <w:trHeight w:hRule="exact" w:val="269"/>
        </w:trPr>
        <w:tc>
          <w:tcPr>
            <w:tcW w:w="985" w:type="dxa"/>
            <w:tcBorders>
              <w:top w:val="single" w:sz="4" w:space="0" w:color="auto"/>
              <w:left w:val="single" w:sz="4" w:space="0" w:color="auto"/>
              <w:bottom w:val="nil"/>
              <w:right w:val="nil"/>
            </w:tcBorders>
            <w:shd w:val="clear" w:color="auto" w:fill="FFFFFF"/>
          </w:tcPr>
          <w:p w14:paraId="31A19A6C"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&gt;5-10 кг</w:t>
            </w:r>
          </w:p>
        </w:tc>
        <w:tc>
          <w:tcPr>
            <w:tcW w:w="1443" w:type="dxa"/>
            <w:tcBorders>
              <w:top w:val="single" w:sz="4" w:space="0" w:color="auto"/>
              <w:left w:val="single" w:sz="4" w:space="0" w:color="auto"/>
              <w:bottom w:val="nil"/>
              <w:right w:val="nil"/>
            </w:tcBorders>
            <w:shd w:val="clear" w:color="auto" w:fill="808080"/>
          </w:tcPr>
          <w:p w14:paraId="1FADDC94"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6BF3EE35"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FFFFFF"/>
          </w:tcPr>
          <w:p w14:paraId="08065C4C"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1</w:t>
            </w:r>
          </w:p>
        </w:tc>
        <w:tc>
          <w:tcPr>
            <w:tcW w:w="1443" w:type="dxa"/>
            <w:tcBorders>
              <w:top w:val="single" w:sz="4" w:space="0" w:color="auto"/>
              <w:left w:val="single" w:sz="4" w:space="0" w:color="auto"/>
              <w:bottom w:val="nil"/>
              <w:right w:val="nil"/>
            </w:tcBorders>
            <w:shd w:val="clear" w:color="auto" w:fill="808080"/>
          </w:tcPr>
          <w:p w14:paraId="770F7898"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279246C5"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single" w:sz="4" w:space="0" w:color="auto"/>
            </w:tcBorders>
            <w:shd w:val="clear" w:color="auto" w:fill="808080"/>
          </w:tcPr>
          <w:p w14:paraId="31B1CE9B" w14:textId="77777777" w:rsidR="00C37624" w:rsidRPr="006C6BAF" w:rsidRDefault="00C37624" w:rsidP="004B2635">
            <w:pPr>
              <w:widowControl w:val="0"/>
              <w:jc w:val="both"/>
              <w:rPr>
                <w:sz w:val="20"/>
                <w:szCs w:val="20"/>
                <w:lang w:val="uk-UA" w:eastAsia="uk-UA"/>
              </w:rPr>
            </w:pPr>
          </w:p>
        </w:tc>
      </w:tr>
      <w:tr w:rsidR="00C37624" w:rsidRPr="006C6BAF" w14:paraId="396091F4" w14:textId="77777777" w:rsidTr="00B66CFE">
        <w:trPr>
          <w:trHeight w:hRule="exact" w:val="269"/>
        </w:trPr>
        <w:tc>
          <w:tcPr>
            <w:tcW w:w="985" w:type="dxa"/>
            <w:tcBorders>
              <w:top w:val="single" w:sz="4" w:space="0" w:color="auto"/>
              <w:left w:val="single" w:sz="4" w:space="0" w:color="auto"/>
              <w:bottom w:val="nil"/>
              <w:right w:val="nil"/>
            </w:tcBorders>
            <w:shd w:val="clear" w:color="auto" w:fill="FFFFFF"/>
          </w:tcPr>
          <w:p w14:paraId="4C1339C8"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&gt;10-20 кг</w:t>
            </w:r>
          </w:p>
        </w:tc>
        <w:tc>
          <w:tcPr>
            <w:tcW w:w="1443" w:type="dxa"/>
            <w:tcBorders>
              <w:top w:val="single" w:sz="4" w:space="0" w:color="auto"/>
              <w:left w:val="single" w:sz="4" w:space="0" w:color="auto"/>
              <w:bottom w:val="nil"/>
              <w:right w:val="nil"/>
            </w:tcBorders>
            <w:shd w:val="clear" w:color="auto" w:fill="808080"/>
          </w:tcPr>
          <w:p w14:paraId="189C81E1"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472F4E82"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7CE3ACC9"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FFFFFF"/>
          </w:tcPr>
          <w:p w14:paraId="456899E0"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1</w:t>
            </w:r>
          </w:p>
        </w:tc>
        <w:tc>
          <w:tcPr>
            <w:tcW w:w="1443" w:type="dxa"/>
            <w:tcBorders>
              <w:top w:val="single" w:sz="4" w:space="0" w:color="auto"/>
              <w:left w:val="single" w:sz="4" w:space="0" w:color="auto"/>
              <w:bottom w:val="nil"/>
              <w:right w:val="nil"/>
            </w:tcBorders>
            <w:shd w:val="clear" w:color="auto" w:fill="808080"/>
          </w:tcPr>
          <w:p w14:paraId="58E3EDC8"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single" w:sz="4" w:space="0" w:color="auto"/>
            </w:tcBorders>
            <w:shd w:val="clear" w:color="auto" w:fill="808080"/>
          </w:tcPr>
          <w:p w14:paraId="3B25EF78" w14:textId="77777777" w:rsidR="00C37624" w:rsidRPr="006C6BAF" w:rsidRDefault="00C37624" w:rsidP="004B2635">
            <w:pPr>
              <w:widowControl w:val="0"/>
              <w:jc w:val="both"/>
              <w:rPr>
                <w:sz w:val="20"/>
                <w:szCs w:val="20"/>
                <w:lang w:val="uk-UA" w:eastAsia="uk-UA"/>
              </w:rPr>
            </w:pPr>
          </w:p>
        </w:tc>
      </w:tr>
      <w:tr w:rsidR="00C37624" w:rsidRPr="006C6BAF" w14:paraId="04AC0EE3" w14:textId="77777777" w:rsidTr="00B66CFE">
        <w:trPr>
          <w:trHeight w:hRule="exact" w:val="269"/>
        </w:trPr>
        <w:tc>
          <w:tcPr>
            <w:tcW w:w="985" w:type="dxa"/>
            <w:tcBorders>
              <w:top w:val="single" w:sz="4" w:space="0" w:color="auto"/>
              <w:left w:val="single" w:sz="4" w:space="0" w:color="auto"/>
              <w:bottom w:val="nil"/>
              <w:right w:val="nil"/>
            </w:tcBorders>
            <w:shd w:val="clear" w:color="auto" w:fill="FFFFFF"/>
          </w:tcPr>
          <w:p w14:paraId="48CC22CB"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&gt;20-40 кг</w:t>
            </w:r>
          </w:p>
        </w:tc>
        <w:tc>
          <w:tcPr>
            <w:tcW w:w="1443" w:type="dxa"/>
            <w:tcBorders>
              <w:top w:val="single" w:sz="4" w:space="0" w:color="auto"/>
              <w:left w:val="single" w:sz="4" w:space="0" w:color="auto"/>
              <w:bottom w:val="nil"/>
              <w:right w:val="nil"/>
            </w:tcBorders>
            <w:shd w:val="clear" w:color="auto" w:fill="808080"/>
          </w:tcPr>
          <w:p w14:paraId="5A5FA7D3"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22B640F1"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44E6179F"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4A24FFD5"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FFFFFF"/>
          </w:tcPr>
          <w:p w14:paraId="08777CC1"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1</w:t>
            </w:r>
          </w:p>
        </w:tc>
        <w:tc>
          <w:tcPr>
            <w:tcW w:w="1443" w:type="dxa"/>
            <w:tcBorders>
              <w:top w:val="single" w:sz="4" w:space="0" w:color="auto"/>
              <w:left w:val="single" w:sz="4" w:space="0" w:color="auto"/>
              <w:bottom w:val="nil"/>
              <w:right w:val="single" w:sz="4" w:space="0" w:color="auto"/>
            </w:tcBorders>
            <w:shd w:val="clear" w:color="auto" w:fill="808080"/>
          </w:tcPr>
          <w:p w14:paraId="6AF99A94" w14:textId="77777777" w:rsidR="00C37624" w:rsidRPr="006C6BAF" w:rsidRDefault="00C37624" w:rsidP="004B2635">
            <w:pPr>
              <w:widowControl w:val="0"/>
              <w:jc w:val="both"/>
              <w:rPr>
                <w:sz w:val="20"/>
                <w:szCs w:val="20"/>
                <w:lang w:val="uk-UA" w:eastAsia="uk-UA"/>
              </w:rPr>
            </w:pPr>
          </w:p>
        </w:tc>
      </w:tr>
      <w:tr w:rsidR="00C37624" w:rsidRPr="006C6BAF" w14:paraId="56CF2269" w14:textId="77777777" w:rsidTr="00B66CFE">
        <w:trPr>
          <w:trHeight w:hRule="exact" w:val="269"/>
        </w:trPr>
        <w:tc>
          <w:tcPr>
            <w:tcW w:w="985" w:type="dxa"/>
            <w:tcBorders>
              <w:top w:val="single" w:sz="4" w:space="0" w:color="auto"/>
              <w:left w:val="single" w:sz="4" w:space="0" w:color="auto"/>
              <w:bottom w:val="nil"/>
              <w:right w:val="nil"/>
            </w:tcBorders>
            <w:shd w:val="clear" w:color="auto" w:fill="FFFFFF"/>
          </w:tcPr>
          <w:p w14:paraId="57C3DC53"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lastRenderedPageBreak/>
              <w:t>&gt;40-60 кг</w:t>
            </w:r>
          </w:p>
        </w:tc>
        <w:tc>
          <w:tcPr>
            <w:tcW w:w="1443" w:type="dxa"/>
            <w:tcBorders>
              <w:top w:val="single" w:sz="4" w:space="0" w:color="auto"/>
              <w:left w:val="single" w:sz="4" w:space="0" w:color="auto"/>
              <w:bottom w:val="nil"/>
              <w:right w:val="nil"/>
            </w:tcBorders>
            <w:shd w:val="clear" w:color="auto" w:fill="808080"/>
          </w:tcPr>
          <w:p w14:paraId="0FE84F65"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5E3A971A"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08C3B03E"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564CEE4C"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nil"/>
            </w:tcBorders>
            <w:shd w:val="clear" w:color="auto" w:fill="808080"/>
          </w:tcPr>
          <w:p w14:paraId="605EC727" w14:textId="77777777" w:rsidR="00C37624" w:rsidRPr="006C6BAF" w:rsidRDefault="00C37624" w:rsidP="004B2635">
            <w:pPr>
              <w:widowControl w:val="0"/>
              <w:jc w:val="both"/>
              <w:rPr>
                <w:sz w:val="20"/>
                <w:szCs w:val="20"/>
                <w:lang w:val="uk-UA" w:eastAsia="uk-UA"/>
              </w:rPr>
            </w:pPr>
          </w:p>
        </w:tc>
        <w:tc>
          <w:tcPr>
            <w:tcW w:w="1443" w:type="dxa"/>
            <w:tcBorders>
              <w:top w:val="single" w:sz="4" w:space="0" w:color="auto"/>
              <w:left w:val="single" w:sz="4" w:space="0" w:color="auto"/>
              <w:bottom w:val="nil"/>
              <w:right w:val="single" w:sz="4" w:space="0" w:color="auto"/>
            </w:tcBorders>
            <w:shd w:val="clear" w:color="auto" w:fill="FFFFFF"/>
          </w:tcPr>
          <w:p w14:paraId="2F0B1270"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1</w:t>
            </w:r>
          </w:p>
        </w:tc>
      </w:tr>
      <w:tr w:rsidR="00C37624" w:rsidRPr="006C6BAF" w14:paraId="2D0946DD" w14:textId="77777777" w:rsidTr="00B66CFE">
        <w:trPr>
          <w:trHeight w:hRule="exact" w:val="370"/>
        </w:trPr>
        <w:tc>
          <w:tcPr>
            <w:tcW w:w="985" w:type="dxa"/>
            <w:tcBorders>
              <w:top w:val="single" w:sz="4" w:space="0" w:color="auto"/>
              <w:left w:val="single" w:sz="4" w:space="0" w:color="auto"/>
              <w:bottom w:val="single" w:sz="4" w:space="0" w:color="auto"/>
              <w:right w:val="nil"/>
            </w:tcBorders>
            <w:shd w:val="clear" w:color="auto" w:fill="FFFFFF"/>
          </w:tcPr>
          <w:p w14:paraId="6367FA2C" w14:textId="77777777" w:rsidR="00C37624" w:rsidRPr="006C6BAF" w:rsidRDefault="00C37624" w:rsidP="004B2635">
            <w:pPr>
              <w:widowControl w:val="0"/>
              <w:jc w:val="both"/>
              <w:rPr>
                <w:sz w:val="20"/>
                <w:szCs w:val="20"/>
                <w:lang w:val="uk-UA" w:eastAsia="uk-UA"/>
              </w:rPr>
            </w:pPr>
            <w:r w:rsidRPr="006C6BAF">
              <w:rPr>
                <w:color w:val="000000"/>
                <w:sz w:val="20"/>
                <w:szCs w:val="20"/>
                <w:lang w:val="uk-UA"/>
              </w:rPr>
              <w:t>&gt;60 кг</w:t>
            </w:r>
          </w:p>
        </w:tc>
        <w:tc>
          <w:tcPr>
            <w:tcW w:w="8658" w:type="dxa"/>
            <w:gridSpan w:val="6"/>
            <w:tcBorders>
              <w:top w:val="single" w:sz="4" w:space="0" w:color="auto"/>
              <w:left w:val="single" w:sz="4" w:space="0" w:color="auto"/>
              <w:bottom w:val="single" w:sz="4" w:space="0" w:color="auto"/>
              <w:right w:val="single" w:sz="4" w:space="0" w:color="auto"/>
            </w:tcBorders>
            <w:shd w:val="clear" w:color="auto" w:fill="FFFFFF"/>
          </w:tcPr>
          <w:p w14:paraId="26F556A2" w14:textId="77777777" w:rsidR="00C37624" w:rsidRPr="006C6BAF" w:rsidRDefault="00C37624" w:rsidP="004B2635">
            <w:pPr>
              <w:widowControl w:val="0"/>
              <w:jc w:val="center"/>
              <w:rPr>
                <w:sz w:val="20"/>
                <w:szCs w:val="20"/>
                <w:lang w:val="uk-UA" w:eastAsia="uk-UA"/>
              </w:rPr>
            </w:pPr>
            <w:r w:rsidRPr="006C6BAF">
              <w:rPr>
                <w:color w:val="000000"/>
                <w:sz w:val="20"/>
                <w:szCs w:val="20"/>
                <w:lang w:val="uk-UA"/>
              </w:rPr>
              <w:t>Відповідна комбінація таблеток</w:t>
            </w:r>
          </w:p>
        </w:tc>
      </w:tr>
    </w:tbl>
    <w:p w14:paraId="791BE836" w14:textId="77777777" w:rsidR="00E31278" w:rsidRPr="006C6BAF" w:rsidRDefault="00E31278" w:rsidP="004B2635">
      <w:pPr>
        <w:ind w:firstLine="709"/>
        <w:jc w:val="both"/>
        <w:rPr>
          <w:bCs/>
          <w:sz w:val="22"/>
          <w:szCs w:val="22"/>
          <w:u w:val="single"/>
          <w:lang w:val="uk-UA"/>
        </w:rPr>
      </w:pPr>
    </w:p>
    <w:p w14:paraId="576D7DB9" w14:textId="6AB6926A" w:rsidR="00C37624" w:rsidRPr="006C6BAF" w:rsidRDefault="00C94F8A" w:rsidP="004B2635">
      <w:pPr>
        <w:ind w:firstLine="709"/>
        <w:jc w:val="both"/>
        <w:rPr>
          <w:bCs/>
          <w:sz w:val="22"/>
          <w:szCs w:val="22"/>
          <w:u w:val="single"/>
          <w:lang w:val="uk-UA"/>
        </w:rPr>
      </w:pPr>
      <w:r w:rsidRPr="006C6BAF">
        <w:rPr>
          <w:bCs/>
          <w:sz w:val="22"/>
          <w:szCs w:val="22"/>
          <w:u w:val="single"/>
          <w:lang w:val="uk-UA"/>
        </w:rPr>
        <w:t>Схема лікування:</w:t>
      </w:r>
    </w:p>
    <w:p w14:paraId="212F7B3F" w14:textId="77777777" w:rsidR="008102DA" w:rsidRPr="006C6BAF" w:rsidRDefault="008102DA" w:rsidP="004B2635">
      <w:pPr>
        <w:ind w:firstLine="709"/>
        <w:jc w:val="both"/>
        <w:rPr>
          <w:bCs/>
          <w:sz w:val="22"/>
          <w:szCs w:val="22"/>
          <w:lang w:val="uk-UA"/>
        </w:rPr>
      </w:pPr>
      <w:r w:rsidRPr="006C6BAF">
        <w:rPr>
          <w:bCs/>
          <w:sz w:val="22"/>
          <w:szCs w:val="22"/>
          <w:lang w:val="uk-UA"/>
        </w:rPr>
        <w:t>Схема лікування повинна ґрунтуватися на діагнозі ветеринарного лікаря, місцевій епідеміологічній ситуації та/або епідеміологічній ситуації в інших районах, які собака відвідувала або збирається відвідати. Якщо на підставі висновку ветеринарного лікаря потрібне повторне введення продукту, то будь-яке подальше введення повинно відповідати мінімальному графіку інтервалів в 1 місяць.</w:t>
      </w:r>
    </w:p>
    <w:p w14:paraId="1D691EE4" w14:textId="05DFC544" w:rsidR="008102DA" w:rsidRPr="006C6BAF" w:rsidRDefault="008102DA" w:rsidP="004B2635">
      <w:pPr>
        <w:ind w:firstLine="709"/>
        <w:jc w:val="both"/>
        <w:rPr>
          <w:bCs/>
          <w:sz w:val="22"/>
          <w:szCs w:val="22"/>
          <w:lang w:val="uk-UA"/>
        </w:rPr>
      </w:pPr>
      <w:r w:rsidRPr="006C6BAF">
        <w:rPr>
          <w:bCs/>
          <w:sz w:val="22"/>
          <w:szCs w:val="22"/>
          <w:lang w:val="uk-UA"/>
        </w:rPr>
        <w:t xml:space="preserve">Препарат слід застосовувати тільки </w:t>
      </w:r>
      <w:r w:rsidR="00A402B3" w:rsidRPr="006C6BAF">
        <w:rPr>
          <w:bCs/>
          <w:sz w:val="22"/>
          <w:szCs w:val="22"/>
          <w:lang w:val="uk-UA"/>
        </w:rPr>
        <w:t>для</w:t>
      </w:r>
      <w:r w:rsidRPr="006C6BAF">
        <w:rPr>
          <w:bCs/>
          <w:sz w:val="22"/>
          <w:szCs w:val="22"/>
          <w:lang w:val="uk-UA"/>
        </w:rPr>
        <w:t xml:space="preserve"> собак, коли одночасно показано лікування кліщів</w:t>
      </w:r>
      <w:r w:rsidR="0070540F" w:rsidRPr="006C6BAF">
        <w:rPr>
          <w:bCs/>
          <w:sz w:val="22"/>
          <w:szCs w:val="22"/>
          <w:lang w:val="uk-UA"/>
        </w:rPr>
        <w:t xml:space="preserve">, </w:t>
      </w:r>
      <w:r w:rsidRPr="006C6BAF">
        <w:rPr>
          <w:bCs/>
          <w:sz w:val="22"/>
          <w:szCs w:val="22"/>
          <w:lang w:val="uk-UA"/>
        </w:rPr>
        <w:t>бліх і шлунково-кишкових нематод. При відсутності ризику змішаної ко-інфекції слід застосовувати паразитицид більш вузького спектру дії.</w:t>
      </w:r>
    </w:p>
    <w:p w14:paraId="5BCCF47B" w14:textId="77777777" w:rsidR="00E31278" w:rsidRPr="006C6BAF" w:rsidRDefault="00E31278" w:rsidP="004B2635">
      <w:pPr>
        <w:ind w:firstLine="709"/>
        <w:jc w:val="both"/>
        <w:rPr>
          <w:bCs/>
          <w:sz w:val="22"/>
          <w:szCs w:val="22"/>
          <w:lang w:val="uk-UA"/>
        </w:rPr>
      </w:pPr>
    </w:p>
    <w:p w14:paraId="04FB336D" w14:textId="1C1EDE3A" w:rsidR="008102DA" w:rsidRPr="006C6BAF" w:rsidRDefault="008102DA" w:rsidP="004B2635">
      <w:pPr>
        <w:ind w:firstLine="709"/>
        <w:jc w:val="both"/>
        <w:rPr>
          <w:bCs/>
          <w:i/>
          <w:iCs/>
          <w:sz w:val="22"/>
          <w:szCs w:val="22"/>
          <w:lang w:val="uk-UA"/>
        </w:rPr>
      </w:pPr>
      <w:r w:rsidRPr="006C6BAF">
        <w:rPr>
          <w:bCs/>
          <w:i/>
          <w:iCs/>
          <w:sz w:val="22"/>
          <w:szCs w:val="22"/>
          <w:lang w:val="uk-UA"/>
        </w:rPr>
        <w:t xml:space="preserve">Лікування блошиних і кліщових інвазій </w:t>
      </w:r>
      <w:r w:rsidR="002E636D" w:rsidRPr="006C6BAF">
        <w:rPr>
          <w:bCs/>
          <w:i/>
          <w:iCs/>
          <w:sz w:val="22"/>
          <w:szCs w:val="22"/>
          <w:lang w:val="uk-UA"/>
        </w:rPr>
        <w:t>й</w:t>
      </w:r>
      <w:r w:rsidRPr="006C6BAF">
        <w:rPr>
          <w:bCs/>
          <w:i/>
          <w:iCs/>
          <w:sz w:val="22"/>
          <w:szCs w:val="22"/>
          <w:lang w:val="uk-UA"/>
        </w:rPr>
        <w:t xml:space="preserve"> шлунково-кишкових нематод:</w:t>
      </w:r>
    </w:p>
    <w:p w14:paraId="33F089EE" w14:textId="37FA18E1" w:rsidR="008102DA" w:rsidRPr="006C6BAF" w:rsidRDefault="008102DA" w:rsidP="004B2635">
      <w:pPr>
        <w:ind w:firstLine="709"/>
        <w:jc w:val="both"/>
        <w:rPr>
          <w:bCs/>
          <w:sz w:val="22"/>
          <w:szCs w:val="22"/>
          <w:lang w:val="uk-UA"/>
        </w:rPr>
      </w:pPr>
      <w:r w:rsidRPr="006C6BAF">
        <w:rPr>
          <w:bCs/>
          <w:sz w:val="22"/>
          <w:szCs w:val="22"/>
          <w:lang w:val="uk-UA"/>
        </w:rPr>
        <w:t>Ветеринарний препарат може бути використаний у складі сезонного лікування інвазій блохами і кліщами (заміна лікування моно</w:t>
      </w:r>
      <w:r w:rsidR="002E636D" w:rsidRPr="006C6BAF">
        <w:rPr>
          <w:bCs/>
          <w:sz w:val="22"/>
          <w:szCs w:val="22"/>
          <w:lang w:val="uk-UA"/>
        </w:rPr>
        <w:t>а</w:t>
      </w:r>
      <w:r w:rsidRPr="006C6BAF">
        <w:rPr>
          <w:bCs/>
          <w:sz w:val="22"/>
          <w:szCs w:val="22"/>
          <w:lang w:val="uk-UA"/>
        </w:rPr>
        <w:t>к</w:t>
      </w:r>
      <w:r w:rsidR="002E636D" w:rsidRPr="006C6BAF">
        <w:rPr>
          <w:bCs/>
          <w:sz w:val="22"/>
          <w:szCs w:val="22"/>
          <w:lang w:val="uk-UA"/>
        </w:rPr>
        <w:t>тивни</w:t>
      </w:r>
      <w:r w:rsidRPr="006C6BAF">
        <w:rPr>
          <w:bCs/>
          <w:sz w:val="22"/>
          <w:szCs w:val="22"/>
          <w:lang w:val="uk-UA"/>
        </w:rPr>
        <w:t xml:space="preserve">м блошиним і кліщовим препаратом) у собак з діагностованими супутніми шлунково-кишковими нематодними інфекціями. Одноразове лікування ефективне </w:t>
      </w:r>
      <w:r w:rsidR="006D1650" w:rsidRPr="006C6BAF">
        <w:rPr>
          <w:bCs/>
          <w:sz w:val="22"/>
          <w:szCs w:val="22"/>
          <w:lang w:val="uk-UA"/>
        </w:rPr>
        <w:t>від</w:t>
      </w:r>
      <w:r w:rsidRPr="006C6BAF">
        <w:rPr>
          <w:bCs/>
          <w:sz w:val="22"/>
          <w:szCs w:val="22"/>
          <w:lang w:val="uk-UA"/>
        </w:rPr>
        <w:t xml:space="preserve"> шлунково-кишкових нематод. Для лікування нематодних інфекцій подальше лікування бліх і кліщів слід продовжити моно</w:t>
      </w:r>
      <w:r w:rsidR="006D1650" w:rsidRPr="006C6BAF">
        <w:rPr>
          <w:bCs/>
          <w:sz w:val="22"/>
          <w:szCs w:val="22"/>
          <w:lang w:val="uk-UA"/>
        </w:rPr>
        <w:t>активним</w:t>
      </w:r>
      <w:r w:rsidRPr="006C6BAF">
        <w:rPr>
          <w:bCs/>
          <w:sz w:val="22"/>
          <w:szCs w:val="22"/>
          <w:lang w:val="uk-UA"/>
        </w:rPr>
        <w:t xml:space="preserve"> препаратом.</w:t>
      </w:r>
    </w:p>
    <w:p w14:paraId="0CF822EE" w14:textId="77777777" w:rsidR="00E31278" w:rsidRPr="006C6BAF" w:rsidRDefault="00E31278" w:rsidP="004B2635">
      <w:pPr>
        <w:ind w:firstLine="709"/>
        <w:jc w:val="both"/>
        <w:rPr>
          <w:bCs/>
          <w:sz w:val="22"/>
          <w:szCs w:val="22"/>
          <w:lang w:val="uk-UA"/>
        </w:rPr>
      </w:pPr>
    </w:p>
    <w:p w14:paraId="6629A976" w14:textId="77777777" w:rsidR="00762D6F" w:rsidRPr="006C6BAF" w:rsidRDefault="00762D6F" w:rsidP="004B2635">
      <w:pPr>
        <w:ind w:firstLine="709"/>
        <w:jc w:val="both"/>
        <w:rPr>
          <w:bCs/>
          <w:i/>
          <w:iCs/>
          <w:sz w:val="22"/>
          <w:szCs w:val="22"/>
          <w:lang w:val="uk-UA"/>
        </w:rPr>
      </w:pPr>
      <w:r w:rsidRPr="006C6BAF">
        <w:rPr>
          <w:bCs/>
          <w:i/>
          <w:iCs/>
          <w:sz w:val="22"/>
          <w:szCs w:val="22"/>
          <w:lang w:val="uk-UA"/>
        </w:rPr>
        <w:t>Профілактика дирофіляріозу та ангіостронгільозу:</w:t>
      </w:r>
    </w:p>
    <w:p w14:paraId="34798C6A" w14:textId="269BF1B3" w:rsidR="00C37624" w:rsidRPr="006C6BAF" w:rsidRDefault="00762D6F" w:rsidP="004B2635">
      <w:pPr>
        <w:ind w:firstLine="709"/>
        <w:jc w:val="both"/>
        <w:rPr>
          <w:bCs/>
          <w:sz w:val="22"/>
          <w:szCs w:val="22"/>
          <w:lang w:val="uk-UA"/>
        </w:rPr>
      </w:pPr>
      <w:r w:rsidRPr="006C6BAF">
        <w:rPr>
          <w:bCs/>
          <w:sz w:val="22"/>
          <w:szCs w:val="22"/>
          <w:lang w:val="uk-UA"/>
        </w:rPr>
        <w:t xml:space="preserve">Одноразове введення також запобігає уражень легеневими нематодами (зменшуючи кількість незрілих дорослих особин (L5) </w:t>
      </w:r>
      <w:r w:rsidRPr="006C6BAF">
        <w:rPr>
          <w:bCs/>
          <w:i/>
          <w:iCs/>
          <w:sz w:val="22"/>
          <w:szCs w:val="22"/>
          <w:lang w:val="uk-UA"/>
        </w:rPr>
        <w:t>A. vasorum</w:t>
      </w:r>
      <w:r w:rsidRPr="006C6BAF">
        <w:rPr>
          <w:bCs/>
          <w:sz w:val="22"/>
          <w:szCs w:val="22"/>
          <w:lang w:val="uk-UA"/>
        </w:rPr>
        <w:t>) та дирофіляріозу (</w:t>
      </w:r>
      <w:r w:rsidRPr="006C6BAF">
        <w:rPr>
          <w:bCs/>
          <w:i/>
          <w:iCs/>
          <w:sz w:val="22"/>
          <w:szCs w:val="22"/>
          <w:lang w:val="uk-UA"/>
        </w:rPr>
        <w:t>D. immitis</w:t>
      </w:r>
      <w:r w:rsidRPr="006C6BAF">
        <w:rPr>
          <w:bCs/>
          <w:sz w:val="22"/>
          <w:szCs w:val="22"/>
          <w:lang w:val="uk-UA"/>
        </w:rPr>
        <w:t xml:space="preserve">) протягом одного місяця. Коли Сімпаріка ТРІО замінює інший препарат для профілактики легеневих чи серцевих нематод, першу дозу препарату слід вводити протягом місяця після останньої дози попереднього ветеринарного лікарського засобу. В ендемічних районах собаки повинні отримувати профілактичні обробки проти </w:t>
      </w:r>
      <w:r w:rsidR="008960AE" w:rsidRPr="006C6BAF">
        <w:rPr>
          <w:bCs/>
          <w:sz w:val="22"/>
          <w:szCs w:val="22"/>
          <w:lang w:val="uk-UA"/>
        </w:rPr>
        <w:t>легеневих</w:t>
      </w:r>
      <w:r w:rsidRPr="006C6BAF">
        <w:rPr>
          <w:bCs/>
          <w:sz w:val="22"/>
          <w:szCs w:val="22"/>
          <w:lang w:val="uk-UA"/>
        </w:rPr>
        <w:t xml:space="preserve"> та/або серцев</w:t>
      </w:r>
      <w:r w:rsidR="00D815FA" w:rsidRPr="006C6BAF">
        <w:rPr>
          <w:bCs/>
          <w:sz w:val="22"/>
          <w:szCs w:val="22"/>
          <w:lang w:val="uk-UA"/>
        </w:rPr>
        <w:t>их</w:t>
      </w:r>
      <w:r w:rsidRPr="006C6BAF">
        <w:rPr>
          <w:bCs/>
          <w:sz w:val="22"/>
          <w:szCs w:val="22"/>
          <w:lang w:val="uk-UA"/>
        </w:rPr>
        <w:t xml:space="preserve"> нематод з щомісячними інтервалами. Рекомендується продовжувати профілактику дирофіляріозу принаймні до 1</w:t>
      </w:r>
      <w:r w:rsidR="00D815FA" w:rsidRPr="006C6BAF">
        <w:rPr>
          <w:bCs/>
          <w:sz w:val="22"/>
          <w:szCs w:val="22"/>
          <w:lang w:val="uk-UA"/>
        </w:rPr>
        <w:t> </w:t>
      </w:r>
      <w:r w:rsidRPr="006C6BAF">
        <w:rPr>
          <w:bCs/>
          <w:sz w:val="22"/>
          <w:szCs w:val="22"/>
          <w:lang w:val="uk-UA"/>
        </w:rPr>
        <w:t>місяця після останнього контакту з комарами.</w:t>
      </w:r>
    </w:p>
    <w:p w14:paraId="66D3AB7D" w14:textId="77777777" w:rsidR="00E31278" w:rsidRPr="006C6BAF" w:rsidRDefault="00E31278" w:rsidP="004B2635">
      <w:pPr>
        <w:ind w:firstLine="709"/>
        <w:jc w:val="both"/>
        <w:rPr>
          <w:bCs/>
          <w:sz w:val="22"/>
          <w:szCs w:val="22"/>
          <w:lang w:val="uk-UA"/>
        </w:rPr>
      </w:pPr>
    </w:p>
    <w:p w14:paraId="7F50F923" w14:textId="3043744C" w:rsidR="00E9519D" w:rsidRPr="006C6BAF" w:rsidRDefault="00E9519D" w:rsidP="004B2635">
      <w:pPr>
        <w:ind w:firstLine="709"/>
        <w:jc w:val="both"/>
        <w:rPr>
          <w:bCs/>
          <w:i/>
          <w:iCs/>
          <w:sz w:val="22"/>
          <w:szCs w:val="22"/>
          <w:lang w:val="uk-UA"/>
        </w:rPr>
      </w:pPr>
      <w:r w:rsidRPr="006C6BAF">
        <w:rPr>
          <w:bCs/>
          <w:i/>
          <w:iCs/>
          <w:sz w:val="22"/>
          <w:szCs w:val="22"/>
          <w:lang w:val="uk-UA"/>
        </w:rPr>
        <w:t>Лікування ангіостронгільозу:</w:t>
      </w:r>
    </w:p>
    <w:p w14:paraId="688F9D37" w14:textId="60729EA3" w:rsidR="00B3455D" w:rsidRPr="006C6BAF" w:rsidRDefault="00E9519D" w:rsidP="004B2635">
      <w:pPr>
        <w:ind w:firstLine="709"/>
        <w:jc w:val="both"/>
        <w:rPr>
          <w:bCs/>
          <w:sz w:val="22"/>
          <w:szCs w:val="22"/>
          <w:lang w:val="uk-UA"/>
        </w:rPr>
      </w:pPr>
      <w:r w:rsidRPr="006C6BAF">
        <w:rPr>
          <w:bCs/>
          <w:sz w:val="22"/>
          <w:szCs w:val="22"/>
          <w:lang w:val="uk-UA"/>
        </w:rPr>
        <w:t>Слід ввести одноразову дозу. Рекомендується провести повторний ветеринарний огляд через 30 днів після лікування, оскільки деяким тваринам може знадобитися повторне лікування.</w:t>
      </w:r>
    </w:p>
    <w:p w14:paraId="3DFDD753" w14:textId="77777777" w:rsidR="00E31278" w:rsidRPr="006C6BAF" w:rsidRDefault="00E31278" w:rsidP="004B2635">
      <w:pPr>
        <w:ind w:firstLine="709"/>
        <w:jc w:val="both"/>
        <w:rPr>
          <w:bCs/>
          <w:sz w:val="22"/>
          <w:szCs w:val="22"/>
          <w:lang w:val="uk-UA"/>
        </w:rPr>
      </w:pPr>
    </w:p>
    <w:p w14:paraId="389249FC" w14:textId="77777777" w:rsidR="00D815FA" w:rsidRPr="006C6BAF" w:rsidRDefault="00D815FA" w:rsidP="004B2635">
      <w:pPr>
        <w:ind w:firstLine="709"/>
        <w:jc w:val="both"/>
        <w:rPr>
          <w:bCs/>
          <w:i/>
          <w:iCs/>
          <w:sz w:val="22"/>
          <w:szCs w:val="22"/>
          <w:lang w:val="uk-UA"/>
        </w:rPr>
      </w:pPr>
      <w:r w:rsidRPr="006C6BAF">
        <w:rPr>
          <w:bCs/>
          <w:i/>
          <w:iCs/>
          <w:sz w:val="22"/>
          <w:szCs w:val="22"/>
          <w:lang w:val="uk-UA"/>
        </w:rPr>
        <w:t>Запобігання розвитку телязіозу:</w:t>
      </w:r>
    </w:p>
    <w:p w14:paraId="318912B7" w14:textId="783659C8" w:rsidR="00E31278" w:rsidRPr="006C6BAF" w:rsidRDefault="00D815FA" w:rsidP="004B2635">
      <w:pPr>
        <w:ind w:firstLine="709"/>
        <w:jc w:val="both"/>
        <w:rPr>
          <w:bCs/>
          <w:sz w:val="22"/>
          <w:szCs w:val="22"/>
          <w:lang w:val="uk-UA"/>
        </w:rPr>
      </w:pPr>
      <w:r w:rsidRPr="006C6BAF">
        <w:rPr>
          <w:bCs/>
          <w:sz w:val="22"/>
          <w:szCs w:val="22"/>
          <w:lang w:val="uk-UA"/>
        </w:rPr>
        <w:t xml:space="preserve">Щомісячне застосування Сімпаріка ТРІО запобігає зараженню дорослими формами </w:t>
      </w:r>
      <w:r w:rsidRPr="006C6BAF">
        <w:rPr>
          <w:bCs/>
          <w:i/>
          <w:iCs/>
          <w:sz w:val="22"/>
          <w:szCs w:val="22"/>
          <w:lang w:val="uk-UA"/>
        </w:rPr>
        <w:t>Thelazia callipaeda</w:t>
      </w:r>
      <w:r w:rsidRPr="006C6BAF">
        <w:rPr>
          <w:bCs/>
          <w:sz w:val="22"/>
          <w:szCs w:val="22"/>
          <w:lang w:val="uk-UA"/>
        </w:rPr>
        <w:t xml:space="preserve"> очн</w:t>
      </w:r>
      <w:r w:rsidR="003D1062" w:rsidRPr="006C6BAF">
        <w:rPr>
          <w:bCs/>
          <w:sz w:val="22"/>
          <w:szCs w:val="22"/>
          <w:lang w:val="uk-UA"/>
        </w:rPr>
        <w:t>их</w:t>
      </w:r>
      <w:r w:rsidRPr="006C6BAF">
        <w:rPr>
          <w:bCs/>
          <w:sz w:val="22"/>
          <w:szCs w:val="22"/>
          <w:lang w:val="uk-UA"/>
        </w:rPr>
        <w:t xml:space="preserve"> нематод.</w:t>
      </w:r>
    </w:p>
    <w:p w14:paraId="740579A1" w14:textId="77777777" w:rsidR="00E31278" w:rsidRPr="006C6BAF" w:rsidRDefault="00E31278" w:rsidP="004B2635">
      <w:pPr>
        <w:ind w:firstLine="709"/>
        <w:jc w:val="both"/>
        <w:rPr>
          <w:bCs/>
          <w:sz w:val="22"/>
          <w:szCs w:val="22"/>
          <w:lang w:val="uk-UA"/>
        </w:rPr>
      </w:pPr>
    </w:p>
    <w:p w14:paraId="384D7A48" w14:textId="77777777" w:rsidR="003D1062" w:rsidRPr="006C6BAF" w:rsidRDefault="003D1062" w:rsidP="004B2635">
      <w:pPr>
        <w:ind w:firstLine="709"/>
        <w:jc w:val="both"/>
        <w:rPr>
          <w:bCs/>
          <w:i/>
          <w:iCs/>
          <w:sz w:val="22"/>
          <w:szCs w:val="22"/>
          <w:lang w:val="uk-UA"/>
        </w:rPr>
      </w:pPr>
      <w:r w:rsidRPr="006C6BAF">
        <w:rPr>
          <w:bCs/>
          <w:i/>
          <w:iCs/>
          <w:sz w:val="22"/>
          <w:szCs w:val="22"/>
          <w:lang w:val="uk-UA"/>
        </w:rPr>
        <w:t>Лікування демодекозу:</w:t>
      </w:r>
    </w:p>
    <w:p w14:paraId="60698C46" w14:textId="49F630A3" w:rsidR="00AB3E87" w:rsidRPr="006C6BAF" w:rsidRDefault="003D1062" w:rsidP="004B2635">
      <w:pPr>
        <w:ind w:firstLine="709"/>
        <w:jc w:val="both"/>
        <w:rPr>
          <w:bCs/>
          <w:sz w:val="22"/>
          <w:szCs w:val="22"/>
          <w:lang w:val="uk-UA"/>
        </w:rPr>
      </w:pPr>
      <w:r w:rsidRPr="006C6BAF">
        <w:rPr>
          <w:bCs/>
          <w:sz w:val="22"/>
          <w:szCs w:val="22"/>
          <w:lang w:val="uk-UA"/>
        </w:rPr>
        <w:t xml:space="preserve">Введення однієї дози один раз на місяць протягом двох місяців поспіль є ефективним і призводить до помітного покращення клінічних ознак. Лікування слід продовжувати доти, поки аналіз </w:t>
      </w:r>
      <w:r w:rsidR="00C96B40" w:rsidRPr="006C6BAF">
        <w:rPr>
          <w:bCs/>
          <w:sz w:val="22"/>
          <w:szCs w:val="22"/>
          <w:lang w:val="uk-UA"/>
        </w:rPr>
        <w:t xml:space="preserve">зіскрібків </w:t>
      </w:r>
      <w:r w:rsidRPr="006C6BAF">
        <w:rPr>
          <w:bCs/>
          <w:sz w:val="22"/>
          <w:szCs w:val="22"/>
          <w:lang w:val="uk-UA"/>
        </w:rPr>
        <w:t>шкіри не буде негативним принаймні два рази поспіль з інтервалом в один місяць. Оскільки демодекоз є багатофакторним захворюванням, доцільно також належним чином лікувати будь-які супутні захворювання.</w:t>
      </w:r>
    </w:p>
    <w:p w14:paraId="78FA4373" w14:textId="77777777" w:rsidR="00E31278" w:rsidRPr="006C6BAF" w:rsidRDefault="00E31278" w:rsidP="004B2635">
      <w:pPr>
        <w:ind w:firstLine="709"/>
        <w:jc w:val="both"/>
        <w:rPr>
          <w:bCs/>
          <w:sz w:val="22"/>
          <w:szCs w:val="22"/>
          <w:lang w:val="uk-UA"/>
        </w:rPr>
      </w:pPr>
    </w:p>
    <w:p w14:paraId="5E9DF398" w14:textId="1D4C37D7" w:rsidR="00E31278" w:rsidRPr="006C6BAF" w:rsidRDefault="002A536E" w:rsidP="004B2635">
      <w:pPr>
        <w:ind w:firstLine="709"/>
        <w:jc w:val="both"/>
        <w:rPr>
          <w:bCs/>
          <w:i/>
          <w:iCs/>
          <w:sz w:val="22"/>
          <w:szCs w:val="22"/>
          <w:lang w:val="uk-UA"/>
        </w:rPr>
      </w:pPr>
      <w:r w:rsidRPr="006C6BAF">
        <w:rPr>
          <w:bCs/>
          <w:i/>
          <w:iCs/>
          <w:sz w:val="22"/>
          <w:szCs w:val="22"/>
          <w:lang w:val="uk-UA"/>
        </w:rPr>
        <w:t>Лікування саркоптозу:</w:t>
      </w:r>
    </w:p>
    <w:p w14:paraId="29CAC7A3" w14:textId="05B2413A" w:rsidR="003D1062" w:rsidRPr="006C6BAF" w:rsidRDefault="002A536E" w:rsidP="004B2635">
      <w:pPr>
        <w:ind w:firstLine="709"/>
        <w:jc w:val="both"/>
        <w:rPr>
          <w:bCs/>
          <w:sz w:val="22"/>
          <w:szCs w:val="22"/>
          <w:lang w:val="uk-UA"/>
        </w:rPr>
      </w:pPr>
      <w:r w:rsidRPr="006C6BAF">
        <w:rPr>
          <w:bCs/>
          <w:sz w:val="22"/>
          <w:szCs w:val="22"/>
          <w:lang w:val="uk-UA"/>
        </w:rPr>
        <w:t>Застосування однієї дози з місячним інтервалом протягом двох місяців поспіль. На основі клінічної оцінки та аналізу зіскрібків шкіри може знадобитися подальше щомісячне введення препарату до повного одужання.</w:t>
      </w:r>
    </w:p>
    <w:p w14:paraId="0CB382AC" w14:textId="32A766C4" w:rsidR="003D1062" w:rsidRPr="006C6BAF" w:rsidRDefault="00524540" w:rsidP="004B2635">
      <w:pPr>
        <w:pStyle w:val="a6"/>
        <w:numPr>
          <w:ilvl w:val="1"/>
          <w:numId w:val="3"/>
        </w:numPr>
        <w:ind w:left="0" w:firstLine="709"/>
        <w:jc w:val="both"/>
        <w:rPr>
          <w:b/>
          <w:sz w:val="22"/>
          <w:szCs w:val="22"/>
          <w:lang w:val="uk-UA"/>
        </w:rPr>
      </w:pPr>
      <w:bookmarkStart w:id="0" w:name="_GoBack"/>
      <w:bookmarkEnd w:id="0"/>
      <w:r w:rsidRPr="006C6BAF">
        <w:rPr>
          <w:b/>
          <w:sz w:val="22"/>
          <w:szCs w:val="22"/>
          <w:lang w:val="uk-UA"/>
        </w:rPr>
        <w:t>Передозування (симптоми, невідкладні заходи, антидоти)</w:t>
      </w:r>
    </w:p>
    <w:p w14:paraId="227C4F6F" w14:textId="749F6AE9" w:rsidR="00524540" w:rsidRPr="006C6BAF" w:rsidRDefault="007E217D" w:rsidP="004B2635">
      <w:pPr>
        <w:ind w:firstLine="709"/>
        <w:jc w:val="both"/>
        <w:rPr>
          <w:bCs/>
          <w:sz w:val="22"/>
          <w:szCs w:val="22"/>
          <w:lang w:val="uk-UA"/>
        </w:rPr>
      </w:pPr>
      <w:r w:rsidRPr="006C6BAF">
        <w:rPr>
          <w:bCs/>
          <w:sz w:val="22"/>
          <w:szCs w:val="22"/>
          <w:lang w:val="uk-UA"/>
        </w:rPr>
        <w:t>У здорових цуценят 8-тижневого віку, які отримували до 5-кратної максимальної рекомендованої дози протягом 7 послідовних щомісячних введень</w:t>
      </w:r>
      <w:r w:rsidR="00A402B3" w:rsidRPr="006C6BAF">
        <w:rPr>
          <w:bCs/>
          <w:sz w:val="22"/>
          <w:szCs w:val="22"/>
          <w:lang w:val="uk-UA"/>
        </w:rPr>
        <w:t>,</w:t>
      </w:r>
      <w:r w:rsidRPr="006C6BAF">
        <w:rPr>
          <w:bCs/>
          <w:sz w:val="22"/>
          <w:szCs w:val="22"/>
          <w:lang w:val="uk-UA"/>
        </w:rPr>
        <w:t xml:space="preserve"> побічних реакцій не спостерігалося.</w:t>
      </w:r>
    </w:p>
    <w:p w14:paraId="1F71B7B1" w14:textId="3E8D4974" w:rsidR="00524540" w:rsidRPr="006C6BAF" w:rsidRDefault="00801E05" w:rsidP="004B2635">
      <w:pPr>
        <w:ind w:firstLine="709"/>
        <w:jc w:val="both"/>
        <w:rPr>
          <w:bCs/>
          <w:sz w:val="22"/>
          <w:szCs w:val="22"/>
          <w:lang w:val="uk-UA"/>
        </w:rPr>
      </w:pPr>
      <w:r w:rsidRPr="006C6BAF">
        <w:rPr>
          <w:bCs/>
          <w:sz w:val="22"/>
          <w:szCs w:val="22"/>
          <w:lang w:val="uk-UA"/>
        </w:rPr>
        <w:t>У лабораторному дослідженні препарат добре переносився собаками з дефіцитом білка множинної лікарської стійкості 1 (MDR1 -/-) після одноразового перорального введення в 3-</w:t>
      </w:r>
      <w:r w:rsidRPr="006C6BAF">
        <w:rPr>
          <w:bCs/>
          <w:sz w:val="22"/>
          <w:szCs w:val="22"/>
          <w:lang w:val="uk-UA"/>
        </w:rPr>
        <w:lastRenderedPageBreak/>
        <w:t>кратній рекомендованій дозі. Після одноразового введення 5-кратної максимальної рекомендованої дози чутливим собакам спостерігалась минуща атаксія та/або м'язова фасцикуляція.</w:t>
      </w:r>
    </w:p>
    <w:p w14:paraId="412C6493" w14:textId="38E1FABD" w:rsidR="005F5D16" w:rsidRPr="006C6BAF" w:rsidRDefault="005F5D16" w:rsidP="004B2635">
      <w:pPr>
        <w:pStyle w:val="a6"/>
        <w:numPr>
          <w:ilvl w:val="1"/>
          <w:numId w:val="3"/>
        </w:numPr>
        <w:tabs>
          <w:tab w:val="left" w:pos="1080"/>
        </w:tabs>
        <w:ind w:left="0" w:firstLine="709"/>
        <w:jc w:val="both"/>
        <w:rPr>
          <w:b/>
          <w:sz w:val="22"/>
          <w:szCs w:val="22"/>
          <w:lang w:val="uk-UA"/>
        </w:rPr>
      </w:pPr>
      <w:r w:rsidRPr="006C6BAF">
        <w:rPr>
          <w:b/>
          <w:sz w:val="22"/>
          <w:szCs w:val="22"/>
          <w:lang w:val="uk-UA"/>
        </w:rPr>
        <w:t>Спеціальні застереження</w:t>
      </w:r>
    </w:p>
    <w:p w14:paraId="5F1B208F" w14:textId="77777777" w:rsidR="005F5D16" w:rsidRPr="006C6BAF" w:rsidRDefault="005F5D16" w:rsidP="004B2635">
      <w:pPr>
        <w:ind w:firstLine="709"/>
        <w:jc w:val="both"/>
        <w:rPr>
          <w:bCs/>
          <w:sz w:val="22"/>
          <w:szCs w:val="22"/>
          <w:lang w:val="uk-UA"/>
        </w:rPr>
      </w:pPr>
      <w:r w:rsidRPr="006C6BAF">
        <w:rPr>
          <w:bCs/>
          <w:sz w:val="22"/>
          <w:szCs w:val="22"/>
          <w:lang w:val="uk-UA"/>
        </w:rPr>
        <w:t>Немає.</w:t>
      </w:r>
    </w:p>
    <w:p w14:paraId="23D7F6BC" w14:textId="11615861" w:rsidR="005F5D16" w:rsidRPr="006C6BAF" w:rsidRDefault="005F5D16" w:rsidP="004B2635">
      <w:pPr>
        <w:pStyle w:val="a6"/>
        <w:numPr>
          <w:ilvl w:val="1"/>
          <w:numId w:val="3"/>
        </w:numPr>
        <w:tabs>
          <w:tab w:val="left" w:pos="1080"/>
        </w:tabs>
        <w:ind w:left="0" w:firstLine="709"/>
        <w:jc w:val="both"/>
        <w:rPr>
          <w:b/>
          <w:sz w:val="22"/>
          <w:szCs w:val="22"/>
          <w:lang w:val="uk-UA"/>
        </w:rPr>
      </w:pPr>
      <w:r w:rsidRPr="006C6BAF">
        <w:rPr>
          <w:b/>
          <w:sz w:val="22"/>
          <w:szCs w:val="22"/>
          <w:lang w:val="uk-UA"/>
        </w:rPr>
        <w:t>Період виведення (каренції)</w:t>
      </w:r>
    </w:p>
    <w:p w14:paraId="2F213DD9" w14:textId="77777777" w:rsidR="005F5D16" w:rsidRPr="006C6BAF" w:rsidRDefault="005F5D16" w:rsidP="004B2635">
      <w:pPr>
        <w:ind w:firstLine="709"/>
        <w:jc w:val="both"/>
        <w:rPr>
          <w:bCs/>
          <w:sz w:val="22"/>
          <w:szCs w:val="22"/>
          <w:lang w:val="uk-UA"/>
        </w:rPr>
      </w:pPr>
      <w:r w:rsidRPr="006C6BAF">
        <w:rPr>
          <w:bCs/>
          <w:sz w:val="22"/>
          <w:szCs w:val="22"/>
          <w:lang w:val="uk-UA"/>
        </w:rPr>
        <w:t>Не застосовується.</w:t>
      </w:r>
    </w:p>
    <w:p w14:paraId="4489A53A" w14:textId="1177F4DE" w:rsidR="005F5D16" w:rsidRPr="006C6BAF" w:rsidRDefault="005F5D16" w:rsidP="004B2635">
      <w:pPr>
        <w:pStyle w:val="a6"/>
        <w:numPr>
          <w:ilvl w:val="1"/>
          <w:numId w:val="3"/>
        </w:numPr>
        <w:tabs>
          <w:tab w:val="left" w:pos="1080"/>
        </w:tabs>
        <w:ind w:left="0" w:firstLine="709"/>
        <w:jc w:val="both"/>
        <w:rPr>
          <w:b/>
          <w:sz w:val="22"/>
          <w:szCs w:val="22"/>
          <w:lang w:val="uk-UA"/>
        </w:rPr>
      </w:pPr>
      <w:r w:rsidRPr="006C6BAF">
        <w:rPr>
          <w:b/>
          <w:sz w:val="22"/>
          <w:szCs w:val="22"/>
          <w:lang w:val="uk-UA"/>
        </w:rPr>
        <w:t>Спеціальні застереження для осіб і обслуговуючого персоналу</w:t>
      </w:r>
    </w:p>
    <w:p w14:paraId="6F9470AB" w14:textId="77777777" w:rsidR="005F5D16" w:rsidRPr="006C6BAF" w:rsidRDefault="005F5D16" w:rsidP="004B2635">
      <w:pPr>
        <w:ind w:firstLine="709"/>
        <w:jc w:val="both"/>
        <w:rPr>
          <w:bCs/>
          <w:sz w:val="22"/>
          <w:szCs w:val="22"/>
          <w:lang w:val="uk-UA"/>
        </w:rPr>
      </w:pPr>
      <w:r w:rsidRPr="006C6BAF">
        <w:rPr>
          <w:bCs/>
          <w:sz w:val="22"/>
          <w:szCs w:val="22"/>
          <w:lang w:val="uk-UA"/>
        </w:rPr>
        <w:t>Мити руки після контакту з продуктом.</w:t>
      </w:r>
    </w:p>
    <w:p w14:paraId="69DD6D16" w14:textId="7E2B2166" w:rsidR="005F5D16" w:rsidRPr="006C6BAF" w:rsidRDefault="005F5D16" w:rsidP="004B2635">
      <w:pPr>
        <w:ind w:firstLine="709"/>
        <w:jc w:val="both"/>
        <w:rPr>
          <w:bCs/>
          <w:sz w:val="22"/>
          <w:szCs w:val="22"/>
          <w:lang w:val="uk-UA"/>
        </w:rPr>
      </w:pPr>
      <w:r w:rsidRPr="006C6BAF">
        <w:rPr>
          <w:bCs/>
          <w:sz w:val="22"/>
          <w:szCs w:val="22"/>
          <w:lang w:val="uk-UA"/>
        </w:rPr>
        <w:t xml:space="preserve">Випадкове проковтування продукту потенційно може призвести до побічних ефектів, </w:t>
      </w:r>
      <w:r w:rsidR="00A402B3" w:rsidRPr="006C6BAF">
        <w:rPr>
          <w:bCs/>
          <w:sz w:val="22"/>
          <w:szCs w:val="22"/>
          <w:lang w:val="uk-UA"/>
        </w:rPr>
        <w:t>а саме,</w:t>
      </w:r>
      <w:r w:rsidRPr="006C6BAF">
        <w:rPr>
          <w:bCs/>
          <w:sz w:val="22"/>
          <w:szCs w:val="22"/>
          <w:lang w:val="uk-UA"/>
        </w:rPr>
        <w:t xml:space="preserve"> минущі збуджуючі неврологічні ознаки. Щоб запобігти доступу дітей до продукту, з блістерної упаковки слід витягувати тільки одну жувальну таблетку за один раз і тільки при необхідності. Потім блістер повинен бути повернутий у картонну коробку відразу ж після використанн</w:t>
      </w:r>
      <w:r w:rsidR="004A6BF1" w:rsidRPr="006C6BAF">
        <w:rPr>
          <w:bCs/>
          <w:sz w:val="22"/>
          <w:szCs w:val="22"/>
          <w:lang w:val="uk-UA"/>
        </w:rPr>
        <w:t>я, коробка повинна зберігатися в</w:t>
      </w:r>
      <w:r w:rsidRPr="006C6BAF">
        <w:rPr>
          <w:bCs/>
          <w:sz w:val="22"/>
          <w:szCs w:val="22"/>
          <w:lang w:val="uk-UA"/>
        </w:rPr>
        <w:t xml:space="preserve"> недоступному для дітей місці. У разі випадкового проковтування негайно звернутися за медичною допомогою і показати лікарю листівку-вкладку до продукту або етикетку.</w:t>
      </w:r>
    </w:p>
    <w:p w14:paraId="64535579" w14:textId="77777777" w:rsidR="0035616B" w:rsidRPr="006C6BAF" w:rsidRDefault="0035616B" w:rsidP="004B2635">
      <w:pPr>
        <w:pStyle w:val="a6"/>
        <w:numPr>
          <w:ilvl w:val="0"/>
          <w:numId w:val="3"/>
        </w:numPr>
        <w:ind w:left="0" w:firstLine="709"/>
        <w:jc w:val="both"/>
        <w:rPr>
          <w:b/>
          <w:sz w:val="22"/>
          <w:szCs w:val="22"/>
          <w:lang w:val="uk-UA"/>
        </w:rPr>
      </w:pPr>
      <w:r w:rsidRPr="006C6BAF">
        <w:rPr>
          <w:b/>
          <w:sz w:val="22"/>
          <w:szCs w:val="22"/>
          <w:lang w:val="uk-UA"/>
        </w:rPr>
        <w:t>Фармацевтичні особливості</w:t>
      </w:r>
    </w:p>
    <w:p w14:paraId="07D7E48C" w14:textId="46794B41" w:rsidR="0035616B" w:rsidRPr="006C6BAF" w:rsidRDefault="0035616B" w:rsidP="004B2635">
      <w:pPr>
        <w:ind w:firstLine="709"/>
        <w:jc w:val="both"/>
        <w:rPr>
          <w:b/>
          <w:sz w:val="22"/>
          <w:szCs w:val="22"/>
          <w:lang w:val="uk-UA"/>
        </w:rPr>
      </w:pPr>
      <w:r w:rsidRPr="006C6BAF">
        <w:rPr>
          <w:b/>
          <w:sz w:val="22"/>
          <w:szCs w:val="22"/>
          <w:lang w:val="uk-UA"/>
        </w:rPr>
        <w:t>6.1 Форми несумісності</w:t>
      </w:r>
    </w:p>
    <w:p w14:paraId="00679080" w14:textId="6631E170" w:rsidR="0035616B" w:rsidRPr="006C6BAF" w:rsidRDefault="0035616B" w:rsidP="004B2635">
      <w:pPr>
        <w:ind w:firstLine="709"/>
        <w:jc w:val="both"/>
        <w:rPr>
          <w:bCs/>
          <w:sz w:val="22"/>
          <w:szCs w:val="22"/>
          <w:lang w:val="uk-UA"/>
        </w:rPr>
      </w:pPr>
      <w:r w:rsidRPr="006C6BAF">
        <w:rPr>
          <w:bCs/>
          <w:sz w:val="22"/>
          <w:szCs w:val="22"/>
          <w:lang w:val="uk-UA"/>
        </w:rPr>
        <w:t>Невідомі.</w:t>
      </w:r>
    </w:p>
    <w:p w14:paraId="0574887E" w14:textId="68798DBB" w:rsidR="005F5D16" w:rsidRPr="006C6BAF" w:rsidRDefault="0035616B" w:rsidP="004B2635">
      <w:pPr>
        <w:ind w:firstLine="709"/>
        <w:jc w:val="both"/>
        <w:rPr>
          <w:bCs/>
          <w:sz w:val="22"/>
          <w:szCs w:val="22"/>
          <w:lang w:val="uk-UA"/>
        </w:rPr>
      </w:pPr>
      <w:r w:rsidRPr="006C6BAF">
        <w:rPr>
          <w:bCs/>
          <w:sz w:val="22"/>
          <w:szCs w:val="22"/>
          <w:lang w:val="uk-UA"/>
        </w:rPr>
        <w:t>Відомо, що макроциклічні лактони, включаючи моксидектин, є субстратами для Р-глікопротеїну. Тому під час лікування ветеринарним лікарським засобом інші препарати, які можуть інгібувати Р-глікопротеїн (наприклад, циклоспорин, кетоконазол, спіносад, верапаміл), слід застосовувати лише одночасно відповідно до оцінки користі та ризику ветеринаром.</w:t>
      </w:r>
    </w:p>
    <w:p w14:paraId="0F0691CC" w14:textId="77777777" w:rsidR="008C3A53" w:rsidRPr="006C6BAF" w:rsidRDefault="008C3A53" w:rsidP="004B2635">
      <w:pPr>
        <w:ind w:firstLine="709"/>
        <w:jc w:val="both"/>
        <w:rPr>
          <w:b/>
          <w:sz w:val="22"/>
          <w:szCs w:val="22"/>
          <w:lang w:val="uk-UA"/>
        </w:rPr>
      </w:pPr>
      <w:r w:rsidRPr="006C6BAF">
        <w:rPr>
          <w:b/>
          <w:sz w:val="22"/>
          <w:szCs w:val="22"/>
          <w:lang w:val="uk-UA"/>
        </w:rPr>
        <w:t>6.2 Термін придатності</w:t>
      </w:r>
    </w:p>
    <w:p w14:paraId="0A1404CC" w14:textId="77777777" w:rsidR="008C3A53" w:rsidRPr="006C6BAF" w:rsidRDefault="008C3A53" w:rsidP="004B2635">
      <w:pPr>
        <w:ind w:firstLine="709"/>
        <w:jc w:val="both"/>
        <w:rPr>
          <w:bCs/>
          <w:sz w:val="22"/>
          <w:szCs w:val="22"/>
          <w:lang w:val="uk-UA"/>
        </w:rPr>
      </w:pPr>
      <w:r w:rsidRPr="006C6BAF">
        <w:rPr>
          <w:bCs/>
          <w:sz w:val="22"/>
          <w:szCs w:val="22"/>
          <w:lang w:val="uk-UA"/>
        </w:rPr>
        <w:t>30 місяців.</w:t>
      </w:r>
    </w:p>
    <w:p w14:paraId="12574615" w14:textId="77777777" w:rsidR="008C3A53" w:rsidRPr="006C6BAF" w:rsidRDefault="008C3A53" w:rsidP="004B2635">
      <w:pPr>
        <w:ind w:firstLine="709"/>
        <w:jc w:val="both"/>
        <w:rPr>
          <w:b/>
          <w:sz w:val="22"/>
          <w:szCs w:val="22"/>
          <w:lang w:val="uk-UA"/>
        </w:rPr>
      </w:pPr>
      <w:r w:rsidRPr="006C6BAF">
        <w:rPr>
          <w:b/>
          <w:sz w:val="22"/>
          <w:szCs w:val="22"/>
          <w:lang w:val="uk-UA"/>
        </w:rPr>
        <w:t>6.3 Особливі заходи зберігання</w:t>
      </w:r>
    </w:p>
    <w:p w14:paraId="267509C1" w14:textId="7303E9D5" w:rsidR="00CD664C" w:rsidRPr="006C6BAF" w:rsidRDefault="00CD664C" w:rsidP="004B2635">
      <w:pPr>
        <w:ind w:firstLine="709"/>
        <w:jc w:val="both"/>
        <w:rPr>
          <w:bCs/>
          <w:sz w:val="22"/>
          <w:szCs w:val="22"/>
          <w:lang w:val="uk-UA"/>
        </w:rPr>
      </w:pPr>
      <w:r w:rsidRPr="006C6BAF">
        <w:rPr>
          <w:sz w:val="22"/>
          <w:szCs w:val="22"/>
          <w:lang w:val="uk-UA"/>
        </w:rPr>
        <w:t>Сухе, недоступне для дітей місце за температури не вище 30 º С.</w:t>
      </w:r>
    </w:p>
    <w:p w14:paraId="08FF3424" w14:textId="77777777" w:rsidR="008C3A53" w:rsidRPr="006C6BAF" w:rsidRDefault="008C3A53" w:rsidP="004B2635">
      <w:pPr>
        <w:ind w:firstLine="709"/>
        <w:jc w:val="both"/>
        <w:rPr>
          <w:bCs/>
          <w:sz w:val="22"/>
          <w:szCs w:val="22"/>
          <w:lang w:val="uk-UA"/>
        </w:rPr>
      </w:pPr>
      <w:r w:rsidRPr="006C6BAF">
        <w:rPr>
          <w:bCs/>
          <w:sz w:val="22"/>
          <w:szCs w:val="22"/>
          <w:lang w:val="uk-UA"/>
        </w:rPr>
        <w:t>Виймати таблетку з блістера лише безпосередньо перед використанням.</w:t>
      </w:r>
    </w:p>
    <w:p w14:paraId="66508206" w14:textId="77777777" w:rsidR="008C3A53" w:rsidRPr="006C6BAF" w:rsidRDefault="008C3A53" w:rsidP="004B2635">
      <w:pPr>
        <w:ind w:firstLine="709"/>
        <w:jc w:val="both"/>
        <w:rPr>
          <w:b/>
          <w:sz w:val="22"/>
          <w:szCs w:val="22"/>
          <w:lang w:val="uk-UA"/>
        </w:rPr>
      </w:pPr>
      <w:r w:rsidRPr="006C6BAF">
        <w:rPr>
          <w:b/>
          <w:sz w:val="22"/>
          <w:szCs w:val="22"/>
          <w:lang w:val="uk-UA"/>
        </w:rPr>
        <w:t>6.4 Природа і склад контейнера первинного пакування</w:t>
      </w:r>
    </w:p>
    <w:p w14:paraId="23B42E25" w14:textId="49750160" w:rsidR="00CD664C" w:rsidRPr="006C6BAF" w:rsidRDefault="00CD664C" w:rsidP="004B2635">
      <w:pPr>
        <w:ind w:firstLine="709"/>
        <w:jc w:val="both"/>
        <w:rPr>
          <w:sz w:val="22"/>
          <w:szCs w:val="22"/>
          <w:lang w:val="uk-UA"/>
        </w:rPr>
      </w:pPr>
      <w:bookmarkStart w:id="1" w:name="_Hlk72684479"/>
      <w:r w:rsidRPr="006C6BAF">
        <w:rPr>
          <w:sz w:val="22"/>
          <w:szCs w:val="22"/>
          <w:lang w:val="uk-UA"/>
        </w:rPr>
        <w:t xml:space="preserve">Препарат випускається </w:t>
      </w:r>
      <w:r w:rsidR="004A6BF1" w:rsidRPr="006C6BAF">
        <w:rPr>
          <w:sz w:val="22"/>
          <w:szCs w:val="22"/>
          <w:lang w:val="uk-UA"/>
        </w:rPr>
        <w:t>в</w:t>
      </w:r>
      <w:r w:rsidRPr="006C6BAF">
        <w:rPr>
          <w:sz w:val="22"/>
          <w:szCs w:val="22"/>
          <w:lang w:val="uk-UA"/>
        </w:rPr>
        <w:t xml:space="preserve"> таблетках, які запаковані в алюмінієві блістери по 3 таблетки</w:t>
      </w:r>
      <w:r w:rsidR="000B2521" w:rsidRPr="006C6BAF">
        <w:rPr>
          <w:sz w:val="22"/>
          <w:szCs w:val="22"/>
          <w:lang w:val="uk-UA"/>
        </w:rPr>
        <w:t xml:space="preserve"> </w:t>
      </w:r>
      <w:r w:rsidR="004C67CE" w:rsidRPr="006C6BAF">
        <w:rPr>
          <w:sz w:val="22"/>
          <w:szCs w:val="22"/>
          <w:lang w:val="uk-UA"/>
        </w:rPr>
        <w:t xml:space="preserve">у відповідних </w:t>
      </w:r>
      <w:r w:rsidR="000B2521" w:rsidRPr="006C6BAF">
        <w:rPr>
          <w:sz w:val="22"/>
          <w:szCs w:val="22"/>
          <w:lang w:val="uk-UA"/>
        </w:rPr>
        <w:t xml:space="preserve">дозуваннях </w:t>
      </w:r>
      <w:r w:rsidR="004C67CE" w:rsidRPr="006C6BAF">
        <w:rPr>
          <w:sz w:val="22"/>
          <w:szCs w:val="22"/>
          <w:lang w:val="uk-UA"/>
        </w:rPr>
        <w:t>для собак масою тіла: 1,25-2,5 кг,</w:t>
      </w:r>
      <w:r w:rsidR="008E02BA" w:rsidRPr="006C6BAF">
        <w:rPr>
          <w:sz w:val="22"/>
          <w:szCs w:val="22"/>
          <w:lang w:val="uk-UA"/>
        </w:rPr>
        <w:t xml:space="preserve"> &gt;2,5-5 кг, &gt;5-10 кг, &gt;10-20 кг, &gt;20-40 кг, або &gt;40-60 кг.</w:t>
      </w:r>
    </w:p>
    <w:p w14:paraId="3E79EF71" w14:textId="525AFD02" w:rsidR="008C3A53" w:rsidRPr="006C6BAF" w:rsidRDefault="00CD664C" w:rsidP="004B2635">
      <w:pPr>
        <w:ind w:firstLine="709"/>
        <w:jc w:val="both"/>
        <w:rPr>
          <w:bCs/>
          <w:sz w:val="22"/>
          <w:szCs w:val="22"/>
          <w:lang w:val="uk-UA"/>
        </w:rPr>
      </w:pPr>
      <w:r w:rsidRPr="006C6BAF">
        <w:rPr>
          <w:sz w:val="22"/>
          <w:szCs w:val="22"/>
          <w:lang w:val="uk-UA"/>
        </w:rPr>
        <w:t>Вторинне пакування – картонні коробки, що містять 1 блістер з трьома таблетками.</w:t>
      </w:r>
      <w:bookmarkEnd w:id="1"/>
    </w:p>
    <w:p w14:paraId="46D19520" w14:textId="77777777" w:rsidR="008C3A53" w:rsidRPr="006C6BAF" w:rsidRDefault="008C3A53" w:rsidP="004B2635">
      <w:pPr>
        <w:ind w:firstLine="709"/>
        <w:jc w:val="both"/>
        <w:rPr>
          <w:b/>
          <w:sz w:val="22"/>
          <w:szCs w:val="22"/>
          <w:lang w:val="uk-UA"/>
        </w:rPr>
      </w:pPr>
      <w:r w:rsidRPr="006C6BAF">
        <w:rPr>
          <w:b/>
          <w:sz w:val="22"/>
          <w:szCs w:val="22"/>
          <w:lang w:val="uk-UA"/>
        </w:rPr>
        <w:t>6.5 Особливі заходи безпеки при поводженні з невикористаним препаратом або із його залишками</w:t>
      </w:r>
    </w:p>
    <w:p w14:paraId="6E5514C4" w14:textId="7152D5F9" w:rsidR="005F5D16" w:rsidRPr="006C6BAF" w:rsidRDefault="008C3A53" w:rsidP="004B2635">
      <w:pPr>
        <w:ind w:firstLine="709"/>
        <w:jc w:val="both"/>
        <w:rPr>
          <w:bCs/>
          <w:sz w:val="22"/>
          <w:szCs w:val="22"/>
          <w:lang w:val="uk-UA"/>
        </w:rPr>
      </w:pPr>
      <w:r w:rsidRPr="006C6BAF">
        <w:rPr>
          <w:bCs/>
          <w:sz w:val="22"/>
          <w:szCs w:val="22"/>
          <w:lang w:val="uk-UA"/>
        </w:rPr>
        <w:t>Згідно з місцевими вимогами по знешкодженню невикористаних препаратів.</w:t>
      </w:r>
    </w:p>
    <w:p w14:paraId="6C300203" w14:textId="77777777" w:rsidR="00E31278" w:rsidRPr="006C6BAF" w:rsidRDefault="00E31278" w:rsidP="004B2635">
      <w:pPr>
        <w:ind w:firstLine="709"/>
        <w:jc w:val="both"/>
        <w:rPr>
          <w:bCs/>
          <w:sz w:val="22"/>
          <w:szCs w:val="22"/>
          <w:lang w:val="uk-UA"/>
        </w:rPr>
      </w:pPr>
    </w:p>
    <w:p w14:paraId="71121333" w14:textId="62C4D43B" w:rsidR="005F5D16" w:rsidRPr="006C6BAF" w:rsidRDefault="00C81CCE" w:rsidP="00C81CCE">
      <w:pPr>
        <w:pStyle w:val="a6"/>
        <w:numPr>
          <w:ilvl w:val="0"/>
          <w:numId w:val="3"/>
        </w:numPr>
        <w:jc w:val="both"/>
        <w:rPr>
          <w:b/>
          <w:sz w:val="22"/>
          <w:szCs w:val="22"/>
          <w:lang w:val="uk-UA"/>
        </w:rPr>
      </w:pPr>
      <w:r w:rsidRPr="006C6BAF">
        <w:rPr>
          <w:b/>
          <w:sz w:val="22"/>
          <w:szCs w:val="22"/>
          <w:lang w:val="uk-UA"/>
        </w:rPr>
        <w:t>Назва та місцезнаходження власника реєстраційного посвідчення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2"/>
        <w:gridCol w:w="4673"/>
      </w:tblGrid>
      <w:tr w:rsidR="00C81CCE" w:rsidRPr="006C6BAF" w14:paraId="7EB9340A" w14:textId="77777777" w:rsidTr="00C81CCE">
        <w:tc>
          <w:tcPr>
            <w:tcW w:w="4672" w:type="dxa"/>
          </w:tcPr>
          <w:p w14:paraId="0F6737EA" w14:textId="77777777" w:rsidR="00C81CCE" w:rsidRPr="006C6BAF" w:rsidRDefault="00C81CCE" w:rsidP="00C81CCE">
            <w:pPr>
              <w:jc w:val="both"/>
              <w:rPr>
                <w:bCs/>
                <w:sz w:val="22"/>
                <w:szCs w:val="22"/>
                <w:lang w:val="uk-UA"/>
              </w:rPr>
            </w:pPr>
            <w:r w:rsidRPr="006C6BAF">
              <w:rPr>
                <w:bCs/>
                <w:sz w:val="22"/>
                <w:szCs w:val="22"/>
                <w:lang w:val="uk-UA"/>
              </w:rPr>
              <w:t>Зоетіс Інк.,</w:t>
            </w:r>
          </w:p>
          <w:p w14:paraId="01951783" w14:textId="62987FAF" w:rsidR="00C81CCE" w:rsidRPr="006C6BAF" w:rsidRDefault="00C81CCE" w:rsidP="00C81CCE">
            <w:pPr>
              <w:jc w:val="both"/>
              <w:rPr>
                <w:bCs/>
                <w:sz w:val="22"/>
                <w:szCs w:val="22"/>
                <w:lang w:val="uk-UA"/>
              </w:rPr>
            </w:pPr>
            <w:r w:rsidRPr="006C6BAF">
              <w:rPr>
                <w:bCs/>
                <w:sz w:val="22"/>
                <w:szCs w:val="22"/>
                <w:lang w:val="uk-UA"/>
              </w:rPr>
              <w:t>10 Сільван Вей, Парсіппані,</w:t>
            </w:r>
          </w:p>
          <w:p w14:paraId="4A19D6C0" w14:textId="4B7F4726" w:rsidR="00C81CCE" w:rsidRPr="006C6BAF" w:rsidRDefault="00C81CCE" w:rsidP="00C81CCE">
            <w:pPr>
              <w:jc w:val="both"/>
              <w:rPr>
                <w:bCs/>
                <w:sz w:val="22"/>
                <w:szCs w:val="22"/>
                <w:lang w:val="uk-UA"/>
              </w:rPr>
            </w:pPr>
            <w:r w:rsidRPr="006C6BAF">
              <w:rPr>
                <w:bCs/>
                <w:sz w:val="22"/>
                <w:szCs w:val="22"/>
                <w:lang w:val="uk-UA"/>
              </w:rPr>
              <w:t>Нью Джерсі</w:t>
            </w:r>
            <w:r w:rsidR="004A6BF1" w:rsidRPr="006C6BAF">
              <w:rPr>
                <w:bCs/>
                <w:sz w:val="22"/>
                <w:szCs w:val="22"/>
                <w:lang w:val="uk-UA"/>
              </w:rPr>
              <w:t>,</w:t>
            </w:r>
            <w:r w:rsidRPr="006C6BAF">
              <w:rPr>
                <w:bCs/>
                <w:sz w:val="22"/>
                <w:szCs w:val="22"/>
                <w:lang w:val="uk-UA"/>
              </w:rPr>
              <w:t xml:space="preserve"> 07054,</w:t>
            </w:r>
          </w:p>
          <w:p w14:paraId="0661ACD3" w14:textId="6C714937" w:rsidR="00C81CCE" w:rsidRPr="006C6BAF" w:rsidRDefault="00C81CCE" w:rsidP="00C81CCE">
            <w:pPr>
              <w:jc w:val="both"/>
              <w:rPr>
                <w:bCs/>
                <w:sz w:val="22"/>
                <w:szCs w:val="22"/>
                <w:lang w:val="uk-UA"/>
              </w:rPr>
            </w:pPr>
            <w:r w:rsidRPr="006C6BAF">
              <w:rPr>
                <w:bCs/>
                <w:sz w:val="22"/>
                <w:szCs w:val="22"/>
                <w:lang w:val="uk-UA"/>
              </w:rPr>
              <w:t>США</w:t>
            </w:r>
          </w:p>
        </w:tc>
        <w:tc>
          <w:tcPr>
            <w:tcW w:w="4673" w:type="dxa"/>
          </w:tcPr>
          <w:p w14:paraId="5990B472" w14:textId="77777777" w:rsidR="00C81CCE" w:rsidRPr="006C6BAF" w:rsidRDefault="00C81CCE" w:rsidP="00C81CCE">
            <w:pPr>
              <w:jc w:val="both"/>
              <w:rPr>
                <w:bCs/>
                <w:sz w:val="22"/>
                <w:szCs w:val="22"/>
                <w:lang w:val="uk-UA"/>
              </w:rPr>
            </w:pPr>
            <w:r w:rsidRPr="006C6BAF">
              <w:rPr>
                <w:bCs/>
                <w:sz w:val="22"/>
                <w:szCs w:val="22"/>
                <w:lang w:val="uk-UA"/>
              </w:rPr>
              <w:t>Zoetis Inc.,</w:t>
            </w:r>
          </w:p>
          <w:p w14:paraId="4336DDA8" w14:textId="77777777" w:rsidR="00C81CCE" w:rsidRPr="006C6BAF" w:rsidRDefault="00C81CCE" w:rsidP="00C81CCE">
            <w:pPr>
              <w:jc w:val="both"/>
              <w:rPr>
                <w:bCs/>
                <w:sz w:val="22"/>
                <w:szCs w:val="22"/>
                <w:lang w:val="uk-UA"/>
              </w:rPr>
            </w:pPr>
            <w:r w:rsidRPr="006C6BAF">
              <w:rPr>
                <w:bCs/>
                <w:sz w:val="22"/>
                <w:szCs w:val="22"/>
                <w:lang w:val="uk-UA"/>
              </w:rPr>
              <w:t xml:space="preserve">10 Sylvan Way, Parsippany, </w:t>
            </w:r>
          </w:p>
          <w:p w14:paraId="4C4043DA" w14:textId="5877E433" w:rsidR="00C81CCE" w:rsidRPr="006C6BAF" w:rsidRDefault="00C81CCE" w:rsidP="00C81CCE">
            <w:pPr>
              <w:jc w:val="both"/>
              <w:rPr>
                <w:bCs/>
                <w:sz w:val="22"/>
                <w:szCs w:val="22"/>
                <w:lang w:val="uk-UA"/>
              </w:rPr>
            </w:pPr>
            <w:r w:rsidRPr="006C6BAF">
              <w:rPr>
                <w:bCs/>
                <w:sz w:val="22"/>
                <w:szCs w:val="22"/>
                <w:lang w:val="uk-UA"/>
              </w:rPr>
              <w:t>New Jersey 07054,</w:t>
            </w:r>
          </w:p>
          <w:p w14:paraId="6C2FBED7" w14:textId="10133761" w:rsidR="00C81CCE" w:rsidRPr="006C6BAF" w:rsidRDefault="00C81CCE" w:rsidP="00C81CCE">
            <w:pPr>
              <w:jc w:val="both"/>
              <w:rPr>
                <w:bCs/>
                <w:sz w:val="22"/>
                <w:szCs w:val="22"/>
                <w:lang w:val="uk-UA"/>
              </w:rPr>
            </w:pPr>
            <w:r w:rsidRPr="006C6BAF">
              <w:rPr>
                <w:bCs/>
                <w:sz w:val="22"/>
                <w:szCs w:val="22"/>
                <w:lang w:val="uk-UA"/>
              </w:rPr>
              <w:t>USA</w:t>
            </w:r>
          </w:p>
        </w:tc>
      </w:tr>
    </w:tbl>
    <w:p w14:paraId="30388599" w14:textId="4608CCFC" w:rsidR="00C81CCE" w:rsidRPr="006C6BAF" w:rsidRDefault="00C81CCE" w:rsidP="00534A59">
      <w:pPr>
        <w:pStyle w:val="a6"/>
        <w:numPr>
          <w:ilvl w:val="0"/>
          <w:numId w:val="3"/>
        </w:numPr>
        <w:jc w:val="both"/>
        <w:rPr>
          <w:b/>
          <w:sz w:val="22"/>
          <w:szCs w:val="22"/>
          <w:lang w:val="uk-UA"/>
        </w:rPr>
      </w:pPr>
      <w:r w:rsidRPr="006C6BAF">
        <w:rPr>
          <w:b/>
          <w:sz w:val="22"/>
          <w:szCs w:val="22"/>
          <w:lang w:val="uk-UA"/>
        </w:rPr>
        <w:t>Назва та місцезнаходження виробника (виробників)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2"/>
        <w:gridCol w:w="4673"/>
      </w:tblGrid>
      <w:tr w:rsidR="00534A59" w:rsidRPr="004B2635" w14:paraId="5142B00A" w14:textId="77777777" w:rsidTr="00375B75">
        <w:trPr>
          <w:trHeight w:val="1008"/>
        </w:trPr>
        <w:tc>
          <w:tcPr>
            <w:tcW w:w="4672" w:type="dxa"/>
          </w:tcPr>
          <w:p w14:paraId="22FAC490" w14:textId="367FB81C" w:rsidR="00375B75" w:rsidRPr="006C6BAF" w:rsidRDefault="00375B75" w:rsidP="00375B75">
            <w:pPr>
              <w:jc w:val="both"/>
              <w:rPr>
                <w:bCs/>
                <w:sz w:val="22"/>
                <w:szCs w:val="22"/>
                <w:lang w:val="uk-UA"/>
              </w:rPr>
            </w:pPr>
            <w:r w:rsidRPr="006C6BAF">
              <w:rPr>
                <w:bCs/>
                <w:sz w:val="22"/>
                <w:szCs w:val="22"/>
                <w:lang w:val="uk-UA"/>
              </w:rPr>
              <w:t>Корден Фарма ГмбХ,</w:t>
            </w:r>
          </w:p>
          <w:p w14:paraId="5B934A1A" w14:textId="18675E0C" w:rsidR="00534A59" w:rsidRPr="006C6BAF" w:rsidRDefault="00375B75" w:rsidP="00375B75">
            <w:pPr>
              <w:rPr>
                <w:bCs/>
                <w:sz w:val="22"/>
                <w:szCs w:val="22"/>
                <w:lang w:val="uk-UA"/>
              </w:rPr>
            </w:pPr>
            <w:r w:rsidRPr="006C6BAF">
              <w:rPr>
                <w:bCs/>
                <w:sz w:val="22"/>
                <w:szCs w:val="22"/>
                <w:lang w:val="uk-UA"/>
              </w:rPr>
              <w:t>Отто-Гахн-Стр., Планкстадт, Баден-Вуртемберг, 68723, Німеччина</w:t>
            </w:r>
          </w:p>
        </w:tc>
        <w:tc>
          <w:tcPr>
            <w:tcW w:w="4673" w:type="dxa"/>
          </w:tcPr>
          <w:p w14:paraId="745FD74E" w14:textId="77777777" w:rsidR="00375B75" w:rsidRPr="006C6BAF" w:rsidRDefault="00375B75" w:rsidP="00375B75">
            <w:pPr>
              <w:jc w:val="both"/>
              <w:rPr>
                <w:bCs/>
                <w:sz w:val="22"/>
                <w:szCs w:val="22"/>
                <w:lang w:val="uk-UA"/>
              </w:rPr>
            </w:pPr>
            <w:r w:rsidRPr="006C6BAF">
              <w:rPr>
                <w:bCs/>
                <w:sz w:val="22"/>
                <w:szCs w:val="22"/>
                <w:lang w:val="uk-UA"/>
              </w:rPr>
              <w:t>Corden Pharma GmbH,</w:t>
            </w:r>
          </w:p>
          <w:p w14:paraId="286F4F51" w14:textId="1BD3CF23" w:rsidR="00534A59" w:rsidRPr="006C6BAF" w:rsidRDefault="00375B75" w:rsidP="00375B75">
            <w:pPr>
              <w:jc w:val="both"/>
              <w:rPr>
                <w:bCs/>
                <w:sz w:val="22"/>
                <w:szCs w:val="22"/>
                <w:lang w:val="uk-UA"/>
              </w:rPr>
            </w:pPr>
            <w:r w:rsidRPr="006C6BAF">
              <w:rPr>
                <w:bCs/>
                <w:sz w:val="22"/>
                <w:szCs w:val="22"/>
                <w:lang w:val="uk-UA"/>
              </w:rPr>
              <w:t>Otto-Hahn-Str., Plankstadt, Baden-Wuerttemberg, 68732, Germany</w:t>
            </w:r>
          </w:p>
        </w:tc>
      </w:tr>
      <w:tr w:rsidR="00375B75" w:rsidRPr="00077D93" w14:paraId="6B27820F" w14:textId="77777777" w:rsidTr="000C6167">
        <w:tc>
          <w:tcPr>
            <w:tcW w:w="4672" w:type="dxa"/>
          </w:tcPr>
          <w:p w14:paraId="21CD2DDD" w14:textId="55C65498" w:rsidR="00375B75" w:rsidRPr="006C6BAF" w:rsidRDefault="00375B75" w:rsidP="00375B75">
            <w:pPr>
              <w:jc w:val="both"/>
              <w:rPr>
                <w:bCs/>
                <w:sz w:val="22"/>
                <w:szCs w:val="22"/>
                <w:lang w:val="uk-UA"/>
              </w:rPr>
            </w:pPr>
            <w:r w:rsidRPr="006C6BAF">
              <w:rPr>
                <w:bCs/>
                <w:sz w:val="22"/>
                <w:szCs w:val="22"/>
                <w:lang w:val="uk-UA"/>
              </w:rPr>
              <w:t>Зоетіс Інк.,</w:t>
            </w:r>
            <w:r w:rsidR="00DB2F9D" w:rsidRPr="006C6BAF">
              <w:rPr>
                <w:bCs/>
                <w:sz w:val="22"/>
                <w:szCs w:val="22"/>
                <w:lang w:val="uk-UA"/>
              </w:rPr>
              <w:t xml:space="preserve"> 2605 Іст Кілгор Роад,</w:t>
            </w:r>
          </w:p>
          <w:p w14:paraId="5FB3262C" w14:textId="0AC29445" w:rsidR="00375B75" w:rsidRPr="006C6BAF" w:rsidRDefault="00DB2F9D" w:rsidP="00DB2F9D">
            <w:pPr>
              <w:jc w:val="both"/>
              <w:rPr>
                <w:bCs/>
                <w:sz w:val="22"/>
                <w:szCs w:val="22"/>
                <w:lang w:val="uk-UA"/>
              </w:rPr>
            </w:pPr>
            <w:r w:rsidRPr="006C6BAF">
              <w:rPr>
                <w:bCs/>
                <w:sz w:val="22"/>
                <w:szCs w:val="22"/>
                <w:lang w:val="uk-UA"/>
              </w:rPr>
              <w:t>Каламазу, МІ, 49001-5505,</w:t>
            </w:r>
          </w:p>
          <w:p w14:paraId="25821EA4" w14:textId="76CC5B9E" w:rsidR="00375B75" w:rsidRPr="006C6BAF" w:rsidRDefault="00375B75" w:rsidP="00375B75">
            <w:pPr>
              <w:jc w:val="both"/>
              <w:rPr>
                <w:bCs/>
                <w:sz w:val="22"/>
                <w:szCs w:val="22"/>
                <w:lang w:val="uk-UA"/>
              </w:rPr>
            </w:pPr>
            <w:r w:rsidRPr="006C6BAF">
              <w:rPr>
                <w:bCs/>
                <w:sz w:val="22"/>
                <w:szCs w:val="22"/>
                <w:lang w:val="uk-UA"/>
              </w:rPr>
              <w:t>США</w:t>
            </w:r>
          </w:p>
        </w:tc>
        <w:tc>
          <w:tcPr>
            <w:tcW w:w="4673" w:type="dxa"/>
          </w:tcPr>
          <w:p w14:paraId="357A86E6" w14:textId="77777777" w:rsidR="00375B75" w:rsidRPr="006C6BAF" w:rsidRDefault="00DB2F9D" w:rsidP="00375B75">
            <w:pPr>
              <w:jc w:val="both"/>
              <w:rPr>
                <w:bCs/>
                <w:sz w:val="22"/>
                <w:szCs w:val="22"/>
                <w:lang w:val="uk-UA"/>
              </w:rPr>
            </w:pPr>
            <w:r w:rsidRPr="006C6BAF">
              <w:rPr>
                <w:bCs/>
                <w:sz w:val="22"/>
                <w:szCs w:val="22"/>
                <w:lang w:val="uk-UA"/>
              </w:rPr>
              <w:t>Zoetis Inc., 2605 East Kilgore Road,</w:t>
            </w:r>
          </w:p>
          <w:p w14:paraId="0D574A89" w14:textId="77777777" w:rsidR="00DB2F9D" w:rsidRPr="006C6BAF" w:rsidRDefault="00DB2F9D" w:rsidP="00375B75">
            <w:pPr>
              <w:jc w:val="both"/>
              <w:rPr>
                <w:bCs/>
                <w:sz w:val="22"/>
                <w:szCs w:val="22"/>
                <w:lang w:val="uk-UA"/>
              </w:rPr>
            </w:pPr>
            <w:r w:rsidRPr="006C6BAF">
              <w:rPr>
                <w:bCs/>
                <w:sz w:val="22"/>
                <w:szCs w:val="22"/>
                <w:lang w:val="uk-UA"/>
              </w:rPr>
              <w:t>Kalamazoo, MI, 49001-5505,</w:t>
            </w:r>
          </w:p>
          <w:p w14:paraId="0BDE531F" w14:textId="7BB3AA71" w:rsidR="00DB2F9D" w:rsidRPr="00077D93" w:rsidRDefault="00DB2F9D" w:rsidP="00375B75">
            <w:pPr>
              <w:jc w:val="both"/>
              <w:rPr>
                <w:bCs/>
                <w:sz w:val="22"/>
                <w:szCs w:val="22"/>
                <w:lang w:val="uk-UA"/>
              </w:rPr>
            </w:pPr>
            <w:r w:rsidRPr="006C6BAF">
              <w:rPr>
                <w:bCs/>
                <w:sz w:val="22"/>
                <w:szCs w:val="22"/>
                <w:lang w:val="uk-UA"/>
              </w:rPr>
              <w:t>USA</w:t>
            </w:r>
          </w:p>
        </w:tc>
      </w:tr>
    </w:tbl>
    <w:p w14:paraId="641D966B" w14:textId="77777777" w:rsidR="005F5D16" w:rsidRPr="00077D93" w:rsidRDefault="005F5D16" w:rsidP="00A5004A">
      <w:pPr>
        <w:jc w:val="both"/>
        <w:rPr>
          <w:bCs/>
          <w:sz w:val="22"/>
          <w:szCs w:val="22"/>
          <w:lang w:val="uk-UA"/>
        </w:rPr>
      </w:pPr>
    </w:p>
    <w:sectPr w:rsidR="005F5D16" w:rsidRPr="00077D93" w:rsidSect="00917CF4">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CA349" w14:textId="77777777" w:rsidR="00E11C2B" w:rsidRDefault="00E11C2B" w:rsidP="0022542B">
      <w:r>
        <w:separator/>
      </w:r>
    </w:p>
  </w:endnote>
  <w:endnote w:type="continuationSeparator" w:id="0">
    <w:p w14:paraId="2C4DEDB1" w14:textId="77777777" w:rsidR="00E11C2B" w:rsidRDefault="00E11C2B" w:rsidP="0022542B">
      <w:r>
        <w:continuationSeparator/>
      </w:r>
    </w:p>
  </w:endnote>
  <w:endnote w:type="continuationNotice" w:id="1">
    <w:p w14:paraId="745DD088" w14:textId="77777777" w:rsidR="00E11C2B" w:rsidRDefault="00E11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4BC4" w14:textId="6AD528E5" w:rsidR="007A0277" w:rsidRPr="00031B82" w:rsidRDefault="007A0277" w:rsidP="00555DF6">
    <w:pPr>
      <w:pStyle w:val="a9"/>
      <w:tabs>
        <w:tab w:val="clear" w:pos="4677"/>
        <w:tab w:val="clear" w:pos="9355"/>
      </w:tabs>
      <w:jc w:val="center"/>
      <w:rPr>
        <w:sz w:val="20"/>
        <w:szCs w:val="20"/>
      </w:rPr>
    </w:pPr>
    <w:r w:rsidRPr="00031B82">
      <w:rPr>
        <w:caps/>
        <w:sz w:val="20"/>
        <w:szCs w:val="20"/>
      </w:rPr>
      <w:fldChar w:fldCharType="begin"/>
    </w:r>
    <w:r w:rsidRPr="00031B82">
      <w:rPr>
        <w:caps/>
        <w:sz w:val="20"/>
        <w:szCs w:val="20"/>
      </w:rPr>
      <w:instrText xml:space="preserve"> PAGE   \* MERGEFORMAT </w:instrText>
    </w:r>
    <w:r w:rsidRPr="00031B82">
      <w:rPr>
        <w:caps/>
        <w:sz w:val="20"/>
        <w:szCs w:val="20"/>
      </w:rPr>
      <w:fldChar w:fldCharType="separate"/>
    </w:r>
    <w:r w:rsidR="004B2635">
      <w:rPr>
        <w:caps/>
        <w:noProof/>
        <w:sz w:val="20"/>
        <w:szCs w:val="20"/>
      </w:rPr>
      <w:t>5</w:t>
    </w:r>
    <w:r w:rsidRPr="00031B82">
      <w:rPr>
        <w:cap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DD5AF" w14:textId="2E9EAC4B" w:rsidR="007A0277" w:rsidRPr="00555DF6" w:rsidRDefault="007A0277">
    <w:pPr>
      <w:pStyle w:val="a9"/>
      <w:tabs>
        <w:tab w:val="clear" w:pos="4677"/>
        <w:tab w:val="clear" w:pos="9355"/>
      </w:tabs>
      <w:jc w:val="center"/>
      <w:rPr>
        <w:caps/>
        <w:noProof/>
      </w:rPr>
    </w:pPr>
    <w:r w:rsidRPr="00555DF6">
      <w:rPr>
        <w:caps/>
      </w:rPr>
      <w:fldChar w:fldCharType="begin"/>
    </w:r>
    <w:r w:rsidRPr="00555DF6">
      <w:rPr>
        <w:caps/>
      </w:rPr>
      <w:instrText xml:space="preserve"> PAGE   \* MERGEFORMAT </w:instrText>
    </w:r>
    <w:r w:rsidRPr="00555DF6">
      <w:rPr>
        <w:caps/>
      </w:rPr>
      <w:fldChar w:fldCharType="separate"/>
    </w:r>
    <w:r w:rsidR="004B2635">
      <w:rPr>
        <w:caps/>
        <w:noProof/>
      </w:rPr>
      <w:t>1</w:t>
    </w:r>
    <w:r w:rsidRPr="00555DF6">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516F" w14:textId="77777777" w:rsidR="00E11C2B" w:rsidRDefault="00E11C2B" w:rsidP="0022542B">
      <w:r>
        <w:separator/>
      </w:r>
    </w:p>
  </w:footnote>
  <w:footnote w:type="continuationSeparator" w:id="0">
    <w:p w14:paraId="765CD3A1" w14:textId="77777777" w:rsidR="00E11C2B" w:rsidRDefault="00E11C2B" w:rsidP="0022542B">
      <w:r>
        <w:continuationSeparator/>
      </w:r>
    </w:p>
  </w:footnote>
  <w:footnote w:type="continuationNotice" w:id="1">
    <w:p w14:paraId="5B5AC216" w14:textId="77777777" w:rsidR="00E11C2B" w:rsidRDefault="00E11C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0AC0" w14:textId="45F5E370" w:rsidR="007A0277" w:rsidRDefault="007A0277" w:rsidP="005740BD">
    <w:pPr>
      <w:pStyle w:val="a7"/>
      <w:ind w:left="4678"/>
      <w:jc w:val="right"/>
      <w:rPr>
        <w:lang w:val="uk-UA"/>
      </w:rPr>
    </w:pPr>
    <w:r>
      <w:rPr>
        <w:lang w:val="uk-UA"/>
      </w:rPr>
      <w:t>Продовження додатку 1</w:t>
    </w:r>
  </w:p>
  <w:p w14:paraId="2A170F79" w14:textId="2533F106" w:rsidR="007A0277" w:rsidRDefault="005740BD" w:rsidP="005740BD">
    <w:pPr>
      <w:pStyle w:val="a7"/>
      <w:tabs>
        <w:tab w:val="clear" w:pos="4677"/>
        <w:tab w:val="center" w:pos="4253"/>
      </w:tabs>
      <w:ind w:left="4253"/>
      <w:jc w:val="right"/>
      <w:rPr>
        <w:lang w:val="uk-UA"/>
      </w:rPr>
    </w:pPr>
    <w:r>
      <w:rPr>
        <w:lang w:val="uk-UA"/>
      </w:rPr>
      <w:t xml:space="preserve">до реєстраційного посвідчення </w:t>
    </w:r>
    <w:r w:rsidR="007A0277">
      <w:rPr>
        <w:lang w:val="uk-UA"/>
      </w:rPr>
      <w:t>АА-0</w:t>
    </w:r>
    <w:r w:rsidR="007A0277" w:rsidRPr="00EA1102">
      <w:t>9875</w:t>
    </w:r>
    <w:r w:rsidR="007A0277">
      <w:rPr>
        <w:lang w:val="uk-UA"/>
      </w:rPr>
      <w:t>-0</w:t>
    </w:r>
    <w:r w:rsidR="007A0277" w:rsidRPr="00EA1102">
      <w:t>1</w:t>
    </w:r>
    <w:r w:rsidR="007A0277">
      <w:rPr>
        <w:lang w:val="uk-UA"/>
      </w:rPr>
      <w:t>-</w:t>
    </w:r>
    <w:r w:rsidR="007A0277" w:rsidRPr="00EA1102">
      <w:t>25</w:t>
    </w:r>
  </w:p>
  <w:p w14:paraId="3119BBB7" w14:textId="77777777" w:rsidR="007A0277" w:rsidRPr="00EA1102" w:rsidRDefault="007A0277" w:rsidP="00917CF4">
    <w:pPr>
      <w:pStyle w:val="a7"/>
      <w:ind w:left="6120"/>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12FA" w14:textId="77777777" w:rsidR="007A0277" w:rsidRDefault="007A0277" w:rsidP="005740BD">
    <w:pPr>
      <w:pStyle w:val="a7"/>
      <w:ind w:left="6120"/>
      <w:jc w:val="right"/>
      <w:rPr>
        <w:lang w:val="uk-UA"/>
      </w:rPr>
    </w:pPr>
    <w:r>
      <w:rPr>
        <w:lang w:val="uk-UA"/>
      </w:rPr>
      <w:t>Додаток 1</w:t>
    </w:r>
  </w:p>
  <w:p w14:paraId="16ED5A5C" w14:textId="2F113349" w:rsidR="007A0277" w:rsidRPr="00EA1102" w:rsidRDefault="007A0277" w:rsidP="005740BD">
    <w:pPr>
      <w:pStyle w:val="a7"/>
      <w:tabs>
        <w:tab w:val="clear" w:pos="4677"/>
        <w:tab w:val="center" w:pos="3969"/>
      </w:tabs>
      <w:ind w:left="4111"/>
      <w:jc w:val="right"/>
      <w:rPr>
        <w:lang w:val="uk-UA"/>
      </w:rPr>
    </w:pPr>
    <w:r>
      <w:rPr>
        <w:lang w:val="uk-UA"/>
      </w:rPr>
      <w:t>до реєстраційного посвідчення АА-</w:t>
    </w:r>
    <w:r w:rsidRPr="00917CF4">
      <w:rPr>
        <w:lang w:val="uk-UA"/>
      </w:rPr>
      <w:t>09449-01-21</w:t>
    </w:r>
  </w:p>
  <w:p w14:paraId="4E406540" w14:textId="77777777" w:rsidR="007A0277" w:rsidRDefault="007A027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4540"/>
    <w:multiLevelType w:val="hybridMultilevel"/>
    <w:tmpl w:val="B2A29A68"/>
    <w:lvl w:ilvl="0" w:tplc="1EC6FBC4">
      <w:start w:val="1"/>
      <w:numFmt w:val="decimal"/>
      <w:lvlText w:val="%1."/>
      <w:lvlJc w:val="left"/>
      <w:pPr>
        <w:ind w:left="927" w:hanging="360"/>
      </w:pPr>
      <w:rPr>
        <w:rFonts w:hint="default"/>
        <w:b/>
        <w:bCs w:val="0"/>
      </w:rPr>
    </w:lvl>
    <w:lvl w:ilvl="1" w:tplc="D9E496D6">
      <w:start w:val="1"/>
      <w:numFmt w:val="decimal"/>
      <w:lvlText w:val="5.%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FD7CEF"/>
    <w:multiLevelType w:val="hybridMultilevel"/>
    <w:tmpl w:val="6368255A"/>
    <w:lvl w:ilvl="0" w:tplc="8FC61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32375"/>
    <w:multiLevelType w:val="hybridMultilevel"/>
    <w:tmpl w:val="F760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6763C"/>
    <w:multiLevelType w:val="hybridMultilevel"/>
    <w:tmpl w:val="FEC8F8D2"/>
    <w:lvl w:ilvl="0" w:tplc="7348EB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40C6471"/>
    <w:multiLevelType w:val="hybridMultilevel"/>
    <w:tmpl w:val="6448A2C6"/>
    <w:lvl w:ilvl="0" w:tplc="8FC618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502757"/>
    <w:multiLevelType w:val="hybridMultilevel"/>
    <w:tmpl w:val="FE9A16E6"/>
    <w:lvl w:ilvl="0" w:tplc="8FC61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573A1"/>
    <w:multiLevelType w:val="hybridMultilevel"/>
    <w:tmpl w:val="93746C3E"/>
    <w:lvl w:ilvl="0" w:tplc="442828D2">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C0"/>
    <w:rsid w:val="00002A3D"/>
    <w:rsid w:val="000034F9"/>
    <w:rsid w:val="00031B82"/>
    <w:rsid w:val="000427BD"/>
    <w:rsid w:val="00055E1D"/>
    <w:rsid w:val="00073B92"/>
    <w:rsid w:val="00077D93"/>
    <w:rsid w:val="000852DE"/>
    <w:rsid w:val="00090094"/>
    <w:rsid w:val="00097324"/>
    <w:rsid w:val="000A3751"/>
    <w:rsid w:val="000B2521"/>
    <w:rsid w:val="000C6167"/>
    <w:rsid w:val="000D20B3"/>
    <w:rsid w:val="000D2477"/>
    <w:rsid w:val="000D345D"/>
    <w:rsid w:val="000E2324"/>
    <w:rsid w:val="000F1DBF"/>
    <w:rsid w:val="000F3410"/>
    <w:rsid w:val="00111805"/>
    <w:rsid w:val="001119E0"/>
    <w:rsid w:val="00123C96"/>
    <w:rsid w:val="0015465B"/>
    <w:rsid w:val="001626DA"/>
    <w:rsid w:val="00192351"/>
    <w:rsid w:val="001B0436"/>
    <w:rsid w:val="001B0CF2"/>
    <w:rsid w:val="001C12A8"/>
    <w:rsid w:val="001C2A7C"/>
    <w:rsid w:val="001D24BF"/>
    <w:rsid w:val="001D2C7C"/>
    <w:rsid w:val="001D518F"/>
    <w:rsid w:val="001F1D1B"/>
    <w:rsid w:val="001F4A8C"/>
    <w:rsid w:val="001F7F79"/>
    <w:rsid w:val="0022542B"/>
    <w:rsid w:val="00236913"/>
    <w:rsid w:val="00245AA0"/>
    <w:rsid w:val="00294FB5"/>
    <w:rsid w:val="00296540"/>
    <w:rsid w:val="002A536E"/>
    <w:rsid w:val="002B274B"/>
    <w:rsid w:val="002D5BDA"/>
    <w:rsid w:val="002D5D1B"/>
    <w:rsid w:val="002E636D"/>
    <w:rsid w:val="003132DD"/>
    <w:rsid w:val="00345E78"/>
    <w:rsid w:val="00347DA1"/>
    <w:rsid w:val="00352A15"/>
    <w:rsid w:val="00354A0A"/>
    <w:rsid w:val="0035616B"/>
    <w:rsid w:val="003600CC"/>
    <w:rsid w:val="00375B75"/>
    <w:rsid w:val="00376664"/>
    <w:rsid w:val="003C742F"/>
    <w:rsid w:val="003D1062"/>
    <w:rsid w:val="003F0066"/>
    <w:rsid w:val="003F6A79"/>
    <w:rsid w:val="0041047E"/>
    <w:rsid w:val="0042077F"/>
    <w:rsid w:val="00423897"/>
    <w:rsid w:val="00432301"/>
    <w:rsid w:val="00461AB4"/>
    <w:rsid w:val="004661E9"/>
    <w:rsid w:val="00466271"/>
    <w:rsid w:val="0047106A"/>
    <w:rsid w:val="00475D00"/>
    <w:rsid w:val="00475ED3"/>
    <w:rsid w:val="00477641"/>
    <w:rsid w:val="00484211"/>
    <w:rsid w:val="004A6BF1"/>
    <w:rsid w:val="004B2635"/>
    <w:rsid w:val="004C0B08"/>
    <w:rsid w:val="004C5FD6"/>
    <w:rsid w:val="004C67CE"/>
    <w:rsid w:val="004D3877"/>
    <w:rsid w:val="004D3A8E"/>
    <w:rsid w:val="004E53F4"/>
    <w:rsid w:val="004F795B"/>
    <w:rsid w:val="00501633"/>
    <w:rsid w:val="005073B8"/>
    <w:rsid w:val="00524540"/>
    <w:rsid w:val="00526A26"/>
    <w:rsid w:val="00534A59"/>
    <w:rsid w:val="00553CC0"/>
    <w:rsid w:val="00555DF6"/>
    <w:rsid w:val="00556844"/>
    <w:rsid w:val="005740BD"/>
    <w:rsid w:val="005A0D1D"/>
    <w:rsid w:val="005A133B"/>
    <w:rsid w:val="005B6854"/>
    <w:rsid w:val="005C11F0"/>
    <w:rsid w:val="005D37C0"/>
    <w:rsid w:val="005E6AAA"/>
    <w:rsid w:val="005F5D16"/>
    <w:rsid w:val="00604582"/>
    <w:rsid w:val="0060675C"/>
    <w:rsid w:val="00617ABB"/>
    <w:rsid w:val="006329DF"/>
    <w:rsid w:val="00646FE7"/>
    <w:rsid w:val="00657F77"/>
    <w:rsid w:val="00660CE6"/>
    <w:rsid w:val="00681BD5"/>
    <w:rsid w:val="006A398B"/>
    <w:rsid w:val="006C6BAF"/>
    <w:rsid w:val="006C7A82"/>
    <w:rsid w:val="006D1650"/>
    <w:rsid w:val="006D435C"/>
    <w:rsid w:val="006E04B5"/>
    <w:rsid w:val="006E227C"/>
    <w:rsid w:val="00701813"/>
    <w:rsid w:val="00702E71"/>
    <w:rsid w:val="007040AF"/>
    <w:rsid w:val="0070540F"/>
    <w:rsid w:val="00717D71"/>
    <w:rsid w:val="0072309E"/>
    <w:rsid w:val="00723FAB"/>
    <w:rsid w:val="00733A6F"/>
    <w:rsid w:val="00747533"/>
    <w:rsid w:val="00751FC0"/>
    <w:rsid w:val="007617AE"/>
    <w:rsid w:val="00762138"/>
    <w:rsid w:val="00762D6F"/>
    <w:rsid w:val="007635B1"/>
    <w:rsid w:val="0076749E"/>
    <w:rsid w:val="00777747"/>
    <w:rsid w:val="007829E3"/>
    <w:rsid w:val="007A0277"/>
    <w:rsid w:val="007A3267"/>
    <w:rsid w:val="007B13BB"/>
    <w:rsid w:val="007B4057"/>
    <w:rsid w:val="007C380E"/>
    <w:rsid w:val="007D5276"/>
    <w:rsid w:val="007E217D"/>
    <w:rsid w:val="007E3DDE"/>
    <w:rsid w:val="00801E05"/>
    <w:rsid w:val="00803643"/>
    <w:rsid w:val="008102DA"/>
    <w:rsid w:val="00822472"/>
    <w:rsid w:val="00847D4F"/>
    <w:rsid w:val="008648F3"/>
    <w:rsid w:val="00881DDB"/>
    <w:rsid w:val="00890B90"/>
    <w:rsid w:val="008960AE"/>
    <w:rsid w:val="008A7316"/>
    <w:rsid w:val="008A7B53"/>
    <w:rsid w:val="008C3A53"/>
    <w:rsid w:val="008C79F3"/>
    <w:rsid w:val="008D39FA"/>
    <w:rsid w:val="008D6392"/>
    <w:rsid w:val="008E02BA"/>
    <w:rsid w:val="00905D92"/>
    <w:rsid w:val="00910884"/>
    <w:rsid w:val="00910C70"/>
    <w:rsid w:val="00917CF4"/>
    <w:rsid w:val="00933A52"/>
    <w:rsid w:val="00935186"/>
    <w:rsid w:val="00943874"/>
    <w:rsid w:val="00946363"/>
    <w:rsid w:val="00946C45"/>
    <w:rsid w:val="0096603B"/>
    <w:rsid w:val="00984E25"/>
    <w:rsid w:val="009924D1"/>
    <w:rsid w:val="009A0C35"/>
    <w:rsid w:val="009B13D8"/>
    <w:rsid w:val="009C383F"/>
    <w:rsid w:val="009D632A"/>
    <w:rsid w:val="009E7229"/>
    <w:rsid w:val="00A31EF7"/>
    <w:rsid w:val="00A35874"/>
    <w:rsid w:val="00A402B3"/>
    <w:rsid w:val="00A5004A"/>
    <w:rsid w:val="00A5255B"/>
    <w:rsid w:val="00A526A9"/>
    <w:rsid w:val="00A57D50"/>
    <w:rsid w:val="00A768F6"/>
    <w:rsid w:val="00AB3E87"/>
    <w:rsid w:val="00AC1368"/>
    <w:rsid w:val="00AC2A5D"/>
    <w:rsid w:val="00AC79BC"/>
    <w:rsid w:val="00AD3C32"/>
    <w:rsid w:val="00AD5FDE"/>
    <w:rsid w:val="00AD7629"/>
    <w:rsid w:val="00B06D0F"/>
    <w:rsid w:val="00B1360E"/>
    <w:rsid w:val="00B26318"/>
    <w:rsid w:val="00B30D7B"/>
    <w:rsid w:val="00B326EC"/>
    <w:rsid w:val="00B3455D"/>
    <w:rsid w:val="00B543E4"/>
    <w:rsid w:val="00B54961"/>
    <w:rsid w:val="00B56BFF"/>
    <w:rsid w:val="00B6159B"/>
    <w:rsid w:val="00B63A67"/>
    <w:rsid w:val="00B66CFE"/>
    <w:rsid w:val="00B7564F"/>
    <w:rsid w:val="00B86F5D"/>
    <w:rsid w:val="00B94690"/>
    <w:rsid w:val="00BB1383"/>
    <w:rsid w:val="00BB3858"/>
    <w:rsid w:val="00BB6793"/>
    <w:rsid w:val="00BB6D4E"/>
    <w:rsid w:val="00BC0E93"/>
    <w:rsid w:val="00BC1A28"/>
    <w:rsid w:val="00BD044A"/>
    <w:rsid w:val="00C14A88"/>
    <w:rsid w:val="00C175F9"/>
    <w:rsid w:val="00C220C6"/>
    <w:rsid w:val="00C35F83"/>
    <w:rsid w:val="00C369A0"/>
    <w:rsid w:val="00C37624"/>
    <w:rsid w:val="00C4526F"/>
    <w:rsid w:val="00C4772E"/>
    <w:rsid w:val="00C515A9"/>
    <w:rsid w:val="00C81A6A"/>
    <w:rsid w:val="00C81CCE"/>
    <w:rsid w:val="00C8747C"/>
    <w:rsid w:val="00C94F8A"/>
    <w:rsid w:val="00C96B40"/>
    <w:rsid w:val="00CC2EC2"/>
    <w:rsid w:val="00CD664C"/>
    <w:rsid w:val="00CD6DAA"/>
    <w:rsid w:val="00CF595A"/>
    <w:rsid w:val="00D0380A"/>
    <w:rsid w:val="00D03F63"/>
    <w:rsid w:val="00D2325F"/>
    <w:rsid w:val="00D54E39"/>
    <w:rsid w:val="00D56EB3"/>
    <w:rsid w:val="00D815FA"/>
    <w:rsid w:val="00D82E26"/>
    <w:rsid w:val="00D86653"/>
    <w:rsid w:val="00DB2F9D"/>
    <w:rsid w:val="00DC651E"/>
    <w:rsid w:val="00DD6389"/>
    <w:rsid w:val="00DD726B"/>
    <w:rsid w:val="00DE06FA"/>
    <w:rsid w:val="00DE13DD"/>
    <w:rsid w:val="00DF6C7C"/>
    <w:rsid w:val="00E11C2B"/>
    <w:rsid w:val="00E14AA6"/>
    <w:rsid w:val="00E15582"/>
    <w:rsid w:val="00E23309"/>
    <w:rsid w:val="00E31278"/>
    <w:rsid w:val="00E4108A"/>
    <w:rsid w:val="00E4339A"/>
    <w:rsid w:val="00E458C6"/>
    <w:rsid w:val="00E569FE"/>
    <w:rsid w:val="00E80932"/>
    <w:rsid w:val="00E8375F"/>
    <w:rsid w:val="00E843BA"/>
    <w:rsid w:val="00E9519D"/>
    <w:rsid w:val="00EB0BA0"/>
    <w:rsid w:val="00EC472C"/>
    <w:rsid w:val="00EC4BAF"/>
    <w:rsid w:val="00F21CE9"/>
    <w:rsid w:val="00F27455"/>
    <w:rsid w:val="00F30981"/>
    <w:rsid w:val="00F34AE0"/>
    <w:rsid w:val="00F5185C"/>
    <w:rsid w:val="00F57B74"/>
    <w:rsid w:val="00F66282"/>
    <w:rsid w:val="00F8074F"/>
    <w:rsid w:val="00F851B0"/>
    <w:rsid w:val="00F86261"/>
    <w:rsid w:val="00F93123"/>
    <w:rsid w:val="00FA51BF"/>
    <w:rsid w:val="00FC6FF4"/>
    <w:rsid w:val="00FD6D3A"/>
    <w:rsid w:val="00FE6E0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AC484"/>
  <w15:docId w15:val="{58619953-DF8A-4BD7-988D-21E0C42B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4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F2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F27455"/>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F595A"/>
    <w:rPr>
      <w:rFonts w:ascii="Tahoma" w:hAnsi="Tahoma" w:cs="Tahoma"/>
      <w:sz w:val="16"/>
      <w:szCs w:val="16"/>
    </w:rPr>
  </w:style>
  <w:style w:type="character" w:customStyle="1" w:styleId="a5">
    <w:name w:val="Текст у виносці Знак"/>
    <w:basedOn w:val="a0"/>
    <w:link w:val="a4"/>
    <w:uiPriority w:val="99"/>
    <w:semiHidden/>
    <w:rsid w:val="00CF595A"/>
    <w:rPr>
      <w:rFonts w:ascii="Tahoma" w:eastAsia="Times New Roman" w:hAnsi="Tahoma" w:cs="Tahoma"/>
      <w:sz w:val="16"/>
      <w:szCs w:val="16"/>
      <w:lang w:eastAsia="ru-RU"/>
    </w:rPr>
  </w:style>
  <w:style w:type="character" w:customStyle="1" w:styleId="2">
    <w:name w:val="Основной текст (2)_"/>
    <w:basedOn w:val="a0"/>
    <w:link w:val="20"/>
    <w:rsid w:val="009A0C35"/>
    <w:rPr>
      <w:rFonts w:ascii="Times New Roman" w:eastAsia="Times New Roman" w:hAnsi="Times New Roman" w:cs="Times New Roman"/>
      <w:sz w:val="21"/>
      <w:szCs w:val="21"/>
      <w:shd w:val="clear" w:color="auto" w:fill="FFFFFF"/>
    </w:rPr>
  </w:style>
  <w:style w:type="paragraph" w:customStyle="1" w:styleId="20">
    <w:name w:val="Основной текст (2)"/>
    <w:basedOn w:val="a"/>
    <w:link w:val="2"/>
    <w:rsid w:val="009A0C35"/>
    <w:pPr>
      <w:widowControl w:val="0"/>
      <w:shd w:val="clear" w:color="auto" w:fill="FFFFFF"/>
      <w:spacing w:before="240" w:after="480" w:line="240" w:lineRule="exact"/>
      <w:jc w:val="both"/>
    </w:pPr>
    <w:rPr>
      <w:sz w:val="21"/>
      <w:szCs w:val="21"/>
      <w:lang w:eastAsia="en-US"/>
    </w:rPr>
  </w:style>
  <w:style w:type="character" w:customStyle="1" w:styleId="21">
    <w:name w:val="Основной текст (2) + Курсив"/>
    <w:basedOn w:val="2"/>
    <w:rsid w:val="00BD044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paragraph" w:styleId="a6">
    <w:name w:val="List Paragraph"/>
    <w:basedOn w:val="a"/>
    <w:uiPriority w:val="34"/>
    <w:qFormat/>
    <w:rsid w:val="005073B8"/>
    <w:pPr>
      <w:ind w:left="720"/>
      <w:contextualSpacing/>
    </w:pPr>
  </w:style>
  <w:style w:type="paragraph" w:styleId="a7">
    <w:name w:val="header"/>
    <w:basedOn w:val="a"/>
    <w:link w:val="a8"/>
    <w:unhideWhenUsed/>
    <w:rsid w:val="0022542B"/>
    <w:pPr>
      <w:tabs>
        <w:tab w:val="center" w:pos="4677"/>
        <w:tab w:val="right" w:pos="9355"/>
      </w:tabs>
    </w:pPr>
  </w:style>
  <w:style w:type="character" w:customStyle="1" w:styleId="a8">
    <w:name w:val="Верхній колонтитул Знак"/>
    <w:basedOn w:val="a0"/>
    <w:link w:val="a7"/>
    <w:rsid w:val="0022542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2542B"/>
    <w:pPr>
      <w:tabs>
        <w:tab w:val="center" w:pos="4677"/>
        <w:tab w:val="right" w:pos="9355"/>
      </w:tabs>
    </w:pPr>
  </w:style>
  <w:style w:type="character" w:customStyle="1" w:styleId="aa">
    <w:name w:val="Нижній колонтитул Знак"/>
    <w:basedOn w:val="a0"/>
    <w:link w:val="a9"/>
    <w:uiPriority w:val="99"/>
    <w:rsid w:val="0022542B"/>
    <w:rPr>
      <w:rFonts w:ascii="Times New Roman" w:eastAsia="Times New Roman" w:hAnsi="Times New Roman" w:cs="Times New Roman"/>
      <w:sz w:val="24"/>
      <w:szCs w:val="24"/>
      <w:lang w:eastAsia="ru-RU"/>
    </w:rPr>
  </w:style>
  <w:style w:type="paragraph" w:customStyle="1" w:styleId="1">
    <w:name w:val="Знак Знак1"/>
    <w:basedOn w:val="a"/>
    <w:rsid w:val="00917CF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7810">
      <w:bodyDiv w:val="1"/>
      <w:marLeft w:val="0"/>
      <w:marRight w:val="0"/>
      <w:marTop w:val="0"/>
      <w:marBottom w:val="0"/>
      <w:divBdr>
        <w:top w:val="none" w:sz="0" w:space="0" w:color="auto"/>
        <w:left w:val="none" w:sz="0" w:space="0" w:color="auto"/>
        <w:bottom w:val="none" w:sz="0" w:space="0" w:color="auto"/>
        <w:right w:val="none" w:sz="0" w:space="0" w:color="auto"/>
      </w:divBdr>
      <w:divsChild>
        <w:div w:id="2005468894">
          <w:marLeft w:val="0"/>
          <w:marRight w:val="0"/>
          <w:marTop w:val="0"/>
          <w:marBottom w:val="0"/>
          <w:divBdr>
            <w:top w:val="none" w:sz="0" w:space="0" w:color="auto"/>
            <w:left w:val="none" w:sz="0" w:space="0" w:color="auto"/>
            <w:bottom w:val="none" w:sz="0" w:space="0" w:color="auto"/>
            <w:right w:val="none" w:sz="0" w:space="0" w:color="auto"/>
          </w:divBdr>
        </w:div>
      </w:divsChild>
    </w:div>
    <w:div w:id="373233869">
      <w:bodyDiv w:val="1"/>
      <w:marLeft w:val="0"/>
      <w:marRight w:val="0"/>
      <w:marTop w:val="0"/>
      <w:marBottom w:val="0"/>
      <w:divBdr>
        <w:top w:val="none" w:sz="0" w:space="0" w:color="auto"/>
        <w:left w:val="none" w:sz="0" w:space="0" w:color="auto"/>
        <w:bottom w:val="none" w:sz="0" w:space="0" w:color="auto"/>
        <w:right w:val="none" w:sz="0" w:space="0" w:color="auto"/>
      </w:divBdr>
    </w:div>
    <w:div w:id="522672594">
      <w:bodyDiv w:val="1"/>
      <w:marLeft w:val="0"/>
      <w:marRight w:val="0"/>
      <w:marTop w:val="0"/>
      <w:marBottom w:val="0"/>
      <w:divBdr>
        <w:top w:val="none" w:sz="0" w:space="0" w:color="auto"/>
        <w:left w:val="none" w:sz="0" w:space="0" w:color="auto"/>
        <w:bottom w:val="none" w:sz="0" w:space="0" w:color="auto"/>
        <w:right w:val="none" w:sz="0" w:space="0" w:color="auto"/>
      </w:divBdr>
      <w:divsChild>
        <w:div w:id="1315717222">
          <w:marLeft w:val="0"/>
          <w:marRight w:val="0"/>
          <w:marTop w:val="0"/>
          <w:marBottom w:val="0"/>
          <w:divBdr>
            <w:top w:val="none" w:sz="0" w:space="0" w:color="auto"/>
            <w:left w:val="none" w:sz="0" w:space="0" w:color="auto"/>
            <w:bottom w:val="none" w:sz="0" w:space="0" w:color="auto"/>
            <w:right w:val="none" w:sz="0" w:space="0" w:color="auto"/>
          </w:divBdr>
        </w:div>
        <w:div w:id="1622884732">
          <w:marLeft w:val="0"/>
          <w:marRight w:val="0"/>
          <w:marTop w:val="0"/>
          <w:marBottom w:val="0"/>
          <w:divBdr>
            <w:top w:val="none" w:sz="0" w:space="0" w:color="auto"/>
            <w:left w:val="none" w:sz="0" w:space="0" w:color="auto"/>
            <w:bottom w:val="none" w:sz="0" w:space="0" w:color="auto"/>
            <w:right w:val="none" w:sz="0" w:space="0" w:color="auto"/>
          </w:divBdr>
        </w:div>
      </w:divsChild>
    </w:div>
    <w:div w:id="833254956">
      <w:bodyDiv w:val="1"/>
      <w:marLeft w:val="0"/>
      <w:marRight w:val="0"/>
      <w:marTop w:val="0"/>
      <w:marBottom w:val="0"/>
      <w:divBdr>
        <w:top w:val="none" w:sz="0" w:space="0" w:color="auto"/>
        <w:left w:val="none" w:sz="0" w:space="0" w:color="auto"/>
        <w:bottom w:val="none" w:sz="0" w:space="0" w:color="auto"/>
        <w:right w:val="none" w:sz="0" w:space="0" w:color="auto"/>
      </w:divBdr>
      <w:divsChild>
        <w:div w:id="104735140">
          <w:marLeft w:val="0"/>
          <w:marRight w:val="0"/>
          <w:marTop w:val="0"/>
          <w:marBottom w:val="0"/>
          <w:divBdr>
            <w:top w:val="none" w:sz="0" w:space="0" w:color="auto"/>
            <w:left w:val="none" w:sz="0" w:space="0" w:color="auto"/>
            <w:bottom w:val="none" w:sz="0" w:space="0" w:color="auto"/>
            <w:right w:val="none" w:sz="0" w:space="0" w:color="auto"/>
          </w:divBdr>
        </w:div>
        <w:div w:id="728723955">
          <w:marLeft w:val="0"/>
          <w:marRight w:val="0"/>
          <w:marTop w:val="0"/>
          <w:marBottom w:val="0"/>
          <w:divBdr>
            <w:top w:val="none" w:sz="0" w:space="0" w:color="auto"/>
            <w:left w:val="none" w:sz="0" w:space="0" w:color="auto"/>
            <w:bottom w:val="none" w:sz="0" w:space="0" w:color="auto"/>
            <w:right w:val="none" w:sz="0" w:space="0" w:color="auto"/>
          </w:divBdr>
        </w:div>
      </w:divsChild>
    </w:div>
    <w:div w:id="1108281103">
      <w:bodyDiv w:val="1"/>
      <w:marLeft w:val="0"/>
      <w:marRight w:val="0"/>
      <w:marTop w:val="0"/>
      <w:marBottom w:val="0"/>
      <w:divBdr>
        <w:top w:val="none" w:sz="0" w:space="0" w:color="auto"/>
        <w:left w:val="none" w:sz="0" w:space="0" w:color="auto"/>
        <w:bottom w:val="none" w:sz="0" w:space="0" w:color="auto"/>
        <w:right w:val="none" w:sz="0" w:space="0" w:color="auto"/>
      </w:divBdr>
      <w:divsChild>
        <w:div w:id="316999809">
          <w:marLeft w:val="0"/>
          <w:marRight w:val="0"/>
          <w:marTop w:val="0"/>
          <w:marBottom w:val="0"/>
          <w:divBdr>
            <w:top w:val="none" w:sz="0" w:space="0" w:color="auto"/>
            <w:left w:val="none" w:sz="0" w:space="0" w:color="auto"/>
            <w:bottom w:val="none" w:sz="0" w:space="0" w:color="auto"/>
            <w:right w:val="none" w:sz="0" w:space="0" w:color="auto"/>
          </w:divBdr>
        </w:div>
        <w:div w:id="363795728">
          <w:marLeft w:val="0"/>
          <w:marRight w:val="0"/>
          <w:marTop w:val="0"/>
          <w:marBottom w:val="0"/>
          <w:divBdr>
            <w:top w:val="none" w:sz="0" w:space="0" w:color="auto"/>
            <w:left w:val="none" w:sz="0" w:space="0" w:color="auto"/>
            <w:bottom w:val="none" w:sz="0" w:space="0" w:color="auto"/>
            <w:right w:val="none" w:sz="0" w:space="0" w:color="auto"/>
          </w:divBdr>
        </w:div>
        <w:div w:id="1168865542">
          <w:marLeft w:val="0"/>
          <w:marRight w:val="0"/>
          <w:marTop w:val="0"/>
          <w:marBottom w:val="0"/>
          <w:divBdr>
            <w:top w:val="none" w:sz="0" w:space="0" w:color="auto"/>
            <w:left w:val="none" w:sz="0" w:space="0" w:color="auto"/>
            <w:bottom w:val="none" w:sz="0" w:space="0" w:color="auto"/>
            <w:right w:val="none" w:sz="0" w:space="0" w:color="auto"/>
          </w:divBdr>
        </w:div>
      </w:divsChild>
    </w:div>
    <w:div w:id="1111824758">
      <w:bodyDiv w:val="1"/>
      <w:marLeft w:val="0"/>
      <w:marRight w:val="0"/>
      <w:marTop w:val="0"/>
      <w:marBottom w:val="0"/>
      <w:divBdr>
        <w:top w:val="none" w:sz="0" w:space="0" w:color="auto"/>
        <w:left w:val="none" w:sz="0" w:space="0" w:color="auto"/>
        <w:bottom w:val="none" w:sz="0" w:space="0" w:color="auto"/>
        <w:right w:val="none" w:sz="0" w:space="0" w:color="auto"/>
      </w:divBdr>
      <w:divsChild>
        <w:div w:id="500583431">
          <w:marLeft w:val="0"/>
          <w:marRight w:val="0"/>
          <w:marTop w:val="0"/>
          <w:marBottom w:val="0"/>
          <w:divBdr>
            <w:top w:val="none" w:sz="0" w:space="0" w:color="auto"/>
            <w:left w:val="none" w:sz="0" w:space="0" w:color="auto"/>
            <w:bottom w:val="none" w:sz="0" w:space="0" w:color="auto"/>
            <w:right w:val="none" w:sz="0" w:space="0" w:color="auto"/>
          </w:divBdr>
        </w:div>
        <w:div w:id="1155803085">
          <w:marLeft w:val="0"/>
          <w:marRight w:val="0"/>
          <w:marTop w:val="0"/>
          <w:marBottom w:val="0"/>
          <w:divBdr>
            <w:top w:val="none" w:sz="0" w:space="0" w:color="auto"/>
            <w:left w:val="none" w:sz="0" w:space="0" w:color="auto"/>
            <w:bottom w:val="none" w:sz="0" w:space="0" w:color="auto"/>
            <w:right w:val="none" w:sz="0" w:space="0" w:color="auto"/>
          </w:divBdr>
        </w:div>
      </w:divsChild>
    </w:div>
    <w:div w:id="1271351055">
      <w:bodyDiv w:val="1"/>
      <w:marLeft w:val="0"/>
      <w:marRight w:val="0"/>
      <w:marTop w:val="0"/>
      <w:marBottom w:val="0"/>
      <w:divBdr>
        <w:top w:val="none" w:sz="0" w:space="0" w:color="auto"/>
        <w:left w:val="none" w:sz="0" w:space="0" w:color="auto"/>
        <w:bottom w:val="none" w:sz="0" w:space="0" w:color="auto"/>
        <w:right w:val="none" w:sz="0" w:space="0" w:color="auto"/>
      </w:divBdr>
      <w:divsChild>
        <w:div w:id="575363237">
          <w:marLeft w:val="0"/>
          <w:marRight w:val="0"/>
          <w:marTop w:val="0"/>
          <w:marBottom w:val="0"/>
          <w:divBdr>
            <w:top w:val="none" w:sz="0" w:space="0" w:color="auto"/>
            <w:left w:val="none" w:sz="0" w:space="0" w:color="auto"/>
            <w:bottom w:val="none" w:sz="0" w:space="0" w:color="auto"/>
            <w:right w:val="none" w:sz="0" w:space="0" w:color="auto"/>
          </w:divBdr>
        </w:div>
        <w:div w:id="1504129288">
          <w:marLeft w:val="0"/>
          <w:marRight w:val="0"/>
          <w:marTop w:val="0"/>
          <w:marBottom w:val="0"/>
          <w:divBdr>
            <w:top w:val="none" w:sz="0" w:space="0" w:color="auto"/>
            <w:left w:val="none" w:sz="0" w:space="0" w:color="auto"/>
            <w:bottom w:val="none" w:sz="0" w:space="0" w:color="auto"/>
            <w:right w:val="none" w:sz="0" w:space="0" w:color="auto"/>
          </w:divBdr>
        </w:div>
        <w:div w:id="1518814162">
          <w:marLeft w:val="0"/>
          <w:marRight w:val="0"/>
          <w:marTop w:val="0"/>
          <w:marBottom w:val="0"/>
          <w:divBdr>
            <w:top w:val="none" w:sz="0" w:space="0" w:color="auto"/>
            <w:left w:val="none" w:sz="0" w:space="0" w:color="auto"/>
            <w:bottom w:val="none" w:sz="0" w:space="0" w:color="auto"/>
            <w:right w:val="none" w:sz="0" w:space="0" w:color="auto"/>
          </w:divBdr>
        </w:div>
      </w:divsChild>
    </w:div>
    <w:div w:id="1314600774">
      <w:bodyDiv w:val="1"/>
      <w:marLeft w:val="0"/>
      <w:marRight w:val="0"/>
      <w:marTop w:val="0"/>
      <w:marBottom w:val="0"/>
      <w:divBdr>
        <w:top w:val="none" w:sz="0" w:space="0" w:color="auto"/>
        <w:left w:val="none" w:sz="0" w:space="0" w:color="auto"/>
        <w:bottom w:val="none" w:sz="0" w:space="0" w:color="auto"/>
        <w:right w:val="none" w:sz="0" w:space="0" w:color="auto"/>
      </w:divBdr>
      <w:divsChild>
        <w:div w:id="1698584798">
          <w:marLeft w:val="0"/>
          <w:marRight w:val="0"/>
          <w:marTop w:val="0"/>
          <w:marBottom w:val="0"/>
          <w:divBdr>
            <w:top w:val="none" w:sz="0" w:space="0" w:color="auto"/>
            <w:left w:val="none" w:sz="0" w:space="0" w:color="auto"/>
            <w:bottom w:val="none" w:sz="0" w:space="0" w:color="auto"/>
            <w:right w:val="none" w:sz="0" w:space="0" w:color="auto"/>
          </w:divBdr>
        </w:div>
      </w:divsChild>
    </w:div>
    <w:div w:id="1354725653">
      <w:bodyDiv w:val="1"/>
      <w:marLeft w:val="0"/>
      <w:marRight w:val="0"/>
      <w:marTop w:val="0"/>
      <w:marBottom w:val="0"/>
      <w:divBdr>
        <w:top w:val="none" w:sz="0" w:space="0" w:color="auto"/>
        <w:left w:val="none" w:sz="0" w:space="0" w:color="auto"/>
        <w:bottom w:val="none" w:sz="0" w:space="0" w:color="auto"/>
        <w:right w:val="none" w:sz="0" w:space="0" w:color="auto"/>
      </w:divBdr>
      <w:divsChild>
        <w:div w:id="808857996">
          <w:marLeft w:val="0"/>
          <w:marRight w:val="0"/>
          <w:marTop w:val="0"/>
          <w:marBottom w:val="0"/>
          <w:divBdr>
            <w:top w:val="none" w:sz="0" w:space="0" w:color="auto"/>
            <w:left w:val="none" w:sz="0" w:space="0" w:color="auto"/>
            <w:bottom w:val="none" w:sz="0" w:space="0" w:color="auto"/>
            <w:right w:val="none" w:sz="0" w:space="0" w:color="auto"/>
          </w:divBdr>
        </w:div>
        <w:div w:id="1357803913">
          <w:marLeft w:val="0"/>
          <w:marRight w:val="0"/>
          <w:marTop w:val="0"/>
          <w:marBottom w:val="0"/>
          <w:divBdr>
            <w:top w:val="none" w:sz="0" w:space="0" w:color="auto"/>
            <w:left w:val="none" w:sz="0" w:space="0" w:color="auto"/>
            <w:bottom w:val="none" w:sz="0" w:space="0" w:color="auto"/>
            <w:right w:val="none" w:sz="0" w:space="0" w:color="auto"/>
          </w:divBdr>
        </w:div>
      </w:divsChild>
    </w:div>
    <w:div w:id="1431001432">
      <w:bodyDiv w:val="1"/>
      <w:marLeft w:val="0"/>
      <w:marRight w:val="0"/>
      <w:marTop w:val="0"/>
      <w:marBottom w:val="0"/>
      <w:divBdr>
        <w:top w:val="none" w:sz="0" w:space="0" w:color="auto"/>
        <w:left w:val="none" w:sz="0" w:space="0" w:color="auto"/>
        <w:bottom w:val="none" w:sz="0" w:space="0" w:color="auto"/>
        <w:right w:val="none" w:sz="0" w:space="0" w:color="auto"/>
      </w:divBdr>
      <w:divsChild>
        <w:div w:id="430904507">
          <w:marLeft w:val="0"/>
          <w:marRight w:val="0"/>
          <w:marTop w:val="0"/>
          <w:marBottom w:val="0"/>
          <w:divBdr>
            <w:top w:val="none" w:sz="0" w:space="0" w:color="auto"/>
            <w:left w:val="none" w:sz="0" w:space="0" w:color="auto"/>
            <w:bottom w:val="none" w:sz="0" w:space="0" w:color="auto"/>
            <w:right w:val="none" w:sz="0" w:space="0" w:color="auto"/>
          </w:divBdr>
        </w:div>
      </w:divsChild>
    </w:div>
    <w:div w:id="1780025151">
      <w:bodyDiv w:val="1"/>
      <w:marLeft w:val="0"/>
      <w:marRight w:val="0"/>
      <w:marTop w:val="0"/>
      <w:marBottom w:val="0"/>
      <w:divBdr>
        <w:top w:val="none" w:sz="0" w:space="0" w:color="auto"/>
        <w:left w:val="none" w:sz="0" w:space="0" w:color="auto"/>
        <w:bottom w:val="none" w:sz="0" w:space="0" w:color="auto"/>
        <w:right w:val="none" w:sz="0" w:space="0" w:color="auto"/>
      </w:divBdr>
      <w:divsChild>
        <w:div w:id="599609169">
          <w:marLeft w:val="0"/>
          <w:marRight w:val="0"/>
          <w:marTop w:val="0"/>
          <w:marBottom w:val="0"/>
          <w:divBdr>
            <w:top w:val="none" w:sz="0" w:space="0" w:color="auto"/>
            <w:left w:val="none" w:sz="0" w:space="0" w:color="auto"/>
            <w:bottom w:val="none" w:sz="0" w:space="0" w:color="auto"/>
            <w:right w:val="none" w:sz="0" w:space="0" w:color="auto"/>
          </w:divBdr>
        </w:div>
        <w:div w:id="1099332768">
          <w:marLeft w:val="0"/>
          <w:marRight w:val="0"/>
          <w:marTop w:val="0"/>
          <w:marBottom w:val="0"/>
          <w:divBdr>
            <w:top w:val="none" w:sz="0" w:space="0" w:color="auto"/>
            <w:left w:val="none" w:sz="0" w:space="0" w:color="auto"/>
            <w:bottom w:val="none" w:sz="0" w:space="0" w:color="auto"/>
            <w:right w:val="none" w:sz="0" w:space="0" w:color="auto"/>
          </w:divBdr>
        </w:div>
        <w:div w:id="1129202909">
          <w:marLeft w:val="0"/>
          <w:marRight w:val="0"/>
          <w:marTop w:val="0"/>
          <w:marBottom w:val="0"/>
          <w:divBdr>
            <w:top w:val="none" w:sz="0" w:space="0" w:color="auto"/>
            <w:left w:val="none" w:sz="0" w:space="0" w:color="auto"/>
            <w:bottom w:val="none" w:sz="0" w:space="0" w:color="auto"/>
            <w:right w:val="none" w:sz="0" w:space="0" w:color="auto"/>
          </w:divBdr>
        </w:div>
      </w:divsChild>
    </w:div>
    <w:div w:id="1966500148">
      <w:bodyDiv w:val="1"/>
      <w:marLeft w:val="0"/>
      <w:marRight w:val="0"/>
      <w:marTop w:val="0"/>
      <w:marBottom w:val="0"/>
      <w:divBdr>
        <w:top w:val="none" w:sz="0" w:space="0" w:color="auto"/>
        <w:left w:val="none" w:sz="0" w:space="0" w:color="auto"/>
        <w:bottom w:val="none" w:sz="0" w:space="0" w:color="auto"/>
        <w:right w:val="none" w:sz="0" w:space="0" w:color="auto"/>
      </w:divBdr>
      <w:divsChild>
        <w:div w:id="50886774">
          <w:marLeft w:val="0"/>
          <w:marRight w:val="0"/>
          <w:marTop w:val="0"/>
          <w:marBottom w:val="0"/>
          <w:divBdr>
            <w:top w:val="none" w:sz="0" w:space="0" w:color="auto"/>
            <w:left w:val="none" w:sz="0" w:space="0" w:color="auto"/>
            <w:bottom w:val="none" w:sz="0" w:space="0" w:color="auto"/>
            <w:right w:val="none" w:sz="0" w:space="0" w:color="auto"/>
          </w:divBdr>
        </w:div>
        <w:div w:id="174614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DEB9-1EC3-4ECA-9F93-DC266FAB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10538</Words>
  <Characters>6008</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Polataiko</dc:creator>
  <cp:lastModifiedBy>admin</cp:lastModifiedBy>
  <cp:revision>14</cp:revision>
  <cp:lastPrinted>2023-10-27T00:11:00Z</cp:lastPrinted>
  <dcterms:created xsi:type="dcterms:W3CDTF">2026-01-28T13:48:00Z</dcterms:created>
  <dcterms:modified xsi:type="dcterms:W3CDTF">2026-02-11T19:14:00Z</dcterms:modified>
</cp:coreProperties>
</file>