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DF" w:rsidRPr="00D437AB" w:rsidRDefault="008E22DF" w:rsidP="008E22DF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D437AB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8E22DF" w:rsidRDefault="008E22DF" w:rsidP="008E22DF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>до реєстраційного посвідчення AB-01008-01-10</w:t>
      </w:r>
    </w:p>
    <w:p w:rsidR="008E22DF" w:rsidRDefault="008E22DF" w:rsidP="008E22DF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8E22DF" w:rsidRPr="008E22DF" w:rsidRDefault="008E22DF" w:rsidP="008E22DF">
      <w:pPr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8E22D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1. Назва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proofErr w:type="spellStart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Бровафом</w:t>
      </w:r>
      <w:proofErr w:type="spellEnd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новий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 xml:space="preserve">2. Склад 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1 г препарату містить діючі речовини: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proofErr w:type="spellStart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колістин</w:t>
      </w:r>
      <w:proofErr w:type="spellEnd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сульфат                         ‒ 500 000 МО;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proofErr w:type="spellStart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окситетрациклін</w:t>
      </w:r>
      <w:proofErr w:type="spellEnd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гідрохлорид</w:t>
      </w:r>
      <w:proofErr w:type="spellEnd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   – 35,0 мг;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proofErr w:type="spellStart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триметоприм</w:t>
      </w:r>
      <w:proofErr w:type="spellEnd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ab/>
      </w:r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ab/>
      </w:r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ab/>
        <w:t xml:space="preserve">  </w:t>
      </w:r>
      <w:r w:rsidR="00313BFE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</w:t>
      </w:r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 – 27,0 мг.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Допоміжна речовина: </w:t>
      </w:r>
      <w:proofErr w:type="spellStart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мальтодекстрин</w:t>
      </w:r>
      <w:proofErr w:type="spellEnd"/>
      <w:r w:rsidRPr="00D437AB">
        <w:rPr>
          <w:rFonts w:ascii="Times New Roman" w:hAnsi="Times New Roman"/>
          <w:kern w:val="1"/>
          <w:sz w:val="24"/>
          <w:szCs w:val="24"/>
          <w:lang w:val="uk-UA" w:eastAsia="ar-SA"/>
        </w:rPr>
        <w:t>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3. Фармацевтична форма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Порошок для перорального застосування.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4. Фармакологічні властивості</w:t>
      </w:r>
    </w:p>
    <w:p w:rsidR="008E22DF" w:rsidRPr="00B44F9C" w:rsidRDefault="008E22DF" w:rsidP="008E22DF">
      <w:pPr>
        <w:pStyle w:val="100"/>
        <w:spacing w:line="23" w:lineRule="atLeast"/>
        <w:rPr>
          <w:b/>
          <w:bCs/>
          <w:i/>
          <w:iCs/>
        </w:rPr>
      </w:pPr>
      <w:proofErr w:type="spellStart"/>
      <w:r w:rsidRPr="00B44F9C">
        <w:rPr>
          <w:b/>
          <w:bCs/>
          <w:i/>
          <w:iCs/>
        </w:rPr>
        <w:t>ATCvet</w:t>
      </w:r>
      <w:proofErr w:type="spellEnd"/>
      <w:r w:rsidRPr="00B44F9C">
        <w:rPr>
          <w:b/>
          <w:bCs/>
          <w:i/>
          <w:iCs/>
        </w:rPr>
        <w:t xml:space="preserve"> класифікаційний код: QJ01 — Антибактеріальні ветеринарні препарати для системного застосування. QJ01RA95 — </w:t>
      </w:r>
      <w:proofErr w:type="spellStart"/>
      <w:r w:rsidRPr="00B44F9C">
        <w:rPr>
          <w:b/>
          <w:bCs/>
          <w:i/>
          <w:iCs/>
        </w:rPr>
        <w:t>Поліміксини</w:t>
      </w:r>
      <w:proofErr w:type="spellEnd"/>
      <w:r w:rsidRPr="00B44F9C">
        <w:rPr>
          <w:b/>
          <w:bCs/>
          <w:i/>
          <w:iCs/>
        </w:rPr>
        <w:t>, комбінації з іншими протимікробними препаратами.</w:t>
      </w:r>
    </w:p>
    <w:p w:rsidR="008E22DF" w:rsidRPr="00D437AB" w:rsidRDefault="008E22DF" w:rsidP="008E22DF">
      <w:pPr>
        <w:pStyle w:val="100"/>
        <w:spacing w:line="23" w:lineRule="atLeast"/>
        <w:rPr>
          <w:color w:val="auto"/>
        </w:rPr>
      </w:pPr>
      <w:r w:rsidRPr="00D437AB">
        <w:t>Комплексний препарат із синергічною дією компонентів, що забезпечує широкий спектр антимікробної активності.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Окситетрациклін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— бактеріостатичний антибіотик широкого спектра дії проти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грампозитивних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мікроорганізмів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Streptococcusspp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Clostridiumspp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Corynebacteriumspp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Erysipelothrixspp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>.), грамнегативних мікроорганізмів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Brucellaspp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Haemophilusspp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E.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coli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Pasteurellaspp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Klebsiellaspp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Fusobacteriumspp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Salmonellaspp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>.), найпростіших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Protozoa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),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мікоплазм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Mycoplasmaspp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D437AB">
        <w:rPr>
          <w:rFonts w:ascii="Times New Roman" w:hAnsi="Times New Roman"/>
          <w:sz w:val="24"/>
          <w:szCs w:val="24"/>
          <w:lang w:val="uk-UA"/>
        </w:rPr>
        <w:t>), рикетсій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Rickettsiaspp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),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хламідій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Chlamydia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). Порушує синтез білка при взаємодії з рибосомами, зменшує проникність цитоплазматичної мембрани чутливих мікроорганізмів. 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Колістин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— антибіотик із групи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поліміксинів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, діє бактерицидно на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грамнегативні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мікроорганізми (</w:t>
      </w:r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Е.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coli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Salmonellaspp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Pasteurellaspp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Haemophilusspp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Bordetellaspp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). Механізм дії полягає у пошкодженні цитоплазматичної мембрани мікроорганізмів.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Колістин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взаємодіє з фосфоліпідами, руйнуючи структуру клітинної мембрани. Зв'язує фосфоліпід А клітинних мембран і нейтралізує дію бактеріального ендотоксину.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Триметоприм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діє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бактеріостатично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проти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грампозитивних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мікроорганізмів (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Staphylococcusspp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Streptococcusspp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Clostridiumspp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Corynebacteriumspp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D437AB">
        <w:rPr>
          <w:rFonts w:ascii="Times New Roman" w:hAnsi="Times New Roman"/>
          <w:sz w:val="24"/>
          <w:szCs w:val="24"/>
          <w:lang w:val="uk-UA"/>
        </w:rPr>
        <w:t>тощо), грамнегативних мікроорганізмів (</w:t>
      </w:r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Е.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coli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Salmonellaspp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Klebsiellaspp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Proteusspp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Pasteurellaspp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., </w:t>
      </w:r>
      <w:proofErr w:type="spellStart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>Bordetellaspp</w:t>
      </w:r>
      <w:proofErr w:type="spellEnd"/>
      <w:r w:rsidRPr="00D437AB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тощо). Інгібує бактеріальну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редуктазу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, що перетворює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дегідрофолієву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кислоту на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тетрагідрофолієву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(потрібна для синтезу пуринів і нуклеїнових кислот), блокує синтез білка бактеріями.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Окситетрациклін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після перорального застосування поступово абсорбується. Максимальна концентрація в крові досягається через 30–60 хвилин і утримується на терапевтичному рівні 48 годин. Період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напіввиведення</w:t>
      </w:r>
      <w:proofErr w:type="spellEnd"/>
      <w:r w:rsidR="00B44F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44F9C">
        <w:rPr>
          <w:rFonts w:ascii="Times New Roman" w:hAnsi="Times New Roman"/>
          <w:sz w:val="24"/>
          <w:szCs w:val="24"/>
          <w:lang w:val="uk-UA"/>
        </w:rPr>
        <w:t>окситетрацикліну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у собак становить </w:t>
      </w:r>
      <w:r w:rsidR="00B44F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4–6 годин, у великої рогатої худоби — 4,3–9,7 годин, у свиней — 6,7 годин, у овець — 3,6 години. </w:t>
      </w:r>
      <w:r w:rsidR="00B44F9C">
        <w:rPr>
          <w:rFonts w:ascii="Times New Roman" w:hAnsi="Times New Roman"/>
          <w:sz w:val="24"/>
          <w:szCs w:val="24"/>
          <w:lang w:val="uk-UA"/>
        </w:rPr>
        <w:t>Він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проникає майже в усі органи і тканини, але найбільший його рівень спостерігається в легенях, печінці, жовчі, репродуктивних органах і нирках. Концентрація</w:t>
      </w:r>
      <w:r w:rsidR="00B44F9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44F9C">
        <w:rPr>
          <w:rFonts w:ascii="Times New Roman" w:hAnsi="Times New Roman"/>
          <w:sz w:val="24"/>
          <w:szCs w:val="24"/>
          <w:lang w:val="uk-UA"/>
        </w:rPr>
        <w:t>окситетрацикліну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в легенях, </w:t>
      </w:r>
      <w:r w:rsidR="009A1102">
        <w:rPr>
          <w:rFonts w:ascii="Times New Roman" w:hAnsi="Times New Roman"/>
          <w:sz w:val="24"/>
          <w:szCs w:val="24"/>
          <w:lang w:val="uk-UA"/>
        </w:rPr>
        <w:t>травному каналі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, м’язах та селезінці така сама, як в плазмі крові.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Окситетрациклін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виявляється в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цереброспинальній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рідині, але його концентрація не досягає терапевтичної.</w:t>
      </w:r>
      <w:r w:rsidR="003B6044">
        <w:rPr>
          <w:rFonts w:ascii="Times New Roman" w:hAnsi="Times New Roman"/>
          <w:sz w:val="24"/>
          <w:szCs w:val="24"/>
          <w:lang w:val="uk-UA"/>
        </w:rPr>
        <w:t xml:space="preserve"> Він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6044">
        <w:rPr>
          <w:rFonts w:ascii="Times New Roman" w:hAnsi="Times New Roman"/>
          <w:sz w:val="24"/>
          <w:szCs w:val="24"/>
          <w:lang w:val="uk-UA"/>
        </w:rPr>
        <w:t>п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роходить через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гематоенцефалічний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бар’єр і плаценту. Метаболіти </w:t>
      </w:r>
      <w:proofErr w:type="spellStart"/>
      <w:r w:rsidR="003B6044">
        <w:rPr>
          <w:rFonts w:ascii="Times New Roman" w:hAnsi="Times New Roman"/>
          <w:sz w:val="24"/>
          <w:szCs w:val="24"/>
          <w:lang w:val="uk-UA"/>
        </w:rPr>
        <w:t>окситетрациклін</w:t>
      </w:r>
      <w:proofErr w:type="spellEnd"/>
      <w:r w:rsidR="003B60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утворює у незначній кількості. Виводиться переважно з сечею і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жовчю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, у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лактуючих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тварин — з молоком.</w:t>
      </w:r>
    </w:p>
    <w:p w:rsidR="008E22DF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437AB">
        <w:rPr>
          <w:rFonts w:ascii="Times New Roman" w:hAnsi="Times New Roman"/>
          <w:sz w:val="24"/>
          <w:szCs w:val="24"/>
          <w:lang w:val="uk-UA"/>
        </w:rPr>
        <w:t xml:space="preserve">Завдяки поліпептидній структурі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колістин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майже не всмоктується з травного каналу, що забезпечує його високу ефективність при лікуванні захворювань </w:t>
      </w:r>
      <w:r w:rsidR="003B6044">
        <w:rPr>
          <w:rFonts w:ascii="Times New Roman" w:hAnsi="Times New Roman"/>
          <w:sz w:val="24"/>
          <w:szCs w:val="24"/>
          <w:lang w:val="uk-UA"/>
        </w:rPr>
        <w:t>органів травного каналу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. Його концентрація в сироватці крові та тканинах є низькою, тоді як у просвіті травного каналу стабільно підтримується висока концентрація. Виводиться з організму переважно з фекаліями </w:t>
      </w:r>
    </w:p>
    <w:p w:rsidR="008E22DF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22DF" w:rsidRPr="00D437AB" w:rsidRDefault="008E22DF" w:rsidP="008E22DF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</w:t>
      </w:r>
      <w:r w:rsidRPr="00D437AB">
        <w:rPr>
          <w:rFonts w:ascii="Times New Roman" w:hAnsi="Times New Roman"/>
          <w:sz w:val="24"/>
          <w:szCs w:val="24"/>
          <w:lang w:val="uk-UA"/>
        </w:rPr>
        <w:t>одаток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:rsidR="008E22DF" w:rsidRDefault="008E22DF" w:rsidP="008E22DF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>до реєстраційного посвідчення AB-01008-01-10</w:t>
      </w:r>
    </w:p>
    <w:p w:rsidR="008E22DF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22DF" w:rsidRPr="00D437AB" w:rsidRDefault="008E22DF" w:rsidP="008E22DF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D437AB">
        <w:rPr>
          <w:rFonts w:ascii="Times New Roman" w:hAnsi="Times New Roman"/>
          <w:sz w:val="24"/>
          <w:szCs w:val="24"/>
          <w:lang w:val="uk-UA"/>
        </w:rPr>
        <w:t>та в незначній кількості — нирками із сечею у вигляді активних метаболітів (після застосування високих доз).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Триметоприм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абсорбується з травного каналу швидко і майже повністю (90-100%). Зв’язується з білками плазми на 45%.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C</w:t>
      </w:r>
      <w:r w:rsidRPr="00D437AB">
        <w:rPr>
          <w:rFonts w:ascii="Times New Roman" w:hAnsi="Times New Roman"/>
          <w:sz w:val="24"/>
          <w:szCs w:val="24"/>
          <w:vertAlign w:val="subscript"/>
          <w:lang w:val="uk-UA"/>
        </w:rPr>
        <w:t>max</w:t>
      </w:r>
      <w:proofErr w:type="spellEnd"/>
      <w:r w:rsidR="003B6044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proofErr w:type="spellStart"/>
      <w:r w:rsidR="003B6044">
        <w:rPr>
          <w:rFonts w:ascii="Times New Roman" w:hAnsi="Times New Roman"/>
          <w:sz w:val="24"/>
          <w:szCs w:val="24"/>
          <w:lang w:val="uk-UA"/>
        </w:rPr>
        <w:t>триметоприму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після одноразової дози досягається через 1–4 години і становить приблизно 1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мкг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/мл. Швидко розподіляється в тканинах і рідинах організму, включаючи нирки, печінку, селезінку, мокроту, слину і сперму, виявляється також у жовчі, кістковому і губчатому мозку, але не компактному шарі кісток. Концентрація </w:t>
      </w:r>
      <w:proofErr w:type="spellStart"/>
      <w:r w:rsidR="003B6044">
        <w:rPr>
          <w:rFonts w:ascii="Times New Roman" w:hAnsi="Times New Roman"/>
          <w:sz w:val="24"/>
          <w:szCs w:val="24"/>
          <w:lang w:val="uk-UA"/>
        </w:rPr>
        <w:t>триметоприму</w:t>
      </w:r>
      <w:proofErr w:type="spellEnd"/>
      <w:r w:rsidR="003B604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7AB">
        <w:rPr>
          <w:rFonts w:ascii="Times New Roman" w:hAnsi="Times New Roman"/>
          <w:sz w:val="24"/>
          <w:szCs w:val="24"/>
          <w:lang w:val="uk-UA"/>
        </w:rPr>
        <w:t>в спинномозковій рідині становить 30–50% від концентрації в сироватці крові. Концентрація</w:t>
      </w:r>
      <w:r w:rsidR="003B6044">
        <w:rPr>
          <w:rFonts w:ascii="Times New Roman" w:hAnsi="Times New Roman"/>
          <w:sz w:val="24"/>
          <w:szCs w:val="24"/>
          <w:lang w:val="uk-UA"/>
        </w:rPr>
        <w:t xml:space="preserve"> його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в тканині і секреті передміхурової залози в 2–3 рази вища, ніж у сироватці крові. Висока концентрація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триметоприму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спостерігається в секреті бронхіальних залоз, передміхуровій залозі та жовчі.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Триметоприм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проходить через плацентарний бар’єр, проникає в молоко. Період напіврозпаду </w:t>
      </w:r>
      <w:r w:rsidR="00881BBB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в плазмі крові становить 8–10 годин.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Метаболізується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81BBB">
        <w:rPr>
          <w:rFonts w:ascii="Times New Roman" w:hAnsi="Times New Roman"/>
          <w:sz w:val="24"/>
          <w:szCs w:val="24"/>
          <w:lang w:val="uk-UA"/>
        </w:rPr>
        <w:t>триметоприм</w:t>
      </w:r>
      <w:proofErr w:type="spellEnd"/>
      <w:r w:rsidR="00881B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у печінці до неактивних метаболітів 10–20%. Нирками виводиться 50–60% протягом 24 годин, протягом 72 годин — 66,8% в основному шляхом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клубочкової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фільтрації і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канальцевої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секреції, причому 80–90% — у незміненому вигляді, решта — у вигляді неактивних метаболітів. Невелика кількість </w:t>
      </w:r>
      <w:proofErr w:type="spellStart"/>
      <w:r w:rsidR="00881BBB">
        <w:rPr>
          <w:rFonts w:ascii="Times New Roman" w:hAnsi="Times New Roman"/>
          <w:sz w:val="24"/>
          <w:szCs w:val="24"/>
          <w:lang w:val="uk-UA"/>
        </w:rPr>
        <w:t>триметоприму</w:t>
      </w:r>
      <w:proofErr w:type="spellEnd"/>
      <w:r w:rsidR="00881B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(4%) виводиться з жовчю. Виведення посилюється </w:t>
      </w:r>
      <w:r w:rsidR="00881BBB">
        <w:rPr>
          <w:rFonts w:ascii="Times New Roman" w:hAnsi="Times New Roman"/>
          <w:sz w:val="24"/>
          <w:szCs w:val="24"/>
          <w:lang w:val="uk-UA"/>
        </w:rPr>
        <w:t>за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кисл</w:t>
      </w:r>
      <w:r w:rsidR="00881BBB">
        <w:rPr>
          <w:rFonts w:ascii="Times New Roman" w:hAnsi="Times New Roman"/>
          <w:sz w:val="24"/>
          <w:szCs w:val="24"/>
          <w:lang w:val="uk-UA"/>
        </w:rPr>
        <w:t>ої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реакції сечі і слабшає </w:t>
      </w:r>
      <w:r w:rsidR="00881BBB">
        <w:rPr>
          <w:rFonts w:ascii="Times New Roman" w:hAnsi="Times New Roman"/>
          <w:sz w:val="24"/>
          <w:szCs w:val="24"/>
          <w:lang w:val="uk-UA"/>
        </w:rPr>
        <w:t>за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 лужн</w:t>
      </w:r>
      <w:r w:rsidR="00881BBB">
        <w:rPr>
          <w:rFonts w:ascii="Times New Roman" w:hAnsi="Times New Roman"/>
          <w:sz w:val="24"/>
          <w:szCs w:val="24"/>
          <w:lang w:val="uk-UA"/>
        </w:rPr>
        <w:t>ої</w:t>
      </w:r>
      <w:r w:rsidRPr="00D437AB">
        <w:rPr>
          <w:rFonts w:ascii="Times New Roman" w:hAnsi="Times New Roman"/>
          <w:sz w:val="24"/>
          <w:szCs w:val="24"/>
          <w:lang w:val="uk-UA"/>
        </w:rPr>
        <w:t xml:space="preserve">. Оскільки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триметоприм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і його метаболіти виводяться майже повністю нирками шляхом як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клубочкової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фільтрації, так і </w:t>
      </w:r>
      <w:proofErr w:type="spellStart"/>
      <w:r w:rsidRPr="00D437AB">
        <w:rPr>
          <w:rFonts w:ascii="Times New Roman" w:hAnsi="Times New Roman"/>
          <w:sz w:val="24"/>
          <w:szCs w:val="24"/>
          <w:lang w:val="uk-UA"/>
        </w:rPr>
        <w:t>канальцевої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секреції, їхня концентрація в сечі значно вища, ніж у крові.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 Клінічні особливості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5.1 Вид тварин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Свині, </w:t>
      </w:r>
      <w:r w:rsidR="00F244DE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в</w:t>
      </w:r>
      <w:r w:rsidR="00624553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елика рогата худоба (</w:t>
      </w: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телята віком до 6 тижнів),</w:t>
      </w:r>
      <w:r w:rsidR="00624553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вівці ( ягнята віком до 6 тижнів)</w:t>
      </w: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кролі, свійська птиця (кури-бройлери,</w:t>
      </w:r>
      <w:r w:rsidR="00111B8C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гуси,</w:t>
      </w:r>
      <w:r w:rsidR="008B3D8F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індики,</w:t>
      </w: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качки).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5.2 Показання до застосування</w:t>
      </w:r>
    </w:p>
    <w:p w:rsidR="00A14A0D" w:rsidRPr="00A14A0D" w:rsidRDefault="00A14A0D" w:rsidP="00A14A0D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Hlk221396276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Свині: лікування, тварин, хворих на дизентерію, колібактеріоз,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пастерельоз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сальмонельоз, а також за захворювань травного каналу та органів дихання, що спричинені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мікроорганізмами, чутливими до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колістину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окситетрацикліну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триметоприму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14A0D" w:rsidRPr="00A14A0D" w:rsidRDefault="00A14A0D" w:rsidP="00A14A0D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Телята та ягнята віком до 6 тижнів, кролі</w:t>
      </w:r>
      <w:r w:rsidR="0003473E">
        <w:rPr>
          <w:rFonts w:ascii="Times New Roman" w:hAnsi="Times New Roman"/>
          <w:color w:val="000000"/>
          <w:sz w:val="24"/>
          <w:szCs w:val="24"/>
          <w:lang w:val="uk-UA"/>
        </w:rPr>
        <w:t>: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лукування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 тварин, хворих на ентерит, 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також за захворювань органів дихання, що спричинені мікроорганізмами, чутливими до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колістину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окситетрацикліну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триметоприму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A14A0D" w:rsidRDefault="00A14A0D" w:rsidP="00A14A0D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Свійська птиця (</w:t>
      </w:r>
      <w:r w:rsidR="00981B47"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кури-бройлери,</w:t>
      </w:r>
      <w:r w:rsidR="00981B47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гуси, індики,</w:t>
      </w:r>
      <w:r w:rsidR="00981B47"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качки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): лікування птиці, хворої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на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мікоплазмоз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, колібактеріоз,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пастерельоз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, а також за захворювань органів дихання, що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спричинені мікроорганізмами, чутливими до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колістину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окситетрацикліну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триметоприму</w:t>
      </w:r>
      <w:proofErr w:type="spellEnd"/>
      <w:r w:rsidRPr="00A14A0D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bookmarkEnd w:id="0"/>
    <w:p w:rsidR="008E22DF" w:rsidRPr="00D437AB" w:rsidRDefault="008E22DF" w:rsidP="00A14A0D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5.3 Протипоказання</w:t>
      </w:r>
    </w:p>
    <w:p w:rsidR="00334B68" w:rsidRP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221396395"/>
      <w:r w:rsidRPr="00334B68">
        <w:rPr>
          <w:rFonts w:ascii="Times New Roman" w:hAnsi="Times New Roman"/>
          <w:sz w:val="24"/>
          <w:szCs w:val="24"/>
          <w:lang w:val="uk-UA"/>
        </w:rPr>
        <w:t>Не застосовувати тваринам із підвищеною чутливістю до діючих речовин препарату.</w:t>
      </w:r>
    </w:p>
    <w:p w:rsidR="00334B68" w:rsidRP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>Не застосовувати тваринам із важкими порушеннями функції печінки та нирок, а також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4B68">
        <w:rPr>
          <w:rFonts w:ascii="Times New Roman" w:hAnsi="Times New Roman"/>
          <w:sz w:val="24"/>
          <w:szCs w:val="24"/>
          <w:lang w:val="uk-UA"/>
        </w:rPr>
        <w:t>жуйним тваринам із функціонально розвиненими передшлунками.</w:t>
      </w:r>
    </w:p>
    <w:p w:rsidR="00334B68" w:rsidRP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>Не застосовувати свиноматкам під час лактації та в останній триместр су поросності.</w:t>
      </w:r>
    </w:p>
    <w:p w:rsidR="00334B68" w:rsidRP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 xml:space="preserve">Не застосовувати </w:t>
      </w:r>
      <w:r w:rsidR="0050716C">
        <w:rPr>
          <w:rFonts w:ascii="Times New Roman" w:hAnsi="Times New Roman"/>
          <w:sz w:val="24"/>
          <w:szCs w:val="24"/>
          <w:lang w:val="uk-UA"/>
        </w:rPr>
        <w:t>свійській птиці</w:t>
      </w:r>
      <w:r w:rsidRPr="00334B68">
        <w:rPr>
          <w:rFonts w:ascii="Times New Roman" w:hAnsi="Times New Roman"/>
          <w:sz w:val="24"/>
          <w:szCs w:val="24"/>
          <w:lang w:val="uk-UA"/>
        </w:rPr>
        <w:t>, яйця як</w:t>
      </w:r>
      <w:r w:rsidR="0050716C">
        <w:rPr>
          <w:rFonts w:ascii="Times New Roman" w:hAnsi="Times New Roman"/>
          <w:sz w:val="24"/>
          <w:szCs w:val="24"/>
          <w:lang w:val="uk-UA"/>
        </w:rPr>
        <w:t>ої</w:t>
      </w:r>
      <w:r w:rsidRPr="00334B68">
        <w:rPr>
          <w:rFonts w:ascii="Times New Roman" w:hAnsi="Times New Roman"/>
          <w:sz w:val="24"/>
          <w:szCs w:val="24"/>
          <w:lang w:val="uk-UA"/>
        </w:rPr>
        <w:t xml:space="preserve"> вживають в їжу люди.</w:t>
      </w:r>
    </w:p>
    <w:p w:rsid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 xml:space="preserve">Не застосовувати </w:t>
      </w:r>
      <w:r>
        <w:rPr>
          <w:rFonts w:ascii="Times New Roman" w:hAnsi="Times New Roman"/>
          <w:sz w:val="24"/>
          <w:szCs w:val="24"/>
          <w:lang w:val="uk-UA"/>
        </w:rPr>
        <w:t xml:space="preserve">одночасно з </w:t>
      </w:r>
      <w:r w:rsidRPr="00334B68">
        <w:rPr>
          <w:rFonts w:ascii="Times New Roman" w:hAnsi="Times New Roman"/>
          <w:sz w:val="24"/>
          <w:szCs w:val="24"/>
          <w:lang w:val="uk-UA"/>
        </w:rPr>
        <w:t>гідрокортизоном,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4B68">
        <w:rPr>
          <w:rFonts w:ascii="Times New Roman" w:hAnsi="Times New Roman"/>
          <w:sz w:val="24"/>
          <w:szCs w:val="24"/>
          <w:lang w:val="uk-UA"/>
        </w:rPr>
        <w:t xml:space="preserve">гепарином, </w:t>
      </w:r>
      <w:proofErr w:type="spellStart"/>
      <w:r w:rsidRPr="00334B68">
        <w:rPr>
          <w:rFonts w:ascii="Times New Roman" w:hAnsi="Times New Roman"/>
          <w:sz w:val="24"/>
          <w:szCs w:val="24"/>
          <w:lang w:val="uk-UA"/>
        </w:rPr>
        <w:t>дициленом</w:t>
      </w:r>
      <w:proofErr w:type="spellEnd"/>
      <w:r w:rsidRPr="00334B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34B68">
        <w:rPr>
          <w:rFonts w:ascii="Times New Roman" w:hAnsi="Times New Roman"/>
          <w:sz w:val="24"/>
          <w:szCs w:val="24"/>
          <w:lang w:val="uk-UA"/>
        </w:rPr>
        <w:t>цефалоспоринами</w:t>
      </w:r>
      <w:proofErr w:type="spellEnd"/>
      <w:r w:rsidRPr="00334B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34B68">
        <w:rPr>
          <w:rFonts w:ascii="Times New Roman" w:hAnsi="Times New Roman"/>
          <w:sz w:val="24"/>
          <w:szCs w:val="24"/>
          <w:lang w:val="uk-UA"/>
        </w:rPr>
        <w:t>амфотерицинами</w:t>
      </w:r>
      <w:proofErr w:type="spellEnd"/>
      <w:r w:rsidRPr="00334B68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334B68">
        <w:rPr>
          <w:rFonts w:ascii="Times New Roman" w:hAnsi="Times New Roman"/>
          <w:sz w:val="24"/>
          <w:szCs w:val="24"/>
          <w:lang w:val="uk-UA"/>
        </w:rPr>
        <w:t>аміноглікозидами</w:t>
      </w:r>
      <w:proofErr w:type="spellEnd"/>
      <w:r w:rsidRPr="00334B68">
        <w:rPr>
          <w:rFonts w:ascii="Times New Roman" w:hAnsi="Times New Roman"/>
          <w:sz w:val="24"/>
          <w:szCs w:val="24"/>
          <w:lang w:val="uk-UA"/>
        </w:rPr>
        <w:t>.</w:t>
      </w:r>
    </w:p>
    <w:p w:rsidR="00334B68" w:rsidRPr="00334B68" w:rsidRDefault="00334B68" w:rsidP="00334B68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>Не застосовувати</w:t>
      </w:r>
      <w:r>
        <w:rPr>
          <w:rFonts w:ascii="Times New Roman" w:hAnsi="Times New Roman"/>
          <w:sz w:val="24"/>
          <w:szCs w:val="24"/>
          <w:lang w:val="uk-UA"/>
        </w:rPr>
        <w:t xml:space="preserve"> з профілактичною метою.</w:t>
      </w:r>
    </w:p>
    <w:bookmarkEnd w:id="1"/>
    <w:p w:rsidR="008E22DF" w:rsidRPr="00D437AB" w:rsidRDefault="008E22DF" w:rsidP="00C46FA9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5.4 Побічна дія</w:t>
      </w:r>
    </w:p>
    <w:p w:rsidR="008E22DF" w:rsidRPr="00D437AB" w:rsidRDefault="00FD2A1A" w:rsidP="00C46FA9">
      <w:pPr>
        <w:pStyle w:val="100"/>
        <w:spacing w:line="23" w:lineRule="atLeast"/>
      </w:pPr>
      <w:r>
        <w:t>За тривалого</w:t>
      </w:r>
      <w:r w:rsidR="008E22DF" w:rsidRPr="00D437AB">
        <w:t xml:space="preserve"> використанн</w:t>
      </w:r>
      <w:r>
        <w:t>я</w:t>
      </w:r>
      <w:r w:rsidR="008E22DF" w:rsidRPr="00D437AB">
        <w:t xml:space="preserve"> препарату можливі алергічні реакції (шкірні висипи, набряки, лихоманка, </w:t>
      </w:r>
      <w:proofErr w:type="spellStart"/>
      <w:r w:rsidR="008E22DF" w:rsidRPr="00D437AB">
        <w:t>еозинофілія</w:t>
      </w:r>
      <w:proofErr w:type="spellEnd"/>
      <w:r w:rsidR="008E22DF" w:rsidRPr="00D437AB">
        <w:t>).</w:t>
      </w:r>
    </w:p>
    <w:p w:rsidR="008E22DF" w:rsidRPr="00D437AB" w:rsidRDefault="008E22DF" w:rsidP="00C46FA9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5.5 Особливі застереження при використанні</w:t>
      </w:r>
    </w:p>
    <w:p w:rsidR="00FD2A1A" w:rsidRPr="00FD2A1A" w:rsidRDefault="00FD2A1A" w:rsidP="00C46FA9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Застосування препарату повинно базуватись на визначенні чутливості мікроорганізмів-</w:t>
      </w:r>
    </w:p>
    <w:p w:rsidR="00FD2A1A" w:rsidRPr="00FD2A1A" w:rsidRDefault="00FD2A1A" w:rsidP="00C46FA9">
      <w:pPr>
        <w:suppressAutoHyphens/>
        <w:spacing w:after="0" w:line="23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збудників захворювання до діючих речовин препарату.</w:t>
      </w:r>
    </w:p>
    <w:p w:rsidR="00FD2A1A" w:rsidRDefault="00FD2A1A" w:rsidP="00C46FA9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767EF" w:rsidRDefault="008767EF" w:rsidP="00C46FA9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767EF" w:rsidRDefault="008767EF" w:rsidP="00C46FA9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D2A1A" w:rsidRPr="00D437AB" w:rsidRDefault="00FD2A1A" w:rsidP="00C46FA9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</w:t>
      </w:r>
      <w:r w:rsidRPr="00D437AB">
        <w:rPr>
          <w:rFonts w:ascii="Times New Roman" w:hAnsi="Times New Roman"/>
          <w:sz w:val="24"/>
          <w:szCs w:val="24"/>
          <w:lang w:val="uk-UA"/>
        </w:rPr>
        <w:t>одаток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:rsidR="00FD2A1A" w:rsidRDefault="00FD2A1A" w:rsidP="00C46FA9">
      <w:pPr>
        <w:pStyle w:val="100"/>
        <w:spacing w:line="23" w:lineRule="atLeast"/>
        <w:jc w:val="right"/>
        <w:rPr>
          <w:rFonts w:eastAsia="Times New Roman"/>
        </w:rPr>
      </w:pPr>
      <w:r w:rsidRPr="00D437AB">
        <w:rPr>
          <w:rFonts w:eastAsia="Times New Roman"/>
        </w:rPr>
        <w:t>до реєстраційного посвідчення AB-01008-01-10</w:t>
      </w:r>
    </w:p>
    <w:p w:rsidR="00FD2A1A" w:rsidRDefault="00FD2A1A" w:rsidP="00C46FA9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D2A1A" w:rsidRPr="00FD2A1A" w:rsidRDefault="00FD2A1A" w:rsidP="00C46FA9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У гуманній медицині </w:t>
      </w:r>
      <w:proofErr w:type="spellStart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колістин</w:t>
      </w:r>
      <w:proofErr w:type="spellEnd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призначають для лікування інфекцій, які спричинені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мультрезистентними</w:t>
      </w:r>
      <w:proofErr w:type="spellEnd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 бактеріями. Застосування препарату з порушенням інструкцій,</w:t>
      </w:r>
      <w:r w:rsidR="00C46FA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наведених в цій короткій характеристиці препарату, може привести до збільшення кількості</w:t>
      </w:r>
    </w:p>
    <w:p w:rsidR="00FD2A1A" w:rsidRPr="00FD2A1A" w:rsidRDefault="00FD2A1A" w:rsidP="00C46FA9">
      <w:pPr>
        <w:suppressAutoHyphens/>
        <w:spacing w:after="0" w:line="23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бактерій, резистентних до </w:t>
      </w:r>
      <w:proofErr w:type="spellStart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колістину</w:t>
      </w:r>
      <w:proofErr w:type="spellEnd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окситетрацикліну</w:t>
      </w:r>
      <w:proofErr w:type="spellEnd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триметоприму</w:t>
      </w:r>
      <w:proofErr w:type="spellEnd"/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, що зменшує</w:t>
      </w:r>
      <w:r w:rsidR="00C46FA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ефективність лікування іншими протимікробними препаратами через наявність перехресної</w:t>
      </w:r>
    </w:p>
    <w:p w:rsidR="00FD2A1A" w:rsidRDefault="00FD2A1A" w:rsidP="00C46FA9">
      <w:pPr>
        <w:suppressAutoHyphens/>
        <w:spacing w:after="0" w:line="23" w:lineRule="atLeast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ar-SA"/>
        </w:rPr>
      </w:pPr>
      <w:r w:rsidRPr="00FD2A1A">
        <w:rPr>
          <w:rFonts w:ascii="Times New Roman" w:hAnsi="Times New Roman"/>
          <w:color w:val="000000"/>
          <w:sz w:val="24"/>
          <w:szCs w:val="24"/>
          <w:lang w:val="uk-UA"/>
        </w:rPr>
        <w:t>стійкості.</w:t>
      </w:r>
      <w:r w:rsidRPr="00FD2A1A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ar-SA"/>
        </w:rPr>
        <w:t xml:space="preserve"> </w:t>
      </w:r>
    </w:p>
    <w:p w:rsidR="008E22DF" w:rsidRPr="00D437AB" w:rsidRDefault="008E22DF" w:rsidP="00C46FA9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5.6 Використання під час вагітності, лактації, несучості</w:t>
      </w:r>
    </w:p>
    <w:p w:rsidR="008E22DF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Не застосовувати під час лактації та в останній третині вагітності. </w:t>
      </w:r>
    </w:p>
    <w:p w:rsidR="00FD2A1A" w:rsidRPr="00FD2A1A" w:rsidRDefault="00FD2A1A" w:rsidP="00FD2A1A">
      <w:pPr>
        <w:suppressAutoHyphens/>
        <w:spacing w:after="0" w:line="23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34B68">
        <w:rPr>
          <w:rFonts w:ascii="Times New Roman" w:hAnsi="Times New Roman"/>
          <w:sz w:val="24"/>
          <w:szCs w:val="24"/>
          <w:lang w:val="uk-UA"/>
        </w:rPr>
        <w:t xml:space="preserve">Не застосовувати курям-несучкам, яйця яких </w:t>
      </w:r>
      <w:r>
        <w:rPr>
          <w:rFonts w:ascii="Times New Roman" w:hAnsi="Times New Roman"/>
          <w:sz w:val="24"/>
          <w:szCs w:val="24"/>
          <w:lang w:val="uk-UA"/>
        </w:rPr>
        <w:t>використовують</w:t>
      </w:r>
      <w:r w:rsidRPr="00334B68">
        <w:rPr>
          <w:rFonts w:ascii="Times New Roman" w:hAnsi="Times New Roman"/>
          <w:sz w:val="24"/>
          <w:szCs w:val="24"/>
          <w:lang w:val="uk-UA"/>
        </w:rPr>
        <w:t xml:space="preserve"> в їжу люд</w:t>
      </w:r>
      <w:r>
        <w:rPr>
          <w:rFonts w:ascii="Times New Roman" w:hAnsi="Times New Roman"/>
          <w:sz w:val="24"/>
          <w:szCs w:val="24"/>
          <w:lang w:val="uk-UA"/>
        </w:rPr>
        <w:t>ям</w:t>
      </w:r>
      <w:r w:rsidRPr="00334B68">
        <w:rPr>
          <w:rFonts w:ascii="Times New Roman" w:hAnsi="Times New Roman"/>
          <w:sz w:val="24"/>
          <w:szCs w:val="24"/>
          <w:lang w:val="uk-UA"/>
        </w:rPr>
        <w:t>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5.7 Взаємодія з іншими засобами та інші форми взаємодії</w:t>
      </w:r>
    </w:p>
    <w:p w:rsidR="008E22DF" w:rsidRPr="00D437AB" w:rsidRDefault="008E22DF" w:rsidP="008E22DF">
      <w:pPr>
        <w:pStyle w:val="100"/>
        <w:spacing w:line="23" w:lineRule="atLeast"/>
      </w:pPr>
      <w:r w:rsidRPr="00D437AB">
        <w:t xml:space="preserve">Препарат несумісний з </w:t>
      </w:r>
      <w:proofErr w:type="spellStart"/>
      <w:r w:rsidRPr="00D437AB">
        <w:t>хінолінами</w:t>
      </w:r>
      <w:proofErr w:type="spellEnd"/>
      <w:r w:rsidRPr="00D437AB">
        <w:t xml:space="preserve">, пеніцилінами, гідрокортизоном, гепарином, </w:t>
      </w:r>
      <w:proofErr w:type="spellStart"/>
      <w:r w:rsidRPr="00D437AB">
        <w:t>дициленом</w:t>
      </w:r>
      <w:proofErr w:type="spellEnd"/>
      <w:r w:rsidRPr="00D437AB">
        <w:t xml:space="preserve">, </w:t>
      </w:r>
      <w:proofErr w:type="spellStart"/>
      <w:r w:rsidRPr="00D437AB">
        <w:t>цефалоспоринами</w:t>
      </w:r>
      <w:proofErr w:type="spellEnd"/>
      <w:r w:rsidRPr="00D437AB">
        <w:t xml:space="preserve">, препаратами </w:t>
      </w:r>
      <w:proofErr w:type="spellStart"/>
      <w:r w:rsidRPr="00D437AB">
        <w:t>амфотерицину</w:t>
      </w:r>
      <w:proofErr w:type="spellEnd"/>
      <w:r w:rsidRPr="00D437AB">
        <w:t xml:space="preserve"> та </w:t>
      </w:r>
      <w:proofErr w:type="spellStart"/>
      <w:r w:rsidRPr="00D437AB">
        <w:t>амiноглiкозидами</w:t>
      </w:r>
      <w:proofErr w:type="spellEnd"/>
      <w:r w:rsidRPr="00D437AB">
        <w:t>.</w:t>
      </w:r>
    </w:p>
    <w:p w:rsidR="008E22DF" w:rsidRPr="00D437AB" w:rsidRDefault="00385D38" w:rsidP="00385D38">
      <w:pPr>
        <w:pStyle w:val="100"/>
        <w:spacing w:line="23" w:lineRule="atLeast"/>
      </w:pPr>
      <w:r>
        <w:t>За</w:t>
      </w:r>
      <w:r w:rsidR="008E22DF" w:rsidRPr="00D437AB">
        <w:t xml:space="preserve"> одночасно</w:t>
      </w:r>
      <w:r>
        <w:t>го застосування</w:t>
      </w:r>
      <w:r w:rsidR="008E22DF" w:rsidRPr="00D437AB">
        <w:t xml:space="preserve"> з препаратами, що містять у складі </w:t>
      </w:r>
      <w:proofErr w:type="spellStart"/>
      <w:r w:rsidR="008E22DF" w:rsidRPr="00D437AB">
        <w:t>дво</w:t>
      </w:r>
      <w:proofErr w:type="spellEnd"/>
      <w:r w:rsidR="008E22DF" w:rsidRPr="00D437AB">
        <w:t>- та тривалентні катіони, такі як Mg</w:t>
      </w:r>
      <w:r w:rsidR="008E22DF" w:rsidRPr="00D437AB">
        <w:rPr>
          <w:vertAlign w:val="superscript"/>
        </w:rPr>
        <w:t>2+</w:t>
      </w:r>
      <w:r w:rsidR="008E22DF" w:rsidRPr="00D437AB">
        <w:t>, Al</w:t>
      </w:r>
      <w:r w:rsidR="008E22DF" w:rsidRPr="00D437AB">
        <w:rPr>
          <w:vertAlign w:val="superscript"/>
        </w:rPr>
        <w:t>3+</w:t>
      </w:r>
      <w:r w:rsidR="008E22DF" w:rsidRPr="00D437AB">
        <w:t>, Ca</w:t>
      </w:r>
      <w:r w:rsidR="008E22DF" w:rsidRPr="00D437AB">
        <w:rPr>
          <w:vertAlign w:val="superscript"/>
        </w:rPr>
        <w:t>2+</w:t>
      </w:r>
      <w:r w:rsidR="008E22DF" w:rsidRPr="00D437AB">
        <w:t>, Zn</w:t>
      </w:r>
      <w:r w:rsidR="008E22DF" w:rsidRPr="00D437AB">
        <w:rPr>
          <w:vertAlign w:val="superscript"/>
        </w:rPr>
        <w:t>2+</w:t>
      </w:r>
      <w:r w:rsidR="008E22DF" w:rsidRPr="00D437AB">
        <w:t>, Bi</w:t>
      </w:r>
      <w:r w:rsidR="008E22DF" w:rsidRPr="00D437AB">
        <w:rPr>
          <w:vertAlign w:val="superscript"/>
        </w:rPr>
        <w:t>2+</w:t>
      </w:r>
      <w:r w:rsidR="008E22DF" w:rsidRPr="00D437AB">
        <w:t>, Fe</w:t>
      </w:r>
      <w:r w:rsidR="008E22DF" w:rsidRPr="00D437AB">
        <w:rPr>
          <w:vertAlign w:val="superscript"/>
        </w:rPr>
        <w:t>3+</w:t>
      </w:r>
      <w:r w:rsidR="008E22DF" w:rsidRPr="00D437AB">
        <w:t xml:space="preserve">, останні можуть зв’язуватися з </w:t>
      </w:r>
      <w:proofErr w:type="spellStart"/>
      <w:r w:rsidR="008E22DF" w:rsidRPr="00D437AB">
        <w:t>окситетрацикліном</w:t>
      </w:r>
      <w:proofErr w:type="spellEnd"/>
      <w:r w:rsidR="008E22DF" w:rsidRPr="00D437AB">
        <w:t xml:space="preserve"> та перешкоджати його абсорбції.</w:t>
      </w:r>
    </w:p>
    <w:p w:rsidR="008E22DF" w:rsidRPr="006873F6" w:rsidRDefault="008E22DF" w:rsidP="006873F6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5.8 Дози і способи введення тваринам різного віку</w:t>
      </w:r>
    </w:p>
    <w:p w:rsidR="008E22DF" w:rsidRPr="00D437AB" w:rsidRDefault="008E22DF" w:rsidP="008E22DF">
      <w:pPr>
        <w:pStyle w:val="100"/>
        <w:spacing w:line="23" w:lineRule="atLeast"/>
      </w:pPr>
      <w:bookmarkStart w:id="3" w:name="_Hlk221396318"/>
      <w:r w:rsidRPr="00D437AB">
        <w:t>Препарат застосовують перорально у таких дозах:</w:t>
      </w:r>
    </w:p>
    <w:p w:rsidR="006873F6" w:rsidRPr="00A01D55" w:rsidRDefault="008E22DF" w:rsidP="00A01D55">
      <w:pPr>
        <w:pStyle w:val="100"/>
        <w:spacing w:line="23" w:lineRule="atLeast"/>
      </w:pPr>
      <w:r w:rsidRPr="00A01D55">
        <w:t>поросята (груповий метод)</w:t>
      </w:r>
      <w:r w:rsidR="006873F6" w:rsidRPr="00A01D55">
        <w:t xml:space="preserve"> </w:t>
      </w:r>
      <w:r w:rsidR="00A01D55" w:rsidRPr="00A01D55">
        <w:t xml:space="preserve">- </w:t>
      </w:r>
      <w:r w:rsidR="006873F6" w:rsidRPr="00A01D55">
        <w:t>1 г</w:t>
      </w:r>
      <w:r w:rsidR="00A01D55">
        <w:t xml:space="preserve"> </w:t>
      </w:r>
      <w:r w:rsidR="00A01D55" w:rsidRPr="00A01D55">
        <w:t>препарату</w:t>
      </w:r>
      <w:r w:rsidR="006873F6" w:rsidRPr="00A01D55">
        <w:t xml:space="preserve"> </w:t>
      </w:r>
      <w:r w:rsidR="00A01D55" w:rsidRPr="00A01D55">
        <w:t xml:space="preserve">на 10 кг маси тіла тварини (що еквівалентно 500 000 МО </w:t>
      </w:r>
      <w:proofErr w:type="spellStart"/>
      <w:r w:rsidR="00A01D55" w:rsidRPr="00A01D55">
        <w:t>колістину</w:t>
      </w:r>
      <w:proofErr w:type="spellEnd"/>
      <w:r w:rsidR="00A01D55" w:rsidRPr="00A01D55">
        <w:t xml:space="preserve"> сульфату, 35 мг </w:t>
      </w:r>
      <w:proofErr w:type="spellStart"/>
      <w:r w:rsidR="00A01D55" w:rsidRPr="00A01D55">
        <w:t>окситетрацикліну</w:t>
      </w:r>
      <w:proofErr w:type="spellEnd"/>
      <w:r w:rsidR="00A01D55" w:rsidRPr="00A01D55">
        <w:t xml:space="preserve"> </w:t>
      </w:r>
      <w:proofErr w:type="spellStart"/>
      <w:r w:rsidR="00A01D55" w:rsidRPr="00A01D55">
        <w:t>гідрохлориду</w:t>
      </w:r>
      <w:proofErr w:type="spellEnd"/>
      <w:r w:rsidR="00A01D55" w:rsidRPr="00A01D55">
        <w:t xml:space="preserve">, 27 мг </w:t>
      </w:r>
      <w:proofErr w:type="spellStart"/>
      <w:r w:rsidR="00A01D55" w:rsidRPr="00A01D55">
        <w:t>триметоприму</w:t>
      </w:r>
      <w:proofErr w:type="spellEnd"/>
      <w:r w:rsidR="00AA5BED">
        <w:t xml:space="preserve"> </w:t>
      </w:r>
      <w:r w:rsidR="00AA5BED" w:rsidRPr="00AA5BED">
        <w:t>на 10 кг маси тіла тварини</w:t>
      </w:r>
      <w:r w:rsidR="00A01D55" w:rsidRPr="00A01D55">
        <w:t>)</w:t>
      </w:r>
      <w:r w:rsidRPr="00A01D55">
        <w:t>,</w:t>
      </w:r>
      <w:r w:rsidR="00A01D55" w:rsidRPr="00A01D55">
        <w:t xml:space="preserve"> 2 рази на добу</w:t>
      </w:r>
      <w:r w:rsidRPr="00A01D55">
        <w:t xml:space="preserve"> </w:t>
      </w:r>
      <w:r w:rsidR="00A01D55" w:rsidRPr="00A01D55">
        <w:t>з питною водою або замінником молока. Курс лікування - 5-7 діб;</w:t>
      </w:r>
    </w:p>
    <w:p w:rsidR="00A01D55" w:rsidRPr="00AA5BED" w:rsidRDefault="00A01D55" w:rsidP="00AA5BED">
      <w:pPr>
        <w:pStyle w:val="100"/>
        <w:spacing w:line="23" w:lineRule="atLeast"/>
      </w:pPr>
      <w:r w:rsidRPr="00AA5BED">
        <w:t xml:space="preserve">телята, ягнята віком до 6 тижнів (індивідуально) - 1 г препарату на 10 кг маси тіла (що еквівалентно 500 000 МО </w:t>
      </w:r>
      <w:proofErr w:type="spellStart"/>
      <w:r w:rsidRPr="00AA5BED">
        <w:t>колістину</w:t>
      </w:r>
      <w:proofErr w:type="spellEnd"/>
      <w:r w:rsidRPr="00AA5BED">
        <w:t xml:space="preserve"> сульфату, 35 мг</w:t>
      </w:r>
      <w:r w:rsidR="00AA5BED" w:rsidRPr="00AA5BED">
        <w:t xml:space="preserve"> </w:t>
      </w:r>
      <w:proofErr w:type="spellStart"/>
      <w:r w:rsidRPr="00AA5BED">
        <w:t>окситетрацикліну</w:t>
      </w:r>
      <w:proofErr w:type="spellEnd"/>
      <w:r w:rsidRPr="00AA5BED">
        <w:t xml:space="preserve"> </w:t>
      </w:r>
      <w:proofErr w:type="spellStart"/>
      <w:r w:rsidRPr="00AA5BED">
        <w:t>гідрохлориду</w:t>
      </w:r>
      <w:proofErr w:type="spellEnd"/>
      <w:r w:rsidRPr="00AA5BED">
        <w:t xml:space="preserve">, 27 мг </w:t>
      </w:r>
      <w:proofErr w:type="spellStart"/>
      <w:r w:rsidRPr="00AA5BED">
        <w:t>триметоприму</w:t>
      </w:r>
      <w:proofErr w:type="spellEnd"/>
      <w:r w:rsidRPr="00AA5BED">
        <w:t xml:space="preserve"> на 10 кг маси тіла тварини) 2 рази на добу, з питною водою або замінником молока. Курс лікування - 5-7 діб;</w:t>
      </w:r>
    </w:p>
    <w:p w:rsidR="00A01D55" w:rsidRPr="006A3099" w:rsidRDefault="00A01D55" w:rsidP="006A3099">
      <w:pPr>
        <w:pStyle w:val="100"/>
        <w:spacing w:line="23" w:lineRule="atLeast"/>
        <w:rPr>
          <w:highlight w:val="yellow"/>
        </w:rPr>
      </w:pPr>
      <w:r w:rsidRPr="006A3099">
        <w:t>кролі, свійська птиця (</w:t>
      </w:r>
      <w:r w:rsidR="00981B47" w:rsidRPr="00D437AB">
        <w:rPr>
          <w:rFonts w:eastAsia="Times New Roman"/>
          <w:kern w:val="1"/>
          <w:lang w:eastAsia="ar-SA"/>
        </w:rPr>
        <w:t>кури-бройлери,</w:t>
      </w:r>
      <w:r w:rsidR="00981B47">
        <w:rPr>
          <w:rFonts w:eastAsia="Times New Roman"/>
          <w:kern w:val="1"/>
          <w:lang w:eastAsia="ar-SA"/>
        </w:rPr>
        <w:t xml:space="preserve"> гуси, індики,</w:t>
      </w:r>
      <w:r w:rsidR="00981B47" w:rsidRPr="00D437AB">
        <w:rPr>
          <w:rFonts w:eastAsia="Times New Roman"/>
          <w:kern w:val="1"/>
          <w:lang w:eastAsia="ar-SA"/>
        </w:rPr>
        <w:t xml:space="preserve"> качки</w:t>
      </w:r>
      <w:r w:rsidRPr="006A3099">
        <w:t xml:space="preserve">) </w:t>
      </w:r>
      <w:r w:rsidR="006A3099">
        <w:t>–</w:t>
      </w:r>
      <w:r w:rsidR="00AD3288">
        <w:t xml:space="preserve"> </w:t>
      </w:r>
      <w:r w:rsidRPr="006A3099">
        <w:t>2 г препарату на</w:t>
      </w:r>
      <w:r w:rsidR="00AA5BED" w:rsidRPr="006A3099">
        <w:t xml:space="preserve"> </w:t>
      </w:r>
      <w:r w:rsidRPr="006A3099">
        <w:t xml:space="preserve">10 кг маси тіла (що еквівалентно </w:t>
      </w:r>
      <w:r w:rsidR="006A3099" w:rsidRPr="006A3099">
        <w:t xml:space="preserve">1 000 000 </w:t>
      </w:r>
      <w:r w:rsidRPr="006A3099">
        <w:t xml:space="preserve">МО </w:t>
      </w:r>
      <w:proofErr w:type="spellStart"/>
      <w:r w:rsidRPr="006A3099">
        <w:t>колістину</w:t>
      </w:r>
      <w:proofErr w:type="spellEnd"/>
      <w:r w:rsidRPr="006A3099">
        <w:t xml:space="preserve"> сульфату, 70 мг </w:t>
      </w:r>
      <w:proofErr w:type="spellStart"/>
      <w:r w:rsidRPr="006A3099">
        <w:t>окситетрацикліну</w:t>
      </w:r>
      <w:proofErr w:type="spellEnd"/>
      <w:r w:rsidR="00AA5BED" w:rsidRPr="006A3099">
        <w:t xml:space="preserve"> </w:t>
      </w:r>
      <w:proofErr w:type="spellStart"/>
      <w:r w:rsidRPr="006A3099">
        <w:t>гудрохлориду</w:t>
      </w:r>
      <w:proofErr w:type="spellEnd"/>
      <w:r w:rsidRPr="006A3099">
        <w:t xml:space="preserve">, 54 мг </w:t>
      </w:r>
      <w:proofErr w:type="spellStart"/>
      <w:r w:rsidRPr="006A3099">
        <w:t>триметоприму</w:t>
      </w:r>
      <w:proofErr w:type="spellEnd"/>
      <w:r w:rsidRPr="006A3099">
        <w:t xml:space="preserve"> на 10 кг маси тіла тварини) </w:t>
      </w:r>
      <w:r w:rsidR="00960751">
        <w:t>розчинити</w:t>
      </w:r>
      <w:r w:rsidR="006A3099" w:rsidRPr="006A3099">
        <w:t xml:space="preserve"> </w:t>
      </w:r>
      <w:r w:rsidR="00960751">
        <w:t>в</w:t>
      </w:r>
      <w:r w:rsidR="006A3099" w:rsidRPr="006A3099">
        <w:t xml:space="preserve"> добов</w:t>
      </w:r>
      <w:r w:rsidR="00960751">
        <w:t>ій</w:t>
      </w:r>
      <w:r w:rsidR="006A3099" w:rsidRPr="006A3099">
        <w:t xml:space="preserve"> норм</w:t>
      </w:r>
      <w:r w:rsidR="00960751">
        <w:t>і</w:t>
      </w:r>
      <w:r w:rsidR="006A3099" w:rsidRPr="006A3099">
        <w:t xml:space="preserve"> питної води</w:t>
      </w:r>
      <w:r w:rsidR="00AD3288">
        <w:t>.</w:t>
      </w:r>
      <w:r w:rsidR="006A3099" w:rsidRPr="006A3099">
        <w:t xml:space="preserve"> </w:t>
      </w:r>
      <w:r w:rsidR="00AD3288">
        <w:t>В</w:t>
      </w:r>
      <w:r w:rsidR="006A3099" w:rsidRPr="006A3099">
        <w:t>ипо</w:t>
      </w:r>
      <w:r w:rsidR="00AD3288">
        <w:t>ювати</w:t>
      </w:r>
      <w:r w:rsidR="006A3099" w:rsidRPr="006A3099">
        <w:t xml:space="preserve"> протягом доби. </w:t>
      </w:r>
      <w:r w:rsidRPr="006A3099">
        <w:t>Курс лікування 5 діб.</w:t>
      </w:r>
    </w:p>
    <w:bookmarkEnd w:id="3"/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5.9 Передозування (симптоми, невідкладні заходи, антидоти)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Діючі речовини препарату відносяться до малотоксичних сполук, але при підвищеній чутливості організму, надмірному збільшенні дозування або довготривалому курсі лікування вони також можуть призвести до побічних явищ, головним чином у системі кровотворення і нирках. 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При виявлені перших проявів побічної дії необхідно зменшити дозу препарату або зовсім його відмінити. Якщо токсичні прояви виражені сильніше, слід давати лужне пиття та сечогінні засоби. При змінах у картині крові (агранулоцитозі, лейкопенії тощо) доцільно призначати нуклеїнову кислоту, препарати заліза, а також корми, багаті білками та вітамінами.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5.10 Спеціальні застереження</w:t>
      </w:r>
    </w:p>
    <w:p w:rsidR="008E22DF" w:rsidRPr="00D437AB" w:rsidRDefault="005113D3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Відсутні.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5.11 Період виведення (</w:t>
      </w:r>
      <w:proofErr w:type="spellStart"/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каренції</w:t>
      </w:r>
      <w:proofErr w:type="spellEnd"/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)</w:t>
      </w:r>
    </w:p>
    <w:p w:rsidR="008E22DF" w:rsidRPr="00D437AB" w:rsidRDefault="008E22DF" w:rsidP="008E22DF">
      <w:pPr>
        <w:pStyle w:val="100"/>
        <w:spacing w:line="23" w:lineRule="atLeast"/>
        <w:rPr>
          <w:color w:val="auto"/>
        </w:rPr>
      </w:pPr>
      <w:r w:rsidRPr="00D437AB">
        <w:t>Після останнього застосування препарату забій телят, ягнят, свиней, кролів на м’ясо дозволяється через 10 діб, птиці — через 7 діб. М’ясо, отримане раніше вказаного терміну, утилізують або згодовують непродуктивним тваринам залежно від висновку лікаря ветеринарної медицини.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bCs/>
          <w:kern w:val="1"/>
          <w:sz w:val="24"/>
          <w:szCs w:val="24"/>
          <w:lang w:val="uk-UA" w:eastAsia="ar-SA"/>
        </w:rPr>
        <w:t>5.12 Спеціальні застереження для осіб і обслуговуючого персоналу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Cs/>
          <w:kern w:val="1"/>
          <w:sz w:val="24"/>
          <w:szCs w:val="24"/>
          <w:lang w:val="uk-UA" w:eastAsia="ar-SA"/>
        </w:rPr>
        <w:t>Дотримуватися правил роботи з ветеринарними препаратами.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6. Фармацевтичні особливості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bCs/>
          <w:kern w:val="1"/>
          <w:sz w:val="24"/>
          <w:szCs w:val="24"/>
          <w:lang w:val="uk-UA" w:eastAsia="ar-SA"/>
        </w:rPr>
        <w:t>6.1 Форми несумісності (основні)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Препарат несумісний із гідрокортизоном, гепарином, </w:t>
      </w:r>
      <w:proofErr w:type="spellStart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дициленом</w:t>
      </w:r>
      <w:proofErr w:type="spellEnd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цефалоспоринами</w:t>
      </w:r>
      <w:proofErr w:type="spellEnd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, препаратами </w:t>
      </w:r>
      <w:proofErr w:type="spellStart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амфотерицину</w:t>
      </w:r>
      <w:proofErr w:type="spellEnd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 xml:space="preserve"> та </w:t>
      </w:r>
      <w:proofErr w:type="spellStart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аміноглікозидами</w:t>
      </w:r>
      <w:proofErr w:type="spellEnd"/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.</w:t>
      </w:r>
    </w:p>
    <w:p w:rsidR="0050466B" w:rsidRPr="00D437AB" w:rsidRDefault="0050466B" w:rsidP="0050466B">
      <w:pPr>
        <w:pStyle w:val="21"/>
        <w:tabs>
          <w:tab w:val="left" w:pos="1215"/>
          <w:tab w:val="right" w:pos="10321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</w:t>
      </w:r>
      <w:r w:rsidRPr="00D437AB">
        <w:rPr>
          <w:rFonts w:ascii="Times New Roman" w:hAnsi="Times New Roman"/>
          <w:sz w:val="24"/>
          <w:szCs w:val="24"/>
          <w:lang w:val="uk-UA"/>
        </w:rPr>
        <w:t>одаток</w:t>
      </w:r>
      <w:r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Pr="00D437AB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:rsidR="0050466B" w:rsidRDefault="0050466B" w:rsidP="0050466B">
      <w:pPr>
        <w:pStyle w:val="100"/>
        <w:spacing w:line="23" w:lineRule="atLeast"/>
        <w:jc w:val="right"/>
        <w:rPr>
          <w:rFonts w:eastAsia="Times New Roman"/>
        </w:rPr>
      </w:pPr>
      <w:r w:rsidRPr="00D437AB">
        <w:rPr>
          <w:rFonts w:eastAsia="Times New Roman"/>
        </w:rPr>
        <w:t>до реєстраційного посвідчення AB-01008-01-10</w:t>
      </w:r>
    </w:p>
    <w:p w:rsidR="0050466B" w:rsidRDefault="0050466B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6.2 Термін придатності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3 роки.</w:t>
      </w:r>
    </w:p>
    <w:p w:rsidR="008E22DF" w:rsidRPr="00D437AB" w:rsidRDefault="00D2099E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bookmarkStart w:id="4" w:name="_Hlk221396906"/>
      <w:r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Препарат після змішування з кормом або розчинення у воді зберіганню не підлягає.</w:t>
      </w:r>
    </w:p>
    <w:bookmarkEnd w:id="4"/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6.3 Особливі заходи зберігання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kern w:val="1"/>
          <w:sz w:val="24"/>
          <w:szCs w:val="24"/>
          <w:lang w:val="uk-UA" w:eastAsia="ar-SA"/>
        </w:rPr>
        <w:t>Сухе темне, недоступне для дітей місце за температури від 8 до 25 ºС.</w:t>
      </w:r>
    </w:p>
    <w:p w:rsidR="008E22DF" w:rsidRPr="00D437AB" w:rsidRDefault="008E22DF" w:rsidP="008E22DF">
      <w:pPr>
        <w:suppressAutoHyphens/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</w:pPr>
      <w:r w:rsidRPr="00D437AB">
        <w:rPr>
          <w:rFonts w:ascii="Times New Roman" w:eastAsia="Times New Roman" w:hAnsi="Times New Roman"/>
          <w:b/>
          <w:kern w:val="1"/>
          <w:sz w:val="24"/>
          <w:szCs w:val="24"/>
          <w:lang w:val="uk-UA" w:eastAsia="ar-SA"/>
        </w:rPr>
        <w:t>6.4 Природа і склад контейнера первинного упакування</w:t>
      </w:r>
    </w:p>
    <w:p w:rsidR="008E22DF" w:rsidRDefault="008E22DF" w:rsidP="008E22DF">
      <w:pPr>
        <w:pStyle w:val="11"/>
        <w:spacing w:before="0" w:after="0" w:line="23" w:lineRule="atLeast"/>
        <w:rPr>
          <w:lang w:eastAsia="uk-UA"/>
        </w:rPr>
      </w:pPr>
      <w:r>
        <w:t>Пакети або контейнери із полімерних матеріалів по 10, 20, 100</w:t>
      </w:r>
      <w:r w:rsidR="00D2099E">
        <w:t xml:space="preserve"> або </w:t>
      </w:r>
      <w:r>
        <w:t>1000 г.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b/>
          <w:snapToGrid w:val="0"/>
          <w:sz w:val="24"/>
          <w:szCs w:val="24"/>
          <w:lang w:val="uk-UA"/>
        </w:rPr>
        <w:t>6.5. Особливі заходи безпеки при поводженні з невикористаним засобом або його залишками</w:t>
      </w:r>
    </w:p>
    <w:p w:rsidR="008E22DF" w:rsidRPr="00D437AB" w:rsidRDefault="008E22DF" w:rsidP="008E22DF">
      <w:pPr>
        <w:spacing w:after="0" w:line="23" w:lineRule="atLeast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b/>
          <w:sz w:val="24"/>
          <w:szCs w:val="24"/>
          <w:lang w:val="uk-UA"/>
        </w:rPr>
        <w:t>7. Назва та місцезнаходження власника реєстраційного посвідчення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 xml:space="preserve">ТОВ "БРОВАФАРМА" </w:t>
      </w:r>
    </w:p>
    <w:p w:rsidR="00345722" w:rsidRPr="00D2099E" w:rsidRDefault="008E22DF" w:rsidP="00D2099E">
      <w:pPr>
        <w:spacing w:after="0" w:line="23" w:lineRule="atLeast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>б–р Незалежності 18-а, м. Бровари, Київська обл., 07400, Україна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b/>
          <w:sz w:val="24"/>
          <w:szCs w:val="24"/>
          <w:lang w:val="uk-UA"/>
        </w:rPr>
        <w:t>8. Назва та місцезнаходження виробника (виробників)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 xml:space="preserve">ТОВ "БРОВАФАРМА" 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sz w:val="24"/>
          <w:szCs w:val="24"/>
          <w:lang w:val="uk-UA"/>
        </w:rPr>
        <w:t>б–р Незалежності 18-а, м. Бровари, Київська обл., 07400, Україна</w:t>
      </w:r>
    </w:p>
    <w:p w:rsidR="008E22DF" w:rsidRPr="00D437AB" w:rsidRDefault="008E22DF" w:rsidP="008E22DF">
      <w:pPr>
        <w:spacing w:after="0" w:line="23" w:lineRule="atLeast"/>
        <w:ind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437AB">
        <w:rPr>
          <w:rFonts w:ascii="Times New Roman" w:eastAsia="Times New Roman" w:hAnsi="Times New Roman"/>
          <w:b/>
          <w:sz w:val="24"/>
          <w:szCs w:val="24"/>
          <w:lang w:val="uk-UA"/>
        </w:rPr>
        <w:t>9. Додаткова інформація</w:t>
      </w:r>
    </w:p>
    <w:p w:rsidR="00894ACE" w:rsidRDefault="00894ACE"/>
    <w:sectPr w:rsidR="00894ACE" w:rsidSect="008767EF">
      <w:pgSz w:w="11906" w:h="16838"/>
      <w:pgMar w:top="56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0175"/>
    <w:rsid w:val="0003473E"/>
    <w:rsid w:val="000B0175"/>
    <w:rsid w:val="00111B8C"/>
    <w:rsid w:val="001860EA"/>
    <w:rsid w:val="001A28AA"/>
    <w:rsid w:val="002D3268"/>
    <w:rsid w:val="00313BFE"/>
    <w:rsid w:val="00334B68"/>
    <w:rsid w:val="00345722"/>
    <w:rsid w:val="00366247"/>
    <w:rsid w:val="00385D38"/>
    <w:rsid w:val="003B6044"/>
    <w:rsid w:val="0050466B"/>
    <w:rsid w:val="0050716C"/>
    <w:rsid w:val="005113D3"/>
    <w:rsid w:val="005C6E14"/>
    <w:rsid w:val="00624553"/>
    <w:rsid w:val="006873F6"/>
    <w:rsid w:val="006A3099"/>
    <w:rsid w:val="008767EF"/>
    <w:rsid w:val="00881BBB"/>
    <w:rsid w:val="00894ACE"/>
    <w:rsid w:val="008B3D8F"/>
    <w:rsid w:val="008E22DF"/>
    <w:rsid w:val="00900B8D"/>
    <w:rsid w:val="00960751"/>
    <w:rsid w:val="00981B47"/>
    <w:rsid w:val="009A1102"/>
    <w:rsid w:val="00A01D55"/>
    <w:rsid w:val="00A14A0D"/>
    <w:rsid w:val="00AA5BED"/>
    <w:rsid w:val="00AD3288"/>
    <w:rsid w:val="00B44F9C"/>
    <w:rsid w:val="00BC4D66"/>
    <w:rsid w:val="00C46FA9"/>
    <w:rsid w:val="00D2099E"/>
    <w:rsid w:val="00F244DE"/>
    <w:rsid w:val="00F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843A"/>
  <w15:docId w15:val="{0576DB1C-508F-471E-B7A5-8A7A9AB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5722"/>
    <w:pPr>
      <w:spacing w:after="200" w:line="276" w:lineRule="auto"/>
    </w:pPr>
    <w:rPr>
      <w:rFonts w:ascii="Calibri" w:eastAsia="Calibri" w:hAnsi="Calibri" w:cs="Times New Roman"/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01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B01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1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1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1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1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1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1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1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1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1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uiPriority w:val="10"/>
    <w:rsid w:val="000B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1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uiPriority w:val="11"/>
    <w:rsid w:val="000B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1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</w:rPr>
  </w:style>
  <w:style w:type="character" w:customStyle="1" w:styleId="a8">
    <w:name w:val="Цитата Знак"/>
    <w:basedOn w:val="a0"/>
    <w:link w:val="a7"/>
    <w:uiPriority w:val="29"/>
    <w:rsid w:val="000B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1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</w:rPr>
  </w:style>
  <w:style w:type="character" w:styleId="aa">
    <w:name w:val="Intense Emphasis"/>
    <w:basedOn w:val="a0"/>
    <w:uiPriority w:val="21"/>
    <w:qFormat/>
    <w:rsid w:val="000B01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/>
    </w:rPr>
  </w:style>
  <w:style w:type="character" w:customStyle="1" w:styleId="ac">
    <w:name w:val="Насичена цитата Знак"/>
    <w:basedOn w:val="a0"/>
    <w:link w:val="ab"/>
    <w:uiPriority w:val="30"/>
    <w:rsid w:val="000B01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175"/>
    <w:rPr>
      <w:b/>
      <w:bCs/>
      <w:smallCaps/>
      <w:color w:val="0F4761" w:themeColor="accent1" w:themeShade="BF"/>
      <w:spacing w:val="5"/>
    </w:rPr>
  </w:style>
  <w:style w:type="paragraph" w:customStyle="1" w:styleId="21">
    <w:name w:val="Знак Знак Знак Знак Знак Знак2"/>
    <w:basedOn w:val="a"/>
    <w:rsid w:val="008E22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1 стиль"/>
    <w:basedOn w:val="a"/>
    <w:link w:val="12"/>
    <w:qFormat/>
    <w:rsid w:val="008E22DF"/>
    <w:pPr>
      <w:spacing w:before="120" w:after="120" w:line="240" w:lineRule="auto"/>
      <w:ind w:firstLine="709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12">
    <w:name w:val="1 стиль Знак"/>
    <w:link w:val="11"/>
    <w:rsid w:val="008E22DF"/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customStyle="1" w:styleId="100">
    <w:name w:val="10"/>
    <w:basedOn w:val="a"/>
    <w:link w:val="101"/>
    <w:qFormat/>
    <w:rsid w:val="008E22DF"/>
    <w:pPr>
      <w:spacing w:after="0" w:line="240" w:lineRule="auto"/>
      <w:ind w:firstLine="567"/>
      <w:jc w:val="both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101">
    <w:name w:val="10 Знак"/>
    <w:basedOn w:val="a0"/>
    <w:link w:val="100"/>
    <w:rsid w:val="008E22DF"/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ae">
    <w:name w:val="Знак Знак"/>
    <w:basedOn w:val="a"/>
    <w:rsid w:val="00A01D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7088</Words>
  <Characters>4041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Халус</dc:creator>
  <cp:keywords/>
  <dc:description/>
  <cp:lastModifiedBy>admin</cp:lastModifiedBy>
  <cp:revision>33</cp:revision>
  <dcterms:created xsi:type="dcterms:W3CDTF">2025-11-19T10:09:00Z</dcterms:created>
  <dcterms:modified xsi:type="dcterms:W3CDTF">2026-02-11T18:37:00Z</dcterms:modified>
</cp:coreProperties>
</file>