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6E" w:rsidRPr="00C5653F" w:rsidRDefault="003E232C" w:rsidP="00BA7F8E">
      <w:pPr>
        <w:pStyle w:val="1"/>
        <w:shd w:val="clear" w:color="auto" w:fill="auto"/>
        <w:spacing w:line="230" w:lineRule="exact"/>
        <w:ind w:left="9204"/>
      </w:pPr>
      <w:r w:rsidRPr="00C5653F">
        <w:t>Додаток 1</w:t>
      </w:r>
    </w:p>
    <w:p w:rsidR="00D4406E" w:rsidRPr="00C5653F" w:rsidRDefault="003E232C" w:rsidP="00BA7F8E">
      <w:pPr>
        <w:pStyle w:val="1"/>
        <w:shd w:val="clear" w:color="auto" w:fill="auto"/>
        <w:spacing w:line="230" w:lineRule="exact"/>
        <w:ind w:left="5387"/>
      </w:pPr>
      <w:r w:rsidRPr="00C5653F">
        <w:t xml:space="preserve">до реєстраційного посвідчення </w:t>
      </w:r>
      <w:r w:rsidRPr="00C5653F">
        <w:rPr>
          <w:lang w:eastAsia="en-US" w:bidi="en-US"/>
        </w:rPr>
        <w:t>AA-06277-01-16</w:t>
      </w:r>
    </w:p>
    <w:p w:rsidR="00D4406E" w:rsidRPr="00C5653F" w:rsidRDefault="00D4406E"/>
    <w:p w:rsidR="00BA7F8E" w:rsidRPr="00C5653F" w:rsidRDefault="00BA7F8E"/>
    <w:p w:rsidR="00D4406E" w:rsidRPr="00C5653F" w:rsidRDefault="003E232C" w:rsidP="006C4A97">
      <w:pPr>
        <w:pStyle w:val="20"/>
        <w:keepNext/>
        <w:keepLines/>
        <w:shd w:val="clear" w:color="auto" w:fill="auto"/>
        <w:spacing w:line="230" w:lineRule="exact"/>
        <w:ind w:firstLine="360"/>
        <w:jc w:val="center"/>
      </w:pPr>
      <w:bookmarkStart w:id="0" w:name="bookmark1"/>
      <w:r w:rsidRPr="00C5653F">
        <w:t>Коротка характеристика препарату</w:t>
      </w:r>
      <w:bookmarkEnd w:id="0"/>
    </w:p>
    <w:p w:rsidR="00BA7F8E" w:rsidRPr="00C5653F" w:rsidRDefault="00BA7F8E">
      <w:pPr>
        <w:pStyle w:val="20"/>
        <w:keepNext/>
        <w:keepLines/>
        <w:shd w:val="clear" w:color="auto" w:fill="auto"/>
        <w:spacing w:line="230" w:lineRule="exact"/>
        <w:ind w:firstLine="360"/>
      </w:pPr>
    </w:p>
    <w:p w:rsidR="00D4406E" w:rsidRPr="00C5653F" w:rsidRDefault="003E232C" w:rsidP="003604AA">
      <w:pPr>
        <w:pStyle w:val="20"/>
        <w:keepNext/>
        <w:keepLines/>
        <w:shd w:val="clear" w:color="auto" w:fill="auto"/>
        <w:spacing w:line="230" w:lineRule="exact"/>
        <w:ind w:firstLine="360"/>
        <w:jc w:val="both"/>
      </w:pPr>
      <w:r w:rsidRPr="00C5653F">
        <w:t>1. Назва</w:t>
      </w:r>
    </w:p>
    <w:p w:rsidR="00D4406E" w:rsidRPr="00C5653F" w:rsidRDefault="003E232C" w:rsidP="003604AA">
      <w:pPr>
        <w:pStyle w:val="1"/>
        <w:shd w:val="clear" w:color="auto" w:fill="auto"/>
        <w:spacing w:line="274" w:lineRule="exact"/>
        <w:ind w:firstLine="360"/>
        <w:jc w:val="both"/>
      </w:pPr>
      <w:r w:rsidRPr="00C5653F">
        <w:t>Еквістронг паста</w:t>
      </w:r>
    </w:p>
    <w:p w:rsidR="00D4406E" w:rsidRPr="00C5653F" w:rsidRDefault="003E232C" w:rsidP="003604AA">
      <w:pPr>
        <w:pStyle w:val="20"/>
        <w:keepNext/>
        <w:keepLines/>
        <w:numPr>
          <w:ilvl w:val="0"/>
          <w:numId w:val="1"/>
        </w:numPr>
        <w:shd w:val="clear" w:color="auto" w:fill="auto"/>
        <w:spacing w:line="274" w:lineRule="exact"/>
        <w:ind w:firstLine="360"/>
        <w:jc w:val="both"/>
      </w:pPr>
      <w:bookmarkStart w:id="1" w:name="bookmark2"/>
      <w:r w:rsidRPr="00C5653F">
        <w:t xml:space="preserve"> Склад</w:t>
      </w:r>
      <w:bookmarkEnd w:id="1"/>
    </w:p>
    <w:p w:rsidR="00D4406E" w:rsidRPr="00C5653F" w:rsidRDefault="003E232C" w:rsidP="003604AA">
      <w:pPr>
        <w:pStyle w:val="1"/>
        <w:shd w:val="clear" w:color="auto" w:fill="auto"/>
        <w:spacing w:line="274" w:lineRule="exact"/>
        <w:ind w:firstLine="360"/>
        <w:jc w:val="both"/>
      </w:pPr>
      <w:r w:rsidRPr="00C5653F">
        <w:t>1 г препарату містить діючу речовину:</w:t>
      </w:r>
    </w:p>
    <w:p w:rsidR="00D4406E" w:rsidRPr="00C5653F" w:rsidRDefault="003E232C" w:rsidP="003604AA">
      <w:pPr>
        <w:pStyle w:val="1"/>
        <w:shd w:val="clear" w:color="auto" w:fill="auto"/>
        <w:spacing w:line="274" w:lineRule="exact"/>
        <w:ind w:firstLine="360"/>
        <w:jc w:val="both"/>
      </w:pPr>
      <w:r w:rsidRPr="00C5653F">
        <w:t xml:space="preserve">пірантелу ембонат </w:t>
      </w:r>
      <w:r w:rsidR="00BA7F8E" w:rsidRPr="00C5653F">
        <w:t>–</w:t>
      </w:r>
      <w:r w:rsidRPr="00C5653F">
        <w:t xml:space="preserve"> 400 мг.</w:t>
      </w:r>
    </w:p>
    <w:p w:rsidR="00D4406E" w:rsidRPr="00C5653F" w:rsidRDefault="003E232C" w:rsidP="003604AA">
      <w:pPr>
        <w:pStyle w:val="1"/>
        <w:shd w:val="clear" w:color="auto" w:fill="auto"/>
        <w:spacing w:line="274" w:lineRule="exact"/>
        <w:ind w:firstLine="360"/>
        <w:jc w:val="both"/>
      </w:pPr>
      <w:r w:rsidRPr="00C5653F">
        <w:t>Допоміжні речовини: полісорбат</w:t>
      </w:r>
      <w:r w:rsidR="00272E0D" w:rsidRPr="00C5653F">
        <w:t xml:space="preserve"> 80</w:t>
      </w:r>
      <w:r w:rsidRPr="00C5653F">
        <w:t>, сукралоза, бутилгідрокситолу</w:t>
      </w:r>
      <w:r w:rsidR="00272E0D" w:rsidRPr="00C5653F">
        <w:t>ен</w:t>
      </w:r>
      <w:r w:rsidRPr="00C5653F">
        <w:t xml:space="preserve">, кремнезем колоїдний, </w:t>
      </w:r>
      <w:r w:rsidR="00272E0D" w:rsidRPr="00C5653F">
        <w:t>рафінована кукурудзяна олія</w:t>
      </w:r>
      <w:r w:rsidRPr="00C5653F">
        <w:t>.</w:t>
      </w:r>
    </w:p>
    <w:p w:rsidR="00D4406E" w:rsidRPr="00C5653F" w:rsidRDefault="003E232C" w:rsidP="003604AA">
      <w:pPr>
        <w:pStyle w:val="20"/>
        <w:keepNext/>
        <w:keepLines/>
        <w:numPr>
          <w:ilvl w:val="0"/>
          <w:numId w:val="1"/>
        </w:numPr>
        <w:shd w:val="clear" w:color="auto" w:fill="auto"/>
        <w:spacing w:line="230" w:lineRule="exact"/>
        <w:ind w:firstLine="360"/>
        <w:jc w:val="both"/>
      </w:pPr>
      <w:bookmarkStart w:id="2" w:name="bookmark3"/>
      <w:r w:rsidRPr="00C5653F">
        <w:t xml:space="preserve"> Фармацевтична форма</w:t>
      </w:r>
      <w:bookmarkEnd w:id="2"/>
    </w:p>
    <w:p w:rsidR="00D4406E" w:rsidRPr="00C5653F" w:rsidRDefault="003E232C" w:rsidP="003604AA">
      <w:pPr>
        <w:pStyle w:val="1"/>
        <w:shd w:val="clear" w:color="auto" w:fill="auto"/>
        <w:spacing w:line="230" w:lineRule="exact"/>
        <w:ind w:firstLine="360"/>
        <w:jc w:val="both"/>
      </w:pPr>
      <w:r w:rsidRPr="00C5653F">
        <w:t>Паста для перорального застосування</w:t>
      </w:r>
    </w:p>
    <w:p w:rsidR="00D4406E" w:rsidRPr="00C5653F" w:rsidRDefault="003E232C" w:rsidP="003604AA">
      <w:pPr>
        <w:pStyle w:val="20"/>
        <w:keepNext/>
        <w:keepLines/>
        <w:numPr>
          <w:ilvl w:val="0"/>
          <w:numId w:val="1"/>
        </w:numPr>
        <w:shd w:val="clear" w:color="auto" w:fill="auto"/>
        <w:spacing w:line="278" w:lineRule="exact"/>
        <w:ind w:firstLine="360"/>
        <w:jc w:val="both"/>
      </w:pPr>
      <w:bookmarkStart w:id="3" w:name="bookmark4"/>
      <w:r w:rsidRPr="00C5653F">
        <w:t xml:space="preserve"> Фармакологічні властивості</w:t>
      </w:r>
      <w:bookmarkEnd w:id="3"/>
    </w:p>
    <w:p w:rsidR="00D4406E" w:rsidRPr="00C5653F" w:rsidRDefault="00272E0D" w:rsidP="003604AA">
      <w:pPr>
        <w:pStyle w:val="22"/>
        <w:shd w:val="clear" w:color="auto" w:fill="auto"/>
        <w:ind w:firstLine="360"/>
      </w:pPr>
      <w:r w:rsidRPr="00C5653F">
        <w:rPr>
          <w:rStyle w:val="21"/>
          <w:b/>
          <w:bCs/>
          <w:i/>
          <w:iCs/>
          <w:sz w:val="24"/>
          <w:szCs w:val="24"/>
          <w:lang w:eastAsia="en-US"/>
        </w:rPr>
        <w:t xml:space="preserve">ATC-vet </w:t>
      </w:r>
      <w:r w:rsidRPr="00C5653F">
        <w:rPr>
          <w:rStyle w:val="21"/>
          <w:b/>
          <w:bCs/>
          <w:i/>
          <w:iCs/>
          <w:sz w:val="24"/>
          <w:szCs w:val="24"/>
        </w:rPr>
        <w:t>класифікаційний код:</w:t>
      </w:r>
      <w:r w:rsidR="003E232C" w:rsidRPr="00C5653F">
        <w:rPr>
          <w:lang w:eastAsia="en-US" w:bidi="en-US"/>
        </w:rPr>
        <w:t xml:space="preserve"> QP52, </w:t>
      </w:r>
      <w:r w:rsidR="003E232C" w:rsidRPr="00C5653F">
        <w:t xml:space="preserve">антигельмінтні ветеринарні препарати </w:t>
      </w:r>
      <w:r w:rsidR="003E232C" w:rsidRPr="00C5653F">
        <w:rPr>
          <w:lang w:eastAsia="en-US" w:bidi="en-US"/>
        </w:rPr>
        <w:t xml:space="preserve">(QP52AF02, </w:t>
      </w:r>
      <w:r w:rsidR="003E232C" w:rsidRPr="00C5653F">
        <w:t>пірантел)</w:t>
      </w:r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 xml:space="preserve">Пірантелу ембонат </w:t>
      </w:r>
      <w:r w:rsidR="00BA7F8E" w:rsidRPr="00C5653F">
        <w:t>–</w:t>
      </w:r>
      <w:r w:rsidRPr="00C5653F">
        <w:t xml:space="preserve"> речовина широкого спектру дії, належить до групи тетрагідропіримідинових антигельмінтиків. Механізм дії полягає у стимуляції спастичного паралічу. Пірантел, холінергічний агоніст, діє як збуджуючий нейромедіатор нікотинергічних рецепторів у м'язових клітинах паразита. </w:t>
      </w:r>
      <w:r w:rsidR="00A94855" w:rsidRPr="00C5653F">
        <w:t>Під час</w:t>
      </w:r>
      <w:r w:rsidRPr="00C5653F">
        <w:t xml:space="preserve"> зв'язуванн</w:t>
      </w:r>
      <w:r w:rsidR="00A94855" w:rsidRPr="00C5653F">
        <w:t>я</w:t>
      </w:r>
      <w:r w:rsidRPr="00C5653F">
        <w:t xml:space="preserve"> з рецепторами відбувається деполяризація нервово-м’язових синапсів, що призводить до скорочення </w:t>
      </w:r>
      <w:r w:rsidR="009C2EEC" w:rsidRPr="00C5653F">
        <w:t>мускулатури</w:t>
      </w:r>
      <w:r w:rsidRPr="00C5653F">
        <w:t xml:space="preserve"> (стан, подібний дії ацетилхоліну) аж до розвитку спастичного паралічу. </w:t>
      </w:r>
      <w:r w:rsidR="00A94855" w:rsidRPr="00C5653F">
        <w:t>Дія</w:t>
      </w:r>
      <w:r w:rsidRPr="00C5653F">
        <w:t xml:space="preserve"> пірантелу </w:t>
      </w:r>
      <w:r w:rsidR="00A94855" w:rsidRPr="00C5653F">
        <w:t>не спричиняє загибель</w:t>
      </w:r>
      <w:r w:rsidRPr="00C5653F">
        <w:t xml:space="preserve"> паразита, із організму виділяються живі особини.</w:t>
      </w:r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 xml:space="preserve">Пірантелу ембонат володіє широким спектром антигельмінтної дії. Активний щодо нематод (малих та великих стронгілід, </w:t>
      </w:r>
      <w:r w:rsidR="00A94855" w:rsidRPr="00C5653F">
        <w:t xml:space="preserve">гостриків, </w:t>
      </w:r>
      <w:r w:rsidRPr="00C5653F">
        <w:t>аскарид) та цестод.</w:t>
      </w:r>
    </w:p>
    <w:p w:rsidR="00A94855" w:rsidRPr="00C5653F" w:rsidRDefault="00A94855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Після перорального застосування пірантелу ембонат всмоктується в обмеженій кількості зі шлунково-кишкового тракту. Абсорбована кількість інтенсивно метаболізується, лише невелика кількість виводиться у незміненому вигляді.</w:t>
      </w:r>
    </w:p>
    <w:p w:rsidR="00D4406E" w:rsidRPr="00C5653F" w:rsidRDefault="003E232C" w:rsidP="003604AA">
      <w:pPr>
        <w:pStyle w:val="20"/>
        <w:keepNext/>
        <w:keepLines/>
        <w:numPr>
          <w:ilvl w:val="0"/>
          <w:numId w:val="1"/>
        </w:numPr>
        <w:shd w:val="clear" w:color="auto" w:fill="auto"/>
        <w:spacing w:line="278" w:lineRule="exact"/>
        <w:ind w:firstLine="360"/>
        <w:jc w:val="both"/>
      </w:pPr>
      <w:bookmarkStart w:id="4" w:name="bookmark5"/>
      <w:r w:rsidRPr="00C5653F">
        <w:t xml:space="preserve"> Клінічні особливості</w:t>
      </w:r>
      <w:bookmarkEnd w:id="4"/>
    </w:p>
    <w:p w:rsidR="00D4406E" w:rsidRPr="00C5653F" w:rsidRDefault="003E232C" w:rsidP="003604A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78" w:lineRule="exact"/>
        <w:ind w:firstLine="360"/>
        <w:jc w:val="both"/>
      </w:pPr>
      <w:bookmarkStart w:id="5" w:name="bookmark6"/>
      <w:r w:rsidRPr="00C5653F">
        <w:t xml:space="preserve"> Вид тварин</w:t>
      </w:r>
      <w:bookmarkEnd w:id="5"/>
    </w:p>
    <w:p w:rsidR="00D4406E" w:rsidRPr="00C5653F" w:rsidRDefault="00E4428F" w:rsidP="003604AA">
      <w:pPr>
        <w:pStyle w:val="1"/>
        <w:shd w:val="clear" w:color="auto" w:fill="auto"/>
        <w:spacing w:line="278" w:lineRule="exact"/>
        <w:ind w:firstLine="360"/>
        <w:jc w:val="both"/>
      </w:pPr>
      <w:r>
        <w:t>Спортивні к</w:t>
      </w:r>
      <w:r w:rsidR="003E232C" w:rsidRPr="00C5653F">
        <w:t>оні</w:t>
      </w:r>
      <w:bookmarkStart w:id="6" w:name="_GoBack"/>
      <w:bookmarkEnd w:id="6"/>
      <w:r w:rsidR="003E232C" w:rsidRPr="00C5653F">
        <w:t>.</w:t>
      </w:r>
    </w:p>
    <w:p w:rsidR="00D4406E" w:rsidRPr="00C5653F" w:rsidRDefault="003E232C" w:rsidP="003604A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78" w:lineRule="exact"/>
        <w:ind w:firstLine="360"/>
        <w:jc w:val="both"/>
      </w:pPr>
      <w:bookmarkStart w:id="7" w:name="bookmark7"/>
      <w:r w:rsidRPr="00C5653F">
        <w:t xml:space="preserve"> Показання до застосування</w:t>
      </w:r>
      <w:bookmarkEnd w:id="7"/>
    </w:p>
    <w:p w:rsidR="00D4406E" w:rsidRPr="00C5653F" w:rsidRDefault="003E232C" w:rsidP="00867761">
      <w:pPr>
        <w:ind w:firstLine="426"/>
        <w:jc w:val="both"/>
        <w:rPr>
          <w:rFonts w:ascii="Times New Roman" w:hAnsi="Times New Roman" w:cs="Times New Roman"/>
        </w:rPr>
      </w:pPr>
      <w:r w:rsidRPr="00C5653F">
        <w:rPr>
          <w:rFonts w:ascii="Times New Roman" w:hAnsi="Times New Roman" w:cs="Times New Roman"/>
        </w:rPr>
        <w:t xml:space="preserve">Дегельмінтизація </w:t>
      </w:r>
      <w:r w:rsidR="00002FA0" w:rsidRPr="00010212">
        <w:rPr>
          <w:rFonts w:ascii="Times New Roman" w:hAnsi="Times New Roman" w:cs="Times New Roman"/>
        </w:rPr>
        <w:t>спортивних</w:t>
      </w:r>
      <w:r w:rsidR="00002FA0">
        <w:rPr>
          <w:rFonts w:ascii="Times New Roman" w:hAnsi="Times New Roman" w:cs="Times New Roman"/>
        </w:rPr>
        <w:t xml:space="preserve"> </w:t>
      </w:r>
      <w:r w:rsidRPr="00C5653F">
        <w:rPr>
          <w:rFonts w:ascii="Times New Roman" w:hAnsi="Times New Roman" w:cs="Times New Roman"/>
        </w:rPr>
        <w:t>коней при ураженні гельмінтами:</w:t>
      </w:r>
    </w:p>
    <w:p w:rsidR="00D4406E" w:rsidRPr="00C5653F" w:rsidRDefault="003E232C" w:rsidP="00D804A3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653F">
        <w:rPr>
          <w:rFonts w:ascii="Times New Roman" w:hAnsi="Times New Roman" w:cs="Times New Roman"/>
        </w:rPr>
        <w:t xml:space="preserve">нематодами (круглими гельмінтами) </w:t>
      </w:r>
      <w:r w:rsidR="00B93952" w:rsidRPr="00C5653F">
        <w:rPr>
          <w:rFonts w:ascii="Times New Roman" w:hAnsi="Times New Roman" w:cs="Times New Roman"/>
        </w:rPr>
        <w:t>–</w:t>
      </w:r>
      <w:r w:rsidRPr="00C5653F">
        <w:rPr>
          <w:rFonts w:ascii="Times New Roman" w:hAnsi="Times New Roman" w:cs="Times New Roman"/>
        </w:rPr>
        <w:t xml:space="preserve"> стронгілідами (</w:t>
      </w:r>
      <w:r w:rsidRPr="00C5653F">
        <w:rPr>
          <w:rFonts w:ascii="Times New Roman" w:hAnsi="Times New Roman" w:cs="Times New Roman"/>
          <w:i/>
        </w:rPr>
        <w:t>Strongylus vulgaris, S. edentatus, S</w:t>
      </w:r>
      <w:r w:rsidR="00B93952" w:rsidRPr="00C5653F">
        <w:rPr>
          <w:rFonts w:ascii="Times New Roman" w:hAnsi="Times New Roman" w:cs="Times New Roman"/>
          <w:i/>
        </w:rPr>
        <w:t>.</w:t>
      </w:r>
      <w:r w:rsidRPr="00C5653F">
        <w:rPr>
          <w:rFonts w:ascii="Times New Roman" w:hAnsi="Times New Roman" w:cs="Times New Roman"/>
          <w:i/>
        </w:rPr>
        <w:t>equinus, Triodontophorus serratus, Trichonema spp.</w:t>
      </w:r>
      <w:r w:rsidR="00D804A3" w:rsidRPr="00C5653F">
        <w:t xml:space="preserve"> </w:t>
      </w:r>
      <w:r w:rsidR="00D804A3" w:rsidRPr="00C5653F">
        <w:rPr>
          <w:rFonts w:ascii="Times New Roman" w:hAnsi="Times New Roman" w:cs="Times New Roman"/>
          <w:i/>
        </w:rPr>
        <w:t>(Cyathostomes)</w:t>
      </w:r>
      <w:r w:rsidRPr="00C5653F">
        <w:rPr>
          <w:rFonts w:ascii="Times New Roman" w:hAnsi="Times New Roman" w:cs="Times New Roman"/>
        </w:rPr>
        <w:t>), конячими гостриками (</w:t>
      </w:r>
      <w:r w:rsidRPr="00C5653F">
        <w:rPr>
          <w:rFonts w:ascii="Times New Roman" w:hAnsi="Times New Roman" w:cs="Times New Roman"/>
          <w:i/>
        </w:rPr>
        <w:t>Oxyuris equi</w:t>
      </w:r>
      <w:r w:rsidRPr="00C5653F">
        <w:rPr>
          <w:rFonts w:ascii="Times New Roman" w:hAnsi="Times New Roman" w:cs="Times New Roman"/>
        </w:rPr>
        <w:t>), аскаридами (</w:t>
      </w:r>
      <w:r w:rsidRPr="00C5653F">
        <w:rPr>
          <w:rFonts w:ascii="Times New Roman" w:hAnsi="Times New Roman" w:cs="Times New Roman"/>
          <w:i/>
        </w:rPr>
        <w:t>Parascaris equorum</w:t>
      </w:r>
      <w:r w:rsidRPr="00C5653F">
        <w:rPr>
          <w:rFonts w:ascii="Times New Roman" w:hAnsi="Times New Roman" w:cs="Times New Roman"/>
        </w:rPr>
        <w:t>);</w:t>
      </w:r>
    </w:p>
    <w:p w:rsidR="00D4406E" w:rsidRPr="00C5653F" w:rsidRDefault="003E232C" w:rsidP="00A85C04">
      <w:pPr>
        <w:pStyle w:val="aa"/>
        <w:numPr>
          <w:ilvl w:val="0"/>
          <w:numId w:val="3"/>
        </w:numPr>
        <w:ind w:left="0" w:firstLine="426"/>
        <w:jc w:val="both"/>
      </w:pPr>
      <w:r w:rsidRPr="00C5653F">
        <w:rPr>
          <w:rFonts w:ascii="Times New Roman" w:hAnsi="Times New Roman" w:cs="Times New Roman"/>
        </w:rPr>
        <w:t xml:space="preserve">цестодами (стьожковими гельмінтами) </w:t>
      </w:r>
      <w:r w:rsidR="00B93952" w:rsidRPr="00C5653F">
        <w:rPr>
          <w:rFonts w:ascii="Times New Roman" w:hAnsi="Times New Roman" w:cs="Times New Roman"/>
        </w:rPr>
        <w:t>–</w:t>
      </w:r>
      <w:r w:rsidRPr="00C5653F">
        <w:rPr>
          <w:rFonts w:ascii="Times New Roman" w:hAnsi="Times New Roman" w:cs="Times New Roman"/>
        </w:rPr>
        <w:t xml:space="preserve"> (</w:t>
      </w:r>
      <w:r w:rsidRPr="00C5653F">
        <w:rPr>
          <w:rFonts w:ascii="Times New Roman" w:hAnsi="Times New Roman" w:cs="Times New Roman"/>
          <w:i/>
        </w:rPr>
        <w:t>Anoplocephala perfoliata</w:t>
      </w:r>
      <w:r w:rsidRPr="00C5653F">
        <w:rPr>
          <w:rFonts w:ascii="Times New Roman" w:hAnsi="Times New Roman" w:cs="Times New Roman"/>
        </w:rPr>
        <w:t>).</w:t>
      </w:r>
    </w:p>
    <w:p w:rsidR="00D4406E" w:rsidRPr="00C5653F" w:rsidRDefault="003E232C" w:rsidP="003604A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78" w:lineRule="exact"/>
        <w:ind w:firstLine="360"/>
        <w:jc w:val="both"/>
      </w:pPr>
      <w:bookmarkStart w:id="8" w:name="bookmark8"/>
      <w:r w:rsidRPr="00C5653F">
        <w:rPr>
          <w:lang w:eastAsia="en-US" w:bidi="en-US"/>
        </w:rPr>
        <w:t xml:space="preserve"> </w:t>
      </w:r>
      <w:r w:rsidRPr="00C5653F">
        <w:t>Протипоказання</w:t>
      </w:r>
      <w:bookmarkEnd w:id="8"/>
    </w:p>
    <w:p w:rsidR="00D4406E" w:rsidRPr="00C5653F" w:rsidRDefault="00960F38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rPr>
          <w:rStyle w:val="ab"/>
          <w:rFonts w:eastAsia="Sylfaen"/>
          <w:sz w:val="24"/>
          <w:szCs w:val="24"/>
        </w:rPr>
        <w:t>Не застосовувати тваринам з підвищеною чутливістю до компонентів препарату.</w:t>
      </w:r>
    </w:p>
    <w:p w:rsidR="00D4406E" w:rsidRPr="00C5653F" w:rsidRDefault="00960F38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Не застосовують тваринам</w:t>
      </w:r>
      <w:r w:rsidR="003E232C" w:rsidRPr="00C5653F">
        <w:t xml:space="preserve"> віком до 4 тижнів</w:t>
      </w:r>
      <w:r w:rsidRPr="00C5653F">
        <w:t>.</w:t>
      </w:r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Не застосовують ослабленим, виснаженим та хворим тваринам</w:t>
      </w:r>
      <w:r w:rsidR="00960F38" w:rsidRPr="00C5653F">
        <w:t>.</w:t>
      </w:r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Не застосовують коням, молоко і м'ясо яких призначен</w:t>
      </w:r>
      <w:r w:rsidR="00960F38" w:rsidRPr="00C5653F">
        <w:t>і</w:t>
      </w:r>
      <w:r w:rsidRPr="00C5653F">
        <w:t xml:space="preserve"> для </w:t>
      </w:r>
      <w:r w:rsidR="00960F38" w:rsidRPr="00C5653F">
        <w:t>споживання людьми.</w:t>
      </w:r>
    </w:p>
    <w:p w:rsidR="00D4406E" w:rsidRPr="00C5653F" w:rsidRDefault="003E232C" w:rsidP="003604A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78" w:lineRule="exact"/>
        <w:ind w:firstLine="360"/>
        <w:jc w:val="both"/>
      </w:pPr>
      <w:bookmarkStart w:id="9" w:name="bookmark9"/>
      <w:r w:rsidRPr="00C5653F">
        <w:t xml:space="preserve"> Побічна дія</w:t>
      </w:r>
      <w:bookmarkEnd w:id="9"/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Пірантелу ембо</w:t>
      </w:r>
      <w:r w:rsidR="00960F38" w:rsidRPr="00C5653F">
        <w:t>н</w:t>
      </w:r>
      <w:r w:rsidRPr="00C5653F">
        <w:t xml:space="preserve">ат безпечний для коней, віком від 4-х тижнів, </w:t>
      </w:r>
      <w:r w:rsidR="00960F38" w:rsidRPr="00C5653F">
        <w:t>зокрема</w:t>
      </w:r>
      <w:r w:rsidRPr="00C5653F">
        <w:t xml:space="preserve"> підсисних лошат, жеребних кобил та племінних жеребців.</w:t>
      </w:r>
      <w:r w:rsidR="00960F38" w:rsidRPr="00C5653F">
        <w:t xml:space="preserve"> </w:t>
      </w:r>
      <w:r w:rsidRPr="00C5653F">
        <w:t>У лошат при сильній інвазії аскаридами (</w:t>
      </w:r>
      <w:r w:rsidRPr="00C5653F">
        <w:rPr>
          <w:rStyle w:val="a8"/>
          <w:lang w:val="uk-UA"/>
        </w:rPr>
        <w:t>Parascaris equorum)</w:t>
      </w:r>
      <w:r w:rsidRPr="00C5653F">
        <w:rPr>
          <w:lang w:eastAsia="en-US" w:bidi="en-US"/>
        </w:rPr>
        <w:t xml:space="preserve"> </w:t>
      </w:r>
      <w:r w:rsidRPr="00C5653F">
        <w:t>під час лікування можливий розвиток непрохідності тонкого кишківника, симптоми якого (коліки, розм’якшення фекалій) можуть виникнути вже через 30 хвилин після застосування препарату. Ці симптоми виникають внаслідок загибелі гельмінтів в організмі тварини.</w:t>
      </w:r>
    </w:p>
    <w:p w:rsidR="00D4406E" w:rsidRPr="00C5653F" w:rsidRDefault="003E232C" w:rsidP="003604A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78" w:lineRule="exact"/>
        <w:ind w:firstLine="360"/>
        <w:jc w:val="both"/>
      </w:pPr>
      <w:bookmarkStart w:id="10" w:name="bookmark10"/>
      <w:r w:rsidRPr="00C5653F">
        <w:t xml:space="preserve"> Особливі застереження при використанні</w:t>
      </w:r>
      <w:bookmarkEnd w:id="10"/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 xml:space="preserve">Перед введенням необхідно </w:t>
      </w:r>
      <w:r w:rsidR="00C63A26">
        <w:t>ретельно</w:t>
      </w:r>
      <w:r w:rsidRPr="00C5653F">
        <w:t xml:space="preserve"> розраховувати дозу препарату. Препарат застосовують тваринам, починаючи з 4-тижневого віку.</w:t>
      </w:r>
      <w:r w:rsidR="00E366FA" w:rsidRPr="00C5653F">
        <w:t xml:space="preserve"> </w:t>
      </w:r>
      <w:r w:rsidR="003355AC" w:rsidRPr="00C5653F">
        <w:t>Застосування препарату повинно ґрунтуватися на місцевій епідеміологічній інформації щодо резистентності нематод та рекомендаціях щодо обмеження подальшої селекції резистентності гельмінтів до антигельмінтиків.</w:t>
      </w:r>
    </w:p>
    <w:p w:rsidR="00D4406E" w:rsidRPr="00C5653F" w:rsidRDefault="003E232C" w:rsidP="003604A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78" w:lineRule="exact"/>
        <w:ind w:firstLine="360"/>
        <w:jc w:val="both"/>
      </w:pPr>
      <w:bookmarkStart w:id="11" w:name="bookmark11"/>
      <w:r w:rsidRPr="00C5653F">
        <w:t xml:space="preserve"> Використання під час вагітності, лактації, несучості</w:t>
      </w:r>
      <w:bookmarkEnd w:id="11"/>
    </w:p>
    <w:p w:rsidR="00D4406E" w:rsidRPr="00C5653F" w:rsidRDefault="00BD2943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Без обмежень.</w:t>
      </w:r>
    </w:p>
    <w:p w:rsidR="00381BD6" w:rsidRPr="00C5653F" w:rsidRDefault="00381BD6" w:rsidP="003604AA">
      <w:pPr>
        <w:pStyle w:val="1"/>
        <w:shd w:val="clear" w:color="auto" w:fill="auto"/>
        <w:spacing w:line="278" w:lineRule="exact"/>
        <w:ind w:firstLine="360"/>
        <w:jc w:val="both"/>
      </w:pPr>
    </w:p>
    <w:p w:rsidR="00C5653F" w:rsidRPr="00C5653F" w:rsidRDefault="00C5653F" w:rsidP="003604AA">
      <w:pPr>
        <w:pStyle w:val="1"/>
        <w:shd w:val="clear" w:color="auto" w:fill="auto"/>
        <w:spacing w:line="278" w:lineRule="exact"/>
        <w:ind w:firstLine="360"/>
        <w:jc w:val="both"/>
      </w:pPr>
    </w:p>
    <w:p w:rsidR="00381BD6" w:rsidRPr="00C5653F" w:rsidRDefault="00381BD6" w:rsidP="00381BD6">
      <w:pPr>
        <w:pStyle w:val="1"/>
        <w:shd w:val="clear" w:color="auto" w:fill="auto"/>
        <w:spacing w:line="278" w:lineRule="exact"/>
        <w:jc w:val="right"/>
      </w:pPr>
      <w:r w:rsidRPr="00C5653F">
        <w:lastRenderedPageBreak/>
        <w:t xml:space="preserve">Продовження додатку 1 </w:t>
      </w:r>
    </w:p>
    <w:p w:rsidR="00381BD6" w:rsidRPr="00C5653F" w:rsidRDefault="00381BD6" w:rsidP="00381BD6">
      <w:pPr>
        <w:pStyle w:val="1"/>
        <w:shd w:val="clear" w:color="auto" w:fill="auto"/>
        <w:spacing w:line="278" w:lineRule="exact"/>
        <w:jc w:val="right"/>
      </w:pPr>
      <w:r w:rsidRPr="00C5653F">
        <w:t>до реєстраційного посвідчення АА-06277-01-16</w:t>
      </w:r>
    </w:p>
    <w:p w:rsidR="00381BD6" w:rsidRPr="00C5653F" w:rsidRDefault="00381BD6" w:rsidP="003604AA">
      <w:pPr>
        <w:pStyle w:val="1"/>
        <w:shd w:val="clear" w:color="auto" w:fill="auto"/>
        <w:spacing w:line="278" w:lineRule="exact"/>
        <w:ind w:firstLine="360"/>
        <w:jc w:val="both"/>
      </w:pPr>
    </w:p>
    <w:p w:rsidR="00C5653F" w:rsidRPr="00C5653F" w:rsidRDefault="00C5653F" w:rsidP="003604AA">
      <w:pPr>
        <w:pStyle w:val="1"/>
        <w:shd w:val="clear" w:color="auto" w:fill="auto"/>
        <w:spacing w:line="278" w:lineRule="exact"/>
        <w:ind w:firstLine="360"/>
        <w:jc w:val="both"/>
      </w:pPr>
    </w:p>
    <w:p w:rsidR="00D4406E" w:rsidRPr="00C5653F" w:rsidRDefault="003E232C" w:rsidP="003604A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78" w:lineRule="exact"/>
        <w:ind w:firstLine="360"/>
        <w:jc w:val="both"/>
      </w:pPr>
      <w:bookmarkStart w:id="12" w:name="bookmark12"/>
      <w:r w:rsidRPr="00C5653F">
        <w:t xml:space="preserve"> Взаємодія з іншими засобами та інші форми взаємодії</w:t>
      </w:r>
      <w:bookmarkEnd w:id="12"/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Не застосовувати одночасно з д</w:t>
      </w:r>
      <w:r w:rsidR="00960F38" w:rsidRPr="00C5653F">
        <w:t>і</w:t>
      </w:r>
      <w:r w:rsidRPr="00C5653F">
        <w:t>етилкарбамазином, органофосфатами та препаратами, що містять левамізол або піперазин.</w:t>
      </w:r>
    </w:p>
    <w:p w:rsidR="00D4406E" w:rsidRPr="00C5653F" w:rsidRDefault="003E232C" w:rsidP="003604A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78" w:lineRule="exact"/>
        <w:ind w:firstLine="360"/>
        <w:jc w:val="both"/>
      </w:pPr>
      <w:bookmarkStart w:id="13" w:name="bookmark14"/>
      <w:r w:rsidRPr="00C5653F">
        <w:t xml:space="preserve"> Дози і способи введення тваринам різного віку</w:t>
      </w:r>
      <w:bookmarkEnd w:id="13"/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 xml:space="preserve">Препарат застосовують </w:t>
      </w:r>
      <w:r w:rsidRPr="00C5653F">
        <w:rPr>
          <w:lang w:eastAsia="ru-RU" w:bidi="ru-RU"/>
        </w:rPr>
        <w:t>перорально.</w:t>
      </w:r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Одна шприц-туба містить 28,5 г препарату (11,4 г пірантелу ембонату).</w:t>
      </w:r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На поршні шприц-туби прокрутити рифлене кільце таким чином, щоб зафіксувати його нижню частину на позначці, яка відповідає масі тіла тварини.</w:t>
      </w:r>
      <w:r w:rsidR="004C1395" w:rsidRPr="00C5653F">
        <w:t xml:space="preserve"> Переконайтеся, що в ротовій порожнині коня відсутні залишки корму.</w:t>
      </w:r>
    </w:p>
    <w:p w:rsidR="00D4406E" w:rsidRPr="00C5653F" w:rsidRDefault="003E232C" w:rsidP="00BA7F8E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 xml:space="preserve">Зняти захисний ковпачок, ввести </w:t>
      </w:r>
      <w:r w:rsidRPr="00C5653F">
        <w:rPr>
          <w:lang w:eastAsia="ru-RU" w:bidi="ru-RU"/>
        </w:rPr>
        <w:t xml:space="preserve">канюлю </w:t>
      </w:r>
      <w:r w:rsidRPr="00C5653F">
        <w:t xml:space="preserve">шприц-туби у ротову порожнину тварини у простір між зубами </w:t>
      </w:r>
      <w:r w:rsidR="00FD21ED">
        <w:t>й</w:t>
      </w:r>
      <w:r w:rsidRPr="00C5653F">
        <w:t xml:space="preserve"> обережно видавити на корінь язика відповідну дозу пасти. Після введення на декілька секунд підняти голову догори і переконатись, що тварина проковтнула препарат.</w:t>
      </w:r>
    </w:p>
    <w:p w:rsidR="00D4406E" w:rsidRPr="00C5653F" w:rsidRDefault="003E232C" w:rsidP="00BA7F8E">
      <w:pPr>
        <w:pStyle w:val="30"/>
        <w:shd w:val="clear" w:color="auto" w:fill="auto"/>
        <w:ind w:firstLine="360"/>
      </w:pPr>
      <w:r w:rsidRPr="00C5653F">
        <w:rPr>
          <w:rStyle w:val="32"/>
          <w:i/>
          <w:iCs/>
        </w:rPr>
        <w:t>Лікування та профілактика ст</w:t>
      </w:r>
      <w:r w:rsidR="00B93952" w:rsidRPr="00C5653F">
        <w:rPr>
          <w:rStyle w:val="32"/>
          <w:i/>
          <w:iCs/>
        </w:rPr>
        <w:t>р</w:t>
      </w:r>
      <w:r w:rsidRPr="00C5653F">
        <w:rPr>
          <w:rStyle w:val="32"/>
          <w:i/>
          <w:iCs/>
        </w:rPr>
        <w:t>онгілоїдозу, оксиу</w:t>
      </w:r>
      <w:r w:rsidR="00B93952" w:rsidRPr="00C5653F">
        <w:rPr>
          <w:rStyle w:val="32"/>
          <w:i/>
          <w:iCs/>
        </w:rPr>
        <w:t>р</w:t>
      </w:r>
      <w:r w:rsidRPr="00C5653F">
        <w:rPr>
          <w:rStyle w:val="32"/>
          <w:i/>
          <w:iCs/>
        </w:rPr>
        <w:t>озу. па</w:t>
      </w:r>
      <w:r w:rsidR="00B93952" w:rsidRPr="00C5653F">
        <w:rPr>
          <w:rStyle w:val="32"/>
          <w:i/>
          <w:iCs/>
        </w:rPr>
        <w:t>р</w:t>
      </w:r>
      <w:r w:rsidRPr="00C5653F">
        <w:rPr>
          <w:rStyle w:val="32"/>
          <w:i/>
          <w:iCs/>
        </w:rPr>
        <w:t>аска</w:t>
      </w:r>
      <w:r w:rsidR="00B93952" w:rsidRPr="00C5653F">
        <w:rPr>
          <w:rStyle w:val="32"/>
          <w:i/>
          <w:iCs/>
        </w:rPr>
        <w:t>р</w:t>
      </w:r>
      <w:r w:rsidRPr="00C5653F">
        <w:rPr>
          <w:rStyle w:val="32"/>
          <w:i/>
          <w:iCs/>
        </w:rPr>
        <w:t>идозу</w:t>
      </w:r>
    </w:p>
    <w:p w:rsidR="00D4406E" w:rsidRPr="00C5653F" w:rsidRDefault="003E232C" w:rsidP="00BA7F8E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 xml:space="preserve">Рекомендована доза </w:t>
      </w:r>
      <w:r w:rsidR="00FD21ED">
        <w:t>становить</w:t>
      </w:r>
      <w:r w:rsidRPr="00C5653F">
        <w:t xml:space="preserve"> 4,75 г препарату на 100 кг маси тіла</w:t>
      </w:r>
      <w:r w:rsidR="004C1395" w:rsidRPr="00C5653F">
        <w:t xml:space="preserve"> тварини</w:t>
      </w:r>
      <w:r w:rsidRPr="00C5653F">
        <w:t xml:space="preserve"> (19 мг пірантелу ембонату на 1 кг маси тіла</w:t>
      </w:r>
      <w:r w:rsidR="004C1395" w:rsidRPr="00C5653F">
        <w:t xml:space="preserve"> тварини</w:t>
      </w:r>
      <w:r w:rsidRPr="00C5653F">
        <w:t>).</w:t>
      </w:r>
    </w:p>
    <w:p w:rsidR="00D4406E" w:rsidRPr="00C5653F" w:rsidRDefault="003E232C" w:rsidP="00BA7F8E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Одна поділка шкали на шприц-тубі відповідає одній дозі на 100 кг маси тіла.</w:t>
      </w:r>
    </w:p>
    <w:p w:rsidR="00D4406E" w:rsidRPr="00C5653F" w:rsidRDefault="003E232C" w:rsidP="00BA7F8E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Схема дозування:</w:t>
      </w:r>
    </w:p>
    <w:p w:rsidR="00D4406E" w:rsidRPr="00C5653F" w:rsidRDefault="003E232C" w:rsidP="00BA7F8E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rPr>
          <w:rStyle w:val="a8"/>
          <w:lang w:val="uk-UA" w:eastAsia="uk-UA" w:bidi="uk-UA"/>
        </w:rPr>
        <w:t>лошата віком 1-8 місяців</w:t>
      </w:r>
      <w:r w:rsidRPr="00C5653F">
        <w:t>: одна доза (4,75 г препарату) на 100 кг маси тіла через кожні 4 тижні;</w:t>
      </w:r>
    </w:p>
    <w:p w:rsidR="00D4406E" w:rsidRPr="00C5653F" w:rsidRDefault="003E232C" w:rsidP="00BA7F8E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rPr>
          <w:rStyle w:val="a8"/>
          <w:lang w:val="uk-UA" w:eastAsia="uk-UA" w:bidi="uk-UA"/>
        </w:rPr>
        <w:t>коні віком від 8 місяців:</w:t>
      </w:r>
      <w:r w:rsidRPr="00C5653F">
        <w:t xml:space="preserve"> одна доза (4,75 г препарату) на 100 кг маси тіла через кожні 6-8 тижнів; під час пасовищного сезону </w:t>
      </w:r>
      <w:r w:rsidR="004C1395" w:rsidRPr="00C5653F">
        <w:t>–</w:t>
      </w:r>
      <w:r w:rsidRPr="00C5653F">
        <w:t xml:space="preserve"> одна доза препарату через кожні 4-6 тижнів; при переміщенні тварин на пасовище після зимування застосовують одну дозу препарату за 3-4 доби до випуску на пасовище;</w:t>
      </w:r>
    </w:p>
    <w:p w:rsidR="00D4406E" w:rsidRPr="00C5653F" w:rsidRDefault="003E232C" w:rsidP="00BA7F8E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rPr>
          <w:rStyle w:val="a8"/>
          <w:lang w:val="uk-UA" w:eastAsia="uk-UA" w:bidi="uk-UA"/>
        </w:rPr>
        <w:t>лактуючі кобили</w:t>
      </w:r>
      <w:r w:rsidRPr="00C5653F">
        <w:t>: встановлено, що знизити інтенсивність інвазії стронгілід у підсисних лошат протягом пасовищного сезону можна шляхом «чистих» пасовищ (переміщення коней або без випасу коней у попередньому році), застосування препарату лактуючим кобилам за 3-4 доби до переміщення, а потім повторно з інтервалом 2-4 тижні до кінця осені; ідеальним є випуск кобил з лошатами на «чисті» пасовища або, при неможливості, затримка їх переміщення до червня.</w:t>
      </w:r>
    </w:p>
    <w:p w:rsidR="00D4406E" w:rsidRPr="00C5653F" w:rsidRDefault="003E232C" w:rsidP="003604AA">
      <w:pPr>
        <w:pStyle w:val="30"/>
        <w:shd w:val="clear" w:color="auto" w:fill="auto"/>
        <w:ind w:firstLine="360"/>
      </w:pPr>
      <w:r w:rsidRPr="00C5653F">
        <w:rPr>
          <w:rStyle w:val="32"/>
          <w:i/>
          <w:iCs/>
        </w:rPr>
        <w:t>Лікування та профілактика анопло</w:t>
      </w:r>
      <w:r w:rsidR="00F01846" w:rsidRPr="00C5653F">
        <w:rPr>
          <w:rStyle w:val="32"/>
          <w:i/>
          <w:iCs/>
        </w:rPr>
        <w:t>ц</w:t>
      </w:r>
      <w:r w:rsidRPr="00C5653F">
        <w:rPr>
          <w:rStyle w:val="32"/>
          <w:i/>
          <w:iCs/>
        </w:rPr>
        <w:t>ефальозу</w:t>
      </w:r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 xml:space="preserve">Рекомендована доза </w:t>
      </w:r>
      <w:r w:rsidR="00FD21ED">
        <w:t>становить</w:t>
      </w:r>
      <w:r w:rsidR="00FD21ED" w:rsidRPr="00C5653F">
        <w:t xml:space="preserve"> </w:t>
      </w:r>
      <w:r w:rsidRPr="00C5653F">
        <w:t>9,5 г препарату на 100 кг маси тіла (38 мг пірантелу ембонату на 1 кг маси тіла).</w:t>
      </w:r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Дві поділки шкали на шприц-тубі відповідають одній дозі на 100 кг маси тіла.</w:t>
      </w:r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За необхідності препарат вводять повторно через 6 тижнів.</w:t>
      </w:r>
    </w:p>
    <w:p w:rsidR="00D4406E" w:rsidRPr="00C5653F" w:rsidRDefault="003E232C" w:rsidP="003604A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78" w:lineRule="exact"/>
        <w:ind w:firstLine="360"/>
        <w:jc w:val="both"/>
      </w:pPr>
      <w:bookmarkStart w:id="14" w:name="bookmark15"/>
      <w:r w:rsidRPr="00C5653F">
        <w:t xml:space="preserve"> Передозування (симптоми, невідкладні заходи, антидоти)</w:t>
      </w:r>
      <w:bookmarkEnd w:id="14"/>
    </w:p>
    <w:p w:rsidR="00D4406E" w:rsidRPr="00C5653F" w:rsidRDefault="0002147B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Застосування дози перевищеної у двадцять разів за рекомендовану (до 60 мг пірантелу/кг маси тіла тварини) не викликало жодних побічних реакцій у коней або лошат.</w:t>
      </w:r>
    </w:p>
    <w:p w:rsidR="00D4406E" w:rsidRPr="00C5653F" w:rsidRDefault="00F01846" w:rsidP="003604AA">
      <w:pPr>
        <w:pStyle w:val="20"/>
        <w:keepNext/>
        <w:keepLines/>
        <w:shd w:val="clear" w:color="auto" w:fill="auto"/>
        <w:spacing w:line="278" w:lineRule="exact"/>
        <w:ind w:firstLine="360"/>
        <w:jc w:val="both"/>
      </w:pPr>
      <w:bookmarkStart w:id="15" w:name="bookmark16"/>
      <w:r w:rsidRPr="00C5653F">
        <w:t xml:space="preserve">5.10 </w:t>
      </w:r>
      <w:r w:rsidR="003E232C" w:rsidRPr="00C5653F">
        <w:t>Спеціальні застереження</w:t>
      </w:r>
      <w:bookmarkEnd w:id="15"/>
    </w:p>
    <w:p w:rsidR="00381BD6" w:rsidRPr="00C5653F" w:rsidRDefault="003E232C" w:rsidP="00381BD6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Не застосов</w:t>
      </w:r>
      <w:r w:rsidR="0003678A" w:rsidRPr="00C5653F">
        <w:t>у</w:t>
      </w:r>
      <w:r w:rsidR="00381BD6" w:rsidRPr="00C5653F">
        <w:t>вати лошатам віком до 4 тижнів.</w:t>
      </w:r>
    </w:p>
    <w:p w:rsidR="00D4406E" w:rsidRPr="00C5653F" w:rsidRDefault="0003678A" w:rsidP="00381BD6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 xml:space="preserve">Один і той самий аплікатор можна використовувати для двох різних тварин, лише за умови, що вони здорові та перебувають у спільному загоні, або якщо </w:t>
      </w:r>
      <w:r w:rsidR="00381BD6" w:rsidRPr="00C5653F">
        <w:t>тварини</w:t>
      </w:r>
      <w:r w:rsidRPr="00C5653F">
        <w:t xml:space="preserve"> знаходяться в одній зоні та безпосередньо контактують.</w:t>
      </w:r>
    </w:p>
    <w:p w:rsidR="00D4406E" w:rsidRPr="00C5653F" w:rsidRDefault="00F01846" w:rsidP="003604AA">
      <w:pPr>
        <w:pStyle w:val="20"/>
        <w:keepNext/>
        <w:keepLines/>
        <w:shd w:val="clear" w:color="auto" w:fill="auto"/>
        <w:spacing w:line="278" w:lineRule="exact"/>
        <w:ind w:firstLine="360"/>
        <w:jc w:val="both"/>
      </w:pPr>
      <w:bookmarkStart w:id="16" w:name="bookmark17"/>
      <w:r w:rsidRPr="00C5653F">
        <w:t xml:space="preserve">5.11 </w:t>
      </w:r>
      <w:r w:rsidR="003E232C" w:rsidRPr="00C5653F">
        <w:t>Період виведення (каренція)</w:t>
      </w:r>
      <w:bookmarkEnd w:id="16"/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Для продуктивних тварин препарат не застосовують.</w:t>
      </w:r>
    </w:p>
    <w:p w:rsidR="00D4406E" w:rsidRPr="00C5653F" w:rsidRDefault="00F01846" w:rsidP="003604AA">
      <w:pPr>
        <w:pStyle w:val="20"/>
        <w:keepNext/>
        <w:keepLines/>
        <w:shd w:val="clear" w:color="auto" w:fill="auto"/>
        <w:spacing w:line="278" w:lineRule="exact"/>
        <w:ind w:firstLine="360"/>
        <w:jc w:val="both"/>
      </w:pPr>
      <w:bookmarkStart w:id="17" w:name="bookmark18"/>
      <w:r w:rsidRPr="00C5653F">
        <w:t>5.12</w:t>
      </w:r>
      <w:r w:rsidR="003E232C" w:rsidRPr="00C5653F">
        <w:t xml:space="preserve"> Спеціальні застереження для осіб і обслуговуючого персоналу</w:t>
      </w:r>
      <w:bookmarkEnd w:id="17"/>
    </w:p>
    <w:p w:rsidR="00381BD6" w:rsidRPr="00C5653F" w:rsidRDefault="0003678A" w:rsidP="00381BD6">
      <w:pPr>
        <w:pStyle w:val="1"/>
        <w:spacing w:line="278" w:lineRule="exact"/>
        <w:ind w:firstLine="360"/>
        <w:jc w:val="both"/>
      </w:pPr>
      <w:r w:rsidRPr="00C5653F">
        <w:t>Особам з відомою підвищеною чутливістю до діючої речовини або будь-якої з допоміжних речовин не дозволяється</w:t>
      </w:r>
      <w:r w:rsidR="00381BD6" w:rsidRPr="00C5653F">
        <w:t>, а вагітним жінкам слід обережно</w:t>
      </w:r>
      <w:r w:rsidRPr="00C5653F">
        <w:t xml:space="preserve"> працювати з препаратом. </w:t>
      </w:r>
    </w:p>
    <w:p w:rsidR="00381BD6" w:rsidRPr="00C5653F" w:rsidRDefault="0003678A" w:rsidP="00381BD6">
      <w:pPr>
        <w:pStyle w:val="1"/>
        <w:spacing w:line="278" w:lineRule="exact"/>
        <w:ind w:firstLine="360"/>
        <w:jc w:val="both"/>
      </w:pPr>
      <w:r w:rsidRPr="00C5653F">
        <w:t xml:space="preserve">Уникайте контакту зі шкірою та очима, адже препарат може викликати подразнення. У разі випадкового контакту зі шкірою чи очима негайно промийте їх великою кількістю води з милом та проточною водою відповідно. У разі випадкового проковтування </w:t>
      </w:r>
      <w:r w:rsidR="00381BD6" w:rsidRPr="00C5653F">
        <w:t xml:space="preserve">препарату </w:t>
      </w:r>
      <w:r w:rsidRPr="00C5653F">
        <w:t>негайно зверніться до лікаря та покажіть йому листівку-вкладку чи етикетку.</w:t>
      </w:r>
    </w:p>
    <w:p w:rsidR="00381BD6" w:rsidRPr="00C5653F" w:rsidRDefault="0003678A" w:rsidP="00381BD6">
      <w:pPr>
        <w:pStyle w:val="1"/>
        <w:spacing w:line="278" w:lineRule="exact"/>
        <w:ind w:firstLine="360"/>
        <w:jc w:val="both"/>
      </w:pPr>
      <w:r w:rsidRPr="00C5653F">
        <w:t>Заборонено палити, пити та їсти під час роботи з препаратом.</w:t>
      </w:r>
    </w:p>
    <w:p w:rsidR="00D4406E" w:rsidRPr="00C5653F" w:rsidRDefault="0003678A" w:rsidP="00381BD6">
      <w:pPr>
        <w:pStyle w:val="1"/>
        <w:spacing w:line="278" w:lineRule="exact"/>
        <w:ind w:firstLine="360"/>
        <w:jc w:val="both"/>
      </w:pPr>
      <w:r w:rsidRPr="00C5653F">
        <w:t>Після роботи з препаратом ретельно вимийте руки з милом.</w:t>
      </w:r>
    </w:p>
    <w:p w:rsidR="00D4406E" w:rsidRPr="00C5653F" w:rsidRDefault="00F01846" w:rsidP="003604AA">
      <w:pPr>
        <w:pStyle w:val="20"/>
        <w:keepNext/>
        <w:keepLines/>
        <w:shd w:val="clear" w:color="auto" w:fill="auto"/>
        <w:tabs>
          <w:tab w:val="left" w:pos="938"/>
        </w:tabs>
        <w:spacing w:line="278" w:lineRule="exact"/>
        <w:ind w:firstLine="360"/>
        <w:jc w:val="both"/>
      </w:pPr>
      <w:bookmarkStart w:id="18" w:name="bookmark19"/>
      <w:r w:rsidRPr="00C5653F">
        <w:t xml:space="preserve">6. </w:t>
      </w:r>
      <w:r w:rsidR="003E232C" w:rsidRPr="00C5653F">
        <w:t>Фармацевтичні особливості</w:t>
      </w:r>
      <w:bookmarkEnd w:id="18"/>
    </w:p>
    <w:p w:rsidR="00D4406E" w:rsidRPr="00C5653F" w:rsidRDefault="00F01846" w:rsidP="003604AA">
      <w:pPr>
        <w:pStyle w:val="20"/>
        <w:keepNext/>
        <w:keepLines/>
        <w:shd w:val="clear" w:color="auto" w:fill="auto"/>
        <w:spacing w:line="278" w:lineRule="exact"/>
        <w:ind w:firstLine="360"/>
        <w:jc w:val="both"/>
      </w:pPr>
      <w:bookmarkStart w:id="19" w:name="bookmark20"/>
      <w:r w:rsidRPr="00C5653F">
        <w:t xml:space="preserve">6.1 </w:t>
      </w:r>
      <w:r w:rsidR="003E232C" w:rsidRPr="00C5653F">
        <w:t>Форми несумісності (основні)</w:t>
      </w:r>
      <w:bookmarkEnd w:id="19"/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Не</w:t>
      </w:r>
      <w:r w:rsidR="00F01846" w:rsidRPr="00C5653F">
        <w:t xml:space="preserve"> </w:t>
      </w:r>
      <w:r w:rsidRPr="00C5653F">
        <w:t>встановлені.</w:t>
      </w:r>
    </w:p>
    <w:p w:rsidR="00381BD6" w:rsidRPr="00C5653F" w:rsidRDefault="00381BD6" w:rsidP="00381BD6">
      <w:pPr>
        <w:pStyle w:val="1"/>
        <w:shd w:val="clear" w:color="auto" w:fill="auto"/>
        <w:spacing w:line="278" w:lineRule="exact"/>
        <w:jc w:val="right"/>
      </w:pPr>
      <w:r w:rsidRPr="00C5653F">
        <w:lastRenderedPageBreak/>
        <w:t xml:space="preserve">Продовження додатку 1 </w:t>
      </w:r>
    </w:p>
    <w:p w:rsidR="00381BD6" w:rsidRPr="00C5653F" w:rsidRDefault="00381BD6" w:rsidP="00381BD6">
      <w:pPr>
        <w:pStyle w:val="1"/>
        <w:shd w:val="clear" w:color="auto" w:fill="auto"/>
        <w:spacing w:line="278" w:lineRule="exact"/>
        <w:jc w:val="right"/>
      </w:pPr>
      <w:r w:rsidRPr="00C5653F">
        <w:t>до реєстраційного посвідчення АА-06277-01-16</w:t>
      </w:r>
    </w:p>
    <w:p w:rsidR="00C5653F" w:rsidRPr="00C5653F" w:rsidRDefault="00C5653F" w:rsidP="00381BD6">
      <w:pPr>
        <w:pStyle w:val="1"/>
        <w:shd w:val="clear" w:color="auto" w:fill="auto"/>
        <w:spacing w:line="278" w:lineRule="exact"/>
        <w:jc w:val="right"/>
      </w:pPr>
    </w:p>
    <w:p w:rsidR="00381BD6" w:rsidRPr="00C5653F" w:rsidRDefault="00381BD6" w:rsidP="003604AA">
      <w:pPr>
        <w:pStyle w:val="1"/>
        <w:shd w:val="clear" w:color="auto" w:fill="auto"/>
        <w:spacing w:line="278" w:lineRule="exact"/>
        <w:ind w:firstLine="360"/>
        <w:jc w:val="both"/>
      </w:pPr>
    </w:p>
    <w:p w:rsidR="00D4406E" w:rsidRPr="00C5653F" w:rsidRDefault="00F01846" w:rsidP="003604AA">
      <w:pPr>
        <w:pStyle w:val="20"/>
        <w:keepNext/>
        <w:keepLines/>
        <w:shd w:val="clear" w:color="auto" w:fill="auto"/>
        <w:spacing w:line="278" w:lineRule="exact"/>
        <w:ind w:firstLine="360"/>
        <w:jc w:val="both"/>
      </w:pPr>
      <w:bookmarkStart w:id="20" w:name="bookmark21"/>
      <w:r w:rsidRPr="00C5653F">
        <w:t>6.2 Т</w:t>
      </w:r>
      <w:r w:rsidR="003E232C" w:rsidRPr="00C5653F">
        <w:t>ермін придатності</w:t>
      </w:r>
      <w:bookmarkEnd w:id="20"/>
    </w:p>
    <w:p w:rsidR="00D4406E" w:rsidRPr="00C5653F" w:rsidRDefault="0002147B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>3</w:t>
      </w:r>
      <w:r w:rsidR="003E232C" w:rsidRPr="00C5653F">
        <w:t xml:space="preserve"> роки.</w:t>
      </w:r>
      <w:r w:rsidR="00E366FA" w:rsidRPr="00C5653F">
        <w:t xml:space="preserve"> Після першого відкриття упаковки препарат застосовують протягом 6 місяців.</w:t>
      </w:r>
    </w:p>
    <w:p w:rsidR="00D4406E" w:rsidRPr="00C5653F" w:rsidRDefault="00F01846" w:rsidP="003604AA">
      <w:pPr>
        <w:pStyle w:val="20"/>
        <w:keepNext/>
        <w:keepLines/>
        <w:shd w:val="clear" w:color="auto" w:fill="auto"/>
        <w:spacing w:line="278" w:lineRule="exact"/>
        <w:ind w:firstLine="360"/>
        <w:jc w:val="both"/>
      </w:pPr>
      <w:bookmarkStart w:id="21" w:name="bookmark22"/>
      <w:r w:rsidRPr="00C5653F">
        <w:t xml:space="preserve">6.3 </w:t>
      </w:r>
      <w:r w:rsidR="003E232C" w:rsidRPr="00C5653F">
        <w:t>Особливі заходи зберігання</w:t>
      </w:r>
      <w:bookmarkEnd w:id="21"/>
    </w:p>
    <w:p w:rsidR="00D4406E" w:rsidRPr="00C5653F" w:rsidRDefault="003E232C" w:rsidP="003604AA">
      <w:pPr>
        <w:pStyle w:val="1"/>
        <w:shd w:val="clear" w:color="auto" w:fill="auto"/>
        <w:spacing w:line="278" w:lineRule="exact"/>
        <w:ind w:firstLine="360"/>
        <w:jc w:val="both"/>
      </w:pPr>
      <w:r w:rsidRPr="00C5653F">
        <w:t xml:space="preserve">Зберігати в сухому темному, захищеному від дітей місці, </w:t>
      </w:r>
      <w:r w:rsidR="003604AA" w:rsidRPr="00C5653F">
        <w:t>за</w:t>
      </w:r>
      <w:r w:rsidRPr="00C5653F">
        <w:t xml:space="preserve"> температур</w:t>
      </w:r>
      <w:r w:rsidR="003604AA" w:rsidRPr="00C5653F">
        <w:t>и</w:t>
      </w:r>
      <w:r w:rsidRPr="00C5653F">
        <w:t xml:space="preserve"> від 5</w:t>
      </w:r>
      <w:r w:rsidR="00B6646A" w:rsidRPr="00C5653F">
        <w:t xml:space="preserve"> </w:t>
      </w:r>
      <w:r w:rsidRPr="00C5653F">
        <w:t>до 25 °С.</w:t>
      </w:r>
    </w:p>
    <w:p w:rsidR="00D4406E" w:rsidRPr="00C5653F" w:rsidRDefault="00F01846" w:rsidP="003604AA">
      <w:pPr>
        <w:pStyle w:val="20"/>
        <w:keepNext/>
        <w:keepLines/>
        <w:shd w:val="clear" w:color="auto" w:fill="auto"/>
        <w:spacing w:line="240" w:lineRule="auto"/>
        <w:ind w:firstLine="360"/>
        <w:jc w:val="both"/>
      </w:pPr>
      <w:bookmarkStart w:id="22" w:name="bookmark23"/>
      <w:r w:rsidRPr="00C5653F">
        <w:t xml:space="preserve">6.4 </w:t>
      </w:r>
      <w:r w:rsidR="003E232C" w:rsidRPr="00C5653F">
        <w:t>Природа і склад контейнера первинного пакування</w:t>
      </w:r>
      <w:bookmarkEnd w:id="22"/>
    </w:p>
    <w:p w:rsidR="00D4406E" w:rsidRPr="00C5653F" w:rsidRDefault="003E232C" w:rsidP="003604AA">
      <w:pPr>
        <w:pStyle w:val="1"/>
        <w:shd w:val="clear" w:color="auto" w:fill="auto"/>
        <w:spacing w:line="240" w:lineRule="auto"/>
        <w:ind w:firstLine="360"/>
        <w:jc w:val="both"/>
      </w:pPr>
      <w:r w:rsidRPr="00C5653F">
        <w:t>Препарат випускають у пластикових шприц-тубах із захисними ковпачками та рифленими кільцями по 28,5 г препарату. Шприц-туби упаковані у картонні коробки по 1 або 10 штук.</w:t>
      </w:r>
    </w:p>
    <w:p w:rsidR="00D4406E" w:rsidRPr="00C5653F" w:rsidRDefault="00F01846" w:rsidP="003604AA">
      <w:pPr>
        <w:pStyle w:val="20"/>
        <w:keepNext/>
        <w:keepLines/>
        <w:shd w:val="clear" w:color="auto" w:fill="auto"/>
        <w:spacing w:line="240" w:lineRule="auto"/>
        <w:ind w:firstLine="360"/>
        <w:jc w:val="both"/>
      </w:pPr>
      <w:bookmarkStart w:id="23" w:name="bookmark24"/>
      <w:r w:rsidRPr="00C5653F">
        <w:t xml:space="preserve">6.5 </w:t>
      </w:r>
      <w:r w:rsidR="003E232C" w:rsidRPr="00C5653F">
        <w:t>Особливі заходи безпеки при поводженні з невикористаним препаратом або із його залишками</w:t>
      </w:r>
      <w:bookmarkEnd w:id="23"/>
    </w:p>
    <w:p w:rsidR="00F01846" w:rsidRPr="00C5653F" w:rsidRDefault="0002147B" w:rsidP="003604AA">
      <w:pPr>
        <w:pStyle w:val="1"/>
        <w:shd w:val="clear" w:color="auto" w:fill="auto"/>
        <w:spacing w:line="240" w:lineRule="auto"/>
        <w:ind w:firstLine="360"/>
        <w:jc w:val="both"/>
      </w:pPr>
      <w:r w:rsidRPr="00C5653F">
        <w:rPr>
          <w:rStyle w:val="ab"/>
          <w:rFonts w:eastAsia="Sylfaen"/>
          <w:sz w:val="24"/>
          <w:szCs w:val="24"/>
        </w:rPr>
        <w:t xml:space="preserve">Невикористаний препарат повинен бути утилізований </w:t>
      </w:r>
      <w:r w:rsidR="00C5653F" w:rsidRPr="00C5653F">
        <w:rPr>
          <w:rStyle w:val="ab"/>
          <w:rFonts w:eastAsia="Sylfaen"/>
          <w:sz w:val="24"/>
          <w:szCs w:val="24"/>
        </w:rPr>
        <w:t>відповідно до</w:t>
      </w:r>
      <w:r w:rsidRPr="00C5653F">
        <w:rPr>
          <w:rStyle w:val="ab"/>
          <w:rFonts w:eastAsia="Sylfaen"/>
          <w:sz w:val="24"/>
          <w:szCs w:val="24"/>
        </w:rPr>
        <w:t xml:space="preserve"> національни</w:t>
      </w:r>
      <w:r w:rsidR="00C5653F" w:rsidRPr="00C5653F">
        <w:rPr>
          <w:rStyle w:val="ab"/>
          <w:rFonts w:eastAsia="Sylfaen"/>
          <w:sz w:val="24"/>
          <w:szCs w:val="24"/>
        </w:rPr>
        <w:t>х</w:t>
      </w:r>
      <w:r w:rsidRPr="00C5653F">
        <w:rPr>
          <w:rStyle w:val="ab"/>
          <w:rFonts w:eastAsia="Sylfaen"/>
          <w:sz w:val="24"/>
          <w:szCs w:val="24"/>
        </w:rPr>
        <w:t xml:space="preserve"> вимог.</w:t>
      </w:r>
      <w:r w:rsidR="00F01846" w:rsidRPr="00C5653F">
        <w:t xml:space="preserve"> </w:t>
      </w:r>
    </w:p>
    <w:p w:rsidR="00F01846" w:rsidRPr="00C5653F" w:rsidRDefault="003604AA" w:rsidP="003604AA">
      <w:pPr>
        <w:pStyle w:val="1"/>
        <w:shd w:val="clear" w:color="auto" w:fill="auto"/>
        <w:spacing w:line="240" w:lineRule="auto"/>
        <w:ind w:firstLine="360"/>
        <w:jc w:val="both"/>
        <w:rPr>
          <w:b/>
        </w:rPr>
      </w:pPr>
      <w:r w:rsidRPr="00C5653F">
        <w:rPr>
          <w:b/>
        </w:rPr>
        <w:t xml:space="preserve">7. </w:t>
      </w:r>
      <w:r w:rsidR="003E232C" w:rsidRPr="00C5653F">
        <w:rPr>
          <w:b/>
        </w:rPr>
        <w:t>Назва і місце знаходження власника реєстраційного посвідчення</w:t>
      </w:r>
    </w:p>
    <w:p w:rsidR="00F01846" w:rsidRPr="00C5653F" w:rsidRDefault="003E232C" w:rsidP="003604AA">
      <w:pPr>
        <w:pStyle w:val="40"/>
        <w:shd w:val="clear" w:color="auto" w:fill="auto"/>
        <w:tabs>
          <w:tab w:val="left" w:pos="358"/>
        </w:tabs>
        <w:spacing w:line="240" w:lineRule="auto"/>
        <w:ind w:firstLine="360"/>
        <w:rPr>
          <w:b w:val="0"/>
        </w:rPr>
      </w:pPr>
      <w:r w:rsidRPr="00C5653F">
        <w:rPr>
          <w:b w:val="0"/>
        </w:rPr>
        <w:t>Біовета, а.с.</w:t>
      </w:r>
      <w:r w:rsidR="00BD2943" w:rsidRPr="00C5653F">
        <w:rPr>
          <w:b w:val="0"/>
        </w:rPr>
        <w:tab/>
      </w:r>
      <w:r w:rsidR="00F01846" w:rsidRPr="00C5653F">
        <w:rPr>
          <w:b w:val="0"/>
          <w:lang w:eastAsia="en-US" w:bidi="en-US"/>
        </w:rPr>
        <w:tab/>
      </w:r>
      <w:r w:rsidR="00F01846" w:rsidRPr="00C5653F">
        <w:rPr>
          <w:b w:val="0"/>
          <w:lang w:eastAsia="en-US" w:bidi="en-US"/>
        </w:rPr>
        <w:tab/>
      </w:r>
      <w:r w:rsidR="003604AA" w:rsidRPr="00C5653F">
        <w:rPr>
          <w:b w:val="0"/>
          <w:lang w:eastAsia="en-US" w:bidi="en-US"/>
        </w:rPr>
        <w:tab/>
      </w:r>
      <w:r w:rsidR="003604AA" w:rsidRPr="00C5653F">
        <w:rPr>
          <w:b w:val="0"/>
          <w:lang w:eastAsia="en-US" w:bidi="en-US"/>
        </w:rPr>
        <w:tab/>
      </w:r>
      <w:r w:rsidR="00F01846" w:rsidRPr="00C5653F">
        <w:rPr>
          <w:b w:val="0"/>
          <w:lang w:eastAsia="en-US" w:bidi="en-US"/>
        </w:rPr>
        <w:t>Bioveta, a.s</w:t>
      </w:r>
      <w:r w:rsidR="0002147B" w:rsidRPr="00C5653F">
        <w:rPr>
          <w:b w:val="0"/>
          <w:lang w:eastAsia="en-US" w:bidi="en-US"/>
        </w:rPr>
        <w:t xml:space="preserve">. </w:t>
      </w:r>
    </w:p>
    <w:p w:rsidR="00D4406E" w:rsidRPr="00C5653F" w:rsidRDefault="003E232C" w:rsidP="003604AA">
      <w:pPr>
        <w:pStyle w:val="1"/>
        <w:shd w:val="clear" w:color="auto" w:fill="auto"/>
        <w:spacing w:line="240" w:lineRule="auto"/>
        <w:ind w:firstLine="360"/>
        <w:jc w:val="both"/>
      </w:pPr>
      <w:r w:rsidRPr="00C5653F">
        <w:t>Коменскего 212</w:t>
      </w:r>
      <w:r w:rsidR="00DB3D87" w:rsidRPr="00C5653F">
        <w:tab/>
      </w:r>
      <w:r w:rsidR="00A63C1B" w:rsidRPr="00C5653F">
        <w:rPr>
          <w:lang w:eastAsia="en-US" w:bidi="en-US"/>
        </w:rPr>
        <w:tab/>
      </w:r>
      <w:r w:rsidR="00A63C1B" w:rsidRPr="00C5653F">
        <w:rPr>
          <w:lang w:eastAsia="en-US" w:bidi="en-US"/>
        </w:rPr>
        <w:tab/>
      </w:r>
      <w:r w:rsidR="00A63C1B" w:rsidRPr="00C5653F">
        <w:rPr>
          <w:lang w:eastAsia="en-US" w:bidi="en-US"/>
        </w:rPr>
        <w:tab/>
      </w:r>
      <w:r w:rsidR="00A63C1B" w:rsidRPr="00C5653F">
        <w:rPr>
          <w:lang w:eastAsia="en-US" w:bidi="en-US"/>
        </w:rPr>
        <w:tab/>
      </w:r>
      <w:r w:rsidR="00F01846" w:rsidRPr="00C5653F">
        <w:rPr>
          <w:lang w:eastAsia="en-US" w:bidi="en-US"/>
        </w:rPr>
        <w:t>Komenskeho 212</w:t>
      </w:r>
    </w:p>
    <w:p w:rsidR="00F01846" w:rsidRPr="00C5653F" w:rsidRDefault="003E232C" w:rsidP="003604AA">
      <w:pPr>
        <w:pStyle w:val="1"/>
        <w:shd w:val="clear" w:color="auto" w:fill="auto"/>
        <w:spacing w:line="240" w:lineRule="auto"/>
        <w:ind w:firstLine="360"/>
        <w:jc w:val="both"/>
      </w:pPr>
      <w:r w:rsidRPr="00C5653F">
        <w:t>683 23 Івановіце на Гане</w:t>
      </w:r>
      <w:r w:rsidR="00BD2943" w:rsidRPr="00C5653F">
        <w:t>, Чехія</w:t>
      </w:r>
      <w:r w:rsidR="00F01846" w:rsidRPr="00C5653F">
        <w:t xml:space="preserve">  </w:t>
      </w:r>
      <w:r w:rsidR="00F01846" w:rsidRPr="00C5653F">
        <w:tab/>
      </w:r>
      <w:r w:rsidR="00F01846" w:rsidRPr="00C5653F">
        <w:tab/>
      </w:r>
      <w:r w:rsidR="00F01846" w:rsidRPr="00C5653F">
        <w:tab/>
      </w:r>
      <w:r w:rsidR="00F01846" w:rsidRPr="00C5653F">
        <w:rPr>
          <w:lang w:eastAsia="en-US" w:bidi="en-US"/>
        </w:rPr>
        <w:t>683 23 Ivanovice na Hane</w:t>
      </w:r>
      <w:r w:rsidR="0002147B" w:rsidRPr="00C5653F">
        <w:rPr>
          <w:lang w:eastAsia="en-US" w:bidi="en-US"/>
        </w:rPr>
        <w:t>, Czech Republic</w:t>
      </w:r>
    </w:p>
    <w:p w:rsidR="00D4406E" w:rsidRPr="00C5653F" w:rsidRDefault="003E232C" w:rsidP="003604AA">
      <w:pPr>
        <w:pStyle w:val="1"/>
        <w:shd w:val="clear" w:color="auto" w:fill="auto"/>
        <w:spacing w:line="240" w:lineRule="auto"/>
        <w:ind w:firstLine="360"/>
        <w:jc w:val="both"/>
      </w:pPr>
      <w:r w:rsidRPr="00C5653F">
        <w:rPr>
          <w:rStyle w:val="a9"/>
        </w:rPr>
        <w:t>8. Назва і місце знаходження виробника</w:t>
      </w:r>
    </w:p>
    <w:p w:rsidR="00D4406E" w:rsidRPr="00C5653F" w:rsidRDefault="003E232C" w:rsidP="003604AA">
      <w:pPr>
        <w:pStyle w:val="1"/>
        <w:shd w:val="clear" w:color="auto" w:fill="auto"/>
        <w:spacing w:line="240" w:lineRule="auto"/>
        <w:ind w:firstLine="360"/>
        <w:jc w:val="both"/>
      </w:pPr>
      <w:r w:rsidRPr="00C5653F">
        <w:t>Біовета, а.с.</w:t>
      </w:r>
      <w:r w:rsidR="00BD2943" w:rsidRPr="00C5653F">
        <w:tab/>
      </w:r>
      <w:r w:rsidR="00F01846" w:rsidRPr="00C5653F">
        <w:rPr>
          <w:rStyle w:val="a4"/>
          <w:lang w:eastAsia="en-US" w:bidi="en-US"/>
        </w:rPr>
        <w:tab/>
      </w:r>
      <w:r w:rsidR="00F01846" w:rsidRPr="00C5653F">
        <w:rPr>
          <w:rStyle w:val="a4"/>
          <w:lang w:eastAsia="en-US" w:bidi="en-US"/>
        </w:rPr>
        <w:tab/>
      </w:r>
      <w:r w:rsidR="003604AA" w:rsidRPr="00C5653F">
        <w:rPr>
          <w:rStyle w:val="a4"/>
          <w:lang w:eastAsia="en-US" w:bidi="en-US"/>
        </w:rPr>
        <w:tab/>
      </w:r>
      <w:r w:rsidR="003604AA" w:rsidRPr="00C5653F">
        <w:rPr>
          <w:rStyle w:val="a4"/>
          <w:lang w:eastAsia="en-US" w:bidi="en-US"/>
        </w:rPr>
        <w:tab/>
      </w:r>
      <w:r w:rsidR="00F01846" w:rsidRPr="00C5653F">
        <w:rPr>
          <w:rStyle w:val="a4"/>
          <w:lang w:eastAsia="en-US" w:bidi="en-US"/>
        </w:rPr>
        <w:t>Bioveta, a.s</w:t>
      </w:r>
      <w:r w:rsidR="0002147B" w:rsidRPr="00C5653F">
        <w:rPr>
          <w:rStyle w:val="a4"/>
          <w:lang w:eastAsia="en-US" w:bidi="en-US"/>
        </w:rPr>
        <w:t>.</w:t>
      </w:r>
    </w:p>
    <w:p w:rsidR="00F01846" w:rsidRPr="00C5653F" w:rsidRDefault="003E232C" w:rsidP="003604AA">
      <w:pPr>
        <w:pStyle w:val="1"/>
        <w:shd w:val="clear" w:color="auto" w:fill="auto"/>
        <w:spacing w:line="240" w:lineRule="auto"/>
        <w:ind w:firstLine="360"/>
        <w:jc w:val="both"/>
      </w:pPr>
      <w:r w:rsidRPr="00C5653F">
        <w:t>Коменскего 212</w:t>
      </w:r>
      <w:r w:rsidR="00DB3D87" w:rsidRPr="00C5653F">
        <w:tab/>
      </w:r>
      <w:r w:rsidR="00A63C1B" w:rsidRPr="00C5653F">
        <w:tab/>
      </w:r>
      <w:r w:rsidR="00A63C1B" w:rsidRPr="00C5653F">
        <w:tab/>
      </w:r>
      <w:r w:rsidR="00A63C1B" w:rsidRPr="00C5653F">
        <w:tab/>
      </w:r>
      <w:r w:rsidR="00A63C1B" w:rsidRPr="00C5653F">
        <w:tab/>
      </w:r>
      <w:r w:rsidR="00F01846" w:rsidRPr="00C5653F">
        <w:rPr>
          <w:lang w:eastAsia="en-US" w:bidi="en-US"/>
        </w:rPr>
        <w:t>Komenskeho 212</w:t>
      </w:r>
    </w:p>
    <w:p w:rsidR="00F01846" w:rsidRPr="00C5653F" w:rsidRDefault="003E232C" w:rsidP="003604AA">
      <w:pPr>
        <w:pStyle w:val="40"/>
        <w:shd w:val="clear" w:color="auto" w:fill="auto"/>
        <w:spacing w:line="240" w:lineRule="auto"/>
        <w:ind w:firstLine="360"/>
        <w:rPr>
          <w:b w:val="0"/>
        </w:rPr>
      </w:pPr>
      <w:r w:rsidRPr="00C5653F">
        <w:rPr>
          <w:b w:val="0"/>
        </w:rPr>
        <w:t>683 23 Івановіце на Гане</w:t>
      </w:r>
      <w:r w:rsidR="00BD2943" w:rsidRPr="00C5653F">
        <w:rPr>
          <w:b w:val="0"/>
        </w:rPr>
        <w:t>, Чехія</w:t>
      </w:r>
      <w:r w:rsidR="00F01846" w:rsidRPr="00C5653F">
        <w:tab/>
      </w:r>
      <w:r w:rsidR="00F01846" w:rsidRPr="00C5653F">
        <w:tab/>
      </w:r>
      <w:r w:rsidR="00F01846" w:rsidRPr="00C5653F">
        <w:tab/>
      </w:r>
      <w:r w:rsidR="00F01846" w:rsidRPr="00C5653F">
        <w:rPr>
          <w:rStyle w:val="a4"/>
          <w:b w:val="0"/>
          <w:bCs w:val="0"/>
          <w:lang w:eastAsia="en-US" w:bidi="en-US"/>
        </w:rPr>
        <w:t>683 23 Ivanovice na Hane</w:t>
      </w:r>
      <w:r w:rsidR="0002147B" w:rsidRPr="00C5653F">
        <w:rPr>
          <w:rStyle w:val="a4"/>
          <w:b w:val="0"/>
          <w:bCs w:val="0"/>
          <w:lang w:eastAsia="en-US" w:bidi="en-US"/>
        </w:rPr>
        <w:t>,</w:t>
      </w:r>
      <w:r w:rsidR="0002147B" w:rsidRPr="00C5653F">
        <w:rPr>
          <w:rStyle w:val="a4"/>
          <w:lang w:eastAsia="en-US" w:bidi="en-US"/>
        </w:rPr>
        <w:t xml:space="preserve"> </w:t>
      </w:r>
      <w:r w:rsidR="0002147B" w:rsidRPr="00C5653F">
        <w:rPr>
          <w:rStyle w:val="a4"/>
          <w:b w:val="0"/>
          <w:lang w:eastAsia="en-US" w:bidi="en-US"/>
        </w:rPr>
        <w:t>Czech Republic</w:t>
      </w:r>
    </w:p>
    <w:p w:rsidR="00D4406E" w:rsidRPr="003355AC" w:rsidRDefault="00F01846" w:rsidP="003604AA">
      <w:pPr>
        <w:pStyle w:val="40"/>
        <w:shd w:val="clear" w:color="auto" w:fill="auto"/>
        <w:spacing w:line="240" w:lineRule="auto"/>
        <w:ind w:firstLine="360"/>
      </w:pPr>
      <w:r w:rsidRPr="00C5653F">
        <w:t xml:space="preserve">9. </w:t>
      </w:r>
      <w:r w:rsidR="003E232C" w:rsidRPr="00C5653F">
        <w:t>Додаткова інформація</w:t>
      </w:r>
    </w:p>
    <w:sectPr w:rsidR="00D4406E" w:rsidRPr="003355AC" w:rsidSect="003604AA">
      <w:footerReference w:type="even" r:id="rId7"/>
      <w:footerReference w:type="default" r:id="rId8"/>
      <w:footerReference w:type="first" r:id="rId9"/>
      <w:type w:val="continuous"/>
      <w:pgSz w:w="11909" w:h="16834"/>
      <w:pgMar w:top="454" w:right="567" w:bottom="45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26" w:rsidRDefault="00751626">
      <w:r>
        <w:separator/>
      </w:r>
    </w:p>
  </w:endnote>
  <w:endnote w:type="continuationSeparator" w:id="0">
    <w:p w:rsidR="00751626" w:rsidRDefault="0075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E" w:rsidRDefault="0075162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85pt;margin-top:812.05pt;width:4.55pt;height:6.9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D4406E" w:rsidRDefault="003E232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E" w:rsidRDefault="0075162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3.85pt;margin-top:786.7pt;width:3.85pt;height:6.95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D4406E" w:rsidRDefault="003E232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lang w:val="en-US" w:eastAsia="en-US" w:bidi="en-US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E" w:rsidRDefault="0075162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9pt;margin-top:810.6pt;width:2.65pt;height:7.2pt;z-index:-188744062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D4406E" w:rsidRDefault="003E232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26" w:rsidRDefault="00751626"/>
  </w:footnote>
  <w:footnote w:type="continuationSeparator" w:id="0">
    <w:p w:rsidR="00751626" w:rsidRDefault="007516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B2B2E"/>
    <w:multiLevelType w:val="hybridMultilevel"/>
    <w:tmpl w:val="C2CA69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81671A"/>
    <w:multiLevelType w:val="multilevel"/>
    <w:tmpl w:val="1834EE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535B9F"/>
    <w:multiLevelType w:val="multilevel"/>
    <w:tmpl w:val="4FC49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4406E"/>
    <w:rsid w:val="00002FA0"/>
    <w:rsid w:val="00010212"/>
    <w:rsid w:val="0002147B"/>
    <w:rsid w:val="000310D9"/>
    <w:rsid w:val="0003678A"/>
    <w:rsid w:val="000C468D"/>
    <w:rsid w:val="00272E0D"/>
    <w:rsid w:val="002D7A1D"/>
    <w:rsid w:val="00305B7E"/>
    <w:rsid w:val="003355AC"/>
    <w:rsid w:val="003604AA"/>
    <w:rsid w:val="00381BD6"/>
    <w:rsid w:val="00391987"/>
    <w:rsid w:val="003D14F6"/>
    <w:rsid w:val="003E232C"/>
    <w:rsid w:val="0040166B"/>
    <w:rsid w:val="0046041E"/>
    <w:rsid w:val="00460E6B"/>
    <w:rsid w:val="004B2F94"/>
    <w:rsid w:val="004C1395"/>
    <w:rsid w:val="005F4B76"/>
    <w:rsid w:val="00611CC4"/>
    <w:rsid w:val="006C4A97"/>
    <w:rsid w:val="006C565B"/>
    <w:rsid w:val="00707258"/>
    <w:rsid w:val="00751626"/>
    <w:rsid w:val="00867761"/>
    <w:rsid w:val="008C62A9"/>
    <w:rsid w:val="00960F38"/>
    <w:rsid w:val="00991A2D"/>
    <w:rsid w:val="009C2EEC"/>
    <w:rsid w:val="00A63C1B"/>
    <w:rsid w:val="00A85C04"/>
    <w:rsid w:val="00A94855"/>
    <w:rsid w:val="00AA4370"/>
    <w:rsid w:val="00B513D0"/>
    <w:rsid w:val="00B6646A"/>
    <w:rsid w:val="00B93952"/>
    <w:rsid w:val="00BA22DA"/>
    <w:rsid w:val="00BA26CB"/>
    <w:rsid w:val="00BA341A"/>
    <w:rsid w:val="00BA7F8E"/>
    <w:rsid w:val="00BD2943"/>
    <w:rsid w:val="00C5653F"/>
    <w:rsid w:val="00C63A26"/>
    <w:rsid w:val="00CB6B21"/>
    <w:rsid w:val="00D4406E"/>
    <w:rsid w:val="00D804A3"/>
    <w:rsid w:val="00D92EE9"/>
    <w:rsid w:val="00DB3D87"/>
    <w:rsid w:val="00DE0D91"/>
    <w:rsid w:val="00E366FA"/>
    <w:rsid w:val="00E4428F"/>
    <w:rsid w:val="00F01846"/>
    <w:rsid w:val="00F26F6B"/>
    <w:rsid w:val="00FD21ED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EE933D5"/>
  <w15:docId w15:val="{D68EA4B6-2A4F-410A-8DFF-03DF51B5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26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26CB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A26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BA26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BA26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A26C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w w:val="6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BA26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_"/>
    <w:basedOn w:val="a0"/>
    <w:link w:val="22"/>
    <w:rsid w:val="00BA26C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8">
    <w:name w:val="Основной текст + Курсив"/>
    <w:basedOn w:val="a4"/>
    <w:rsid w:val="00BA26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BA26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Не курсив"/>
    <w:basedOn w:val="3"/>
    <w:rsid w:val="00BA26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12">
    <w:name w:val="Заголовок №1 (2)_"/>
    <w:basedOn w:val="a0"/>
    <w:link w:val="120"/>
    <w:rsid w:val="00BA26C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w w:val="60"/>
      <w:sz w:val="26"/>
      <w:szCs w:val="26"/>
      <w:u w:val="none"/>
    </w:rPr>
  </w:style>
  <w:style w:type="character" w:customStyle="1" w:styleId="32">
    <w:name w:val="Основной текст (3)"/>
    <w:basedOn w:val="3"/>
    <w:rsid w:val="00BA26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BA26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Полужирный"/>
    <w:basedOn w:val="a4"/>
    <w:rsid w:val="00BA26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1">
    <w:name w:val="Основной текст1"/>
    <w:basedOn w:val="a"/>
    <w:link w:val="a4"/>
    <w:rsid w:val="00BA26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BA26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rsid w:val="00BA26CB"/>
    <w:pPr>
      <w:shd w:val="clear" w:color="auto" w:fill="FFFFFF"/>
      <w:spacing w:line="0" w:lineRule="atLeast"/>
      <w:jc w:val="right"/>
      <w:outlineLvl w:val="0"/>
    </w:pPr>
    <w:rPr>
      <w:rFonts w:ascii="Sylfaen" w:eastAsia="Sylfaen" w:hAnsi="Sylfaen" w:cs="Sylfaen"/>
      <w:spacing w:val="10"/>
      <w:w w:val="60"/>
      <w:sz w:val="26"/>
      <w:szCs w:val="26"/>
    </w:rPr>
  </w:style>
  <w:style w:type="paragraph" w:customStyle="1" w:styleId="20">
    <w:name w:val="Заголовок №2"/>
    <w:basedOn w:val="a"/>
    <w:link w:val="2"/>
    <w:rsid w:val="00BA26CB"/>
    <w:pPr>
      <w:shd w:val="clear" w:color="auto" w:fill="FFFFFF"/>
      <w:spacing w:line="0" w:lineRule="atLeast"/>
      <w:ind w:firstLine="56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BA26CB"/>
    <w:pPr>
      <w:shd w:val="clear" w:color="auto" w:fill="FFFFFF"/>
      <w:spacing w:line="278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20">
    <w:name w:val="Заголовок №1 (2)"/>
    <w:basedOn w:val="a"/>
    <w:link w:val="12"/>
    <w:rsid w:val="00BA26CB"/>
    <w:pPr>
      <w:shd w:val="clear" w:color="auto" w:fill="FFFFFF"/>
      <w:spacing w:line="0" w:lineRule="atLeast"/>
      <w:jc w:val="right"/>
      <w:outlineLvl w:val="0"/>
    </w:pPr>
    <w:rPr>
      <w:rFonts w:ascii="Sylfaen" w:eastAsia="Sylfaen" w:hAnsi="Sylfaen" w:cs="Sylfaen"/>
      <w:spacing w:val="20"/>
      <w:w w:val="60"/>
      <w:sz w:val="26"/>
      <w:szCs w:val="26"/>
    </w:rPr>
  </w:style>
  <w:style w:type="paragraph" w:customStyle="1" w:styleId="30">
    <w:name w:val="Основной текст (3)"/>
    <w:basedOn w:val="a"/>
    <w:link w:val="3"/>
    <w:rsid w:val="00BA26CB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rsid w:val="00BA26C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a">
    <w:name w:val="List Paragraph"/>
    <w:basedOn w:val="a"/>
    <w:uiPriority w:val="34"/>
    <w:qFormat/>
    <w:rsid w:val="00B93952"/>
    <w:pPr>
      <w:ind w:left="720"/>
      <w:contextualSpacing/>
    </w:pPr>
  </w:style>
  <w:style w:type="character" w:customStyle="1" w:styleId="ab">
    <w:name w:val="Основний текст Знак"/>
    <w:link w:val="ac"/>
    <w:locked/>
    <w:rsid w:val="00960F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c">
    <w:name w:val="Body Text"/>
    <w:basedOn w:val="a"/>
    <w:link w:val="ab"/>
    <w:rsid w:val="00960F38"/>
    <w:pPr>
      <w:shd w:val="clear" w:color="auto" w:fill="FFFFFF"/>
      <w:spacing w:before="60" w:line="278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d">
    <w:name w:val="Основной текст Знак"/>
    <w:basedOn w:val="a0"/>
    <w:uiPriority w:val="99"/>
    <w:semiHidden/>
    <w:rsid w:val="00960F38"/>
    <w:rPr>
      <w:color w:val="000000"/>
    </w:rPr>
  </w:style>
  <w:style w:type="character" w:styleId="ae">
    <w:name w:val="annotation reference"/>
    <w:basedOn w:val="a0"/>
    <w:uiPriority w:val="99"/>
    <w:semiHidden/>
    <w:unhideWhenUsed/>
    <w:rsid w:val="006C565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C565B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6C565B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565B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6C565B"/>
    <w:rPr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C565B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6C565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4938</Words>
  <Characters>2816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23</cp:revision>
  <cp:lastPrinted>2025-08-14T10:19:00Z</cp:lastPrinted>
  <dcterms:created xsi:type="dcterms:W3CDTF">2019-03-26T08:52:00Z</dcterms:created>
  <dcterms:modified xsi:type="dcterms:W3CDTF">2026-02-11T18:45:00Z</dcterms:modified>
</cp:coreProperties>
</file>