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BA" w:rsidRPr="0032159B" w:rsidRDefault="00FA0BBA" w:rsidP="00FA0BB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FA0BBA" w:rsidRPr="0032159B" w:rsidRDefault="00FA0BBA" w:rsidP="00FA0BB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реєстраційного посвідчення </w:t>
      </w: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>АВ-05282-01-14</w:t>
      </w:r>
    </w:p>
    <w:p w:rsidR="00FA0BBA" w:rsidRPr="0032159B" w:rsidRDefault="00FA0BBA" w:rsidP="00FA0BBA">
      <w:pPr>
        <w:spacing w:after="24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A0BBA" w:rsidRPr="0032159B" w:rsidRDefault="00FA0BBA" w:rsidP="00FA0BBA">
      <w:pPr>
        <w:spacing w:before="240" w:after="24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sz w:val="24"/>
          <w:szCs w:val="24"/>
          <w:lang w:eastAsia="ru-RU"/>
        </w:rPr>
        <w:t>Коротка характеристика препарату</w:t>
      </w:r>
    </w:p>
    <w:p w:rsidR="00FA0BBA" w:rsidRPr="0032159B" w:rsidRDefault="00FA0BBA" w:rsidP="00FA0BBA">
      <w:pPr>
        <w:tabs>
          <w:tab w:val="left" w:pos="567"/>
          <w:tab w:val="left" w:pos="2148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1. </w:t>
      </w:r>
      <w:r w:rsidRPr="0032159B">
        <w:rPr>
          <w:rFonts w:ascii="Times New Roman" w:eastAsia="Times New Roman" w:hAnsi="Times New Roman"/>
          <w:b/>
          <w:sz w:val="24"/>
          <w:szCs w:val="24"/>
          <w:lang w:eastAsia="ru-RU"/>
        </w:rPr>
        <w:t>Назва</w:t>
      </w:r>
    </w:p>
    <w:p w:rsidR="00FA0BBA" w:rsidRPr="0032159B" w:rsidRDefault="00FA0BBA" w:rsidP="00FA0BB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Лідокаїну гідрохлорид.</w:t>
      </w:r>
    </w:p>
    <w:p w:rsidR="00FA0BBA" w:rsidRPr="0032159B" w:rsidRDefault="00FA0BBA" w:rsidP="00FA0BB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2. 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С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клад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1 мл препарату містить діючу речовину (мг):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лідокаїну гідрохлорид – 20,0.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Допоміжні речовини: натрію хлорид, вода високоочищена.</w:t>
      </w:r>
    </w:p>
    <w:p w:rsidR="00FA0BBA" w:rsidRPr="0032159B" w:rsidRDefault="00FA0BBA" w:rsidP="00FA0BBA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3. Фармацевтична (лікарська) форма</w:t>
      </w:r>
    </w:p>
    <w:p w:rsidR="00FA0BBA" w:rsidRPr="0032159B" w:rsidRDefault="00FA0BBA" w:rsidP="00FA0BBA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Розчин для ін’єкцій</w:t>
      </w:r>
      <w:r w:rsidRPr="0032159B">
        <w:rPr>
          <w:rFonts w:ascii="Times New Roman" w:eastAsia="Times New Roman" w:hAnsi="Times New Roman"/>
          <w:bCs/>
          <w:sz w:val="24"/>
          <w:szCs w:val="24"/>
          <w:lang w:val="uk-UA"/>
        </w:rPr>
        <w:t>.</w:t>
      </w:r>
    </w:p>
    <w:p w:rsidR="00FA0BBA" w:rsidRPr="0032159B" w:rsidRDefault="00FA0BBA" w:rsidP="00FA0BBA">
      <w:pPr>
        <w:tabs>
          <w:tab w:val="left" w:pos="567"/>
        </w:tabs>
        <w:spacing w:before="40"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4. Фармакологічні властивості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ru-RU"/>
        </w:rPr>
        <w:t xml:space="preserve">АТС </w:t>
      </w:r>
      <w:r w:rsidRPr="0032159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vet</w:t>
      </w:r>
      <w:r w:rsidRPr="0032159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ru-RU"/>
        </w:rPr>
        <w:t xml:space="preserve"> класифікаційний код: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QN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01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B 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– Анестетики локальної дії. </w:t>
      </w:r>
      <w:r w:rsidR="00E373AC" w:rsidRPr="00321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QN</w:t>
      </w:r>
      <w:r w:rsidR="00E373AC"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01</w:t>
      </w:r>
      <w:r w:rsidR="00E373AC" w:rsidRPr="003215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BB</w:t>
      </w:r>
      <w:r w:rsidR="00E373AC"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02 -</w:t>
      </w:r>
      <w:r w:rsidRPr="0032159B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Лідокаїн.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Лідокаїну гідрохлорид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—</w:t>
      </w:r>
      <w:r w:rsidR="00E373AC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це місцевий анестетик,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який є</w:t>
      </w:r>
      <w:r w:rsidR="00E373AC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похідн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ою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сполук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ою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ацетаніліду, 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що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належить до групи аміноамідних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Механізм дії 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його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полягає у стабілізації нейрональної мембрани, зниженні її проникності для іонів натрію, що перешкоджає виникненню потенціалу дії і проведенню імпульсів нервовими волокнами. Можливий антагонізм із іонами кальцію. Лідокаїн пригнічує проведення не лише больових імпульсів, але й імпульсів іншої модальності. </w:t>
      </w: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Він швидко гідролізується в слаболужному середовищі тканин і після короткого латентного періоду діє впродовж 60-90 хвилин. Анестезуюча дія лідокаїну в 2-6 разів сильніша за дію прокаїну. При місцевому застосуванні 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він </w:t>
      </w: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розширює судини, не чинить місцевої подразнюючої дії. При запальному процесі (тканинному ацидозі) анестезуюча активність </w:t>
      </w:r>
      <w:r w:rsidR="001D066B"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лідокаїну</w:t>
      </w: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знижується. Лідокаїну гідрохлорид ефективний при усіх видах місцевого знеболення, характеризується помірною вазодилятаційною і седативною дією, не спричинює подразнення тканин.</w:t>
      </w:r>
    </w:p>
    <w:p w:rsidR="0032159B" w:rsidRPr="0032159B" w:rsidRDefault="001D066B" w:rsidP="0032159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За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внутрішньом’язово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го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введенн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максимальна концентрація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лідокаїну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в крові спостерігається через 5-15 хвилин.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За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місцево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го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застосуванн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він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всмоктується продовж 7-20 хвилин, залежно від дози і місця нанесення. Після введення розчину лідокаїну анестезуюча дія розпочинається через 2-5 хвилин і триває біля 90 хвилин. </w:t>
      </w:r>
      <w:r w:rsidR="0032159B" w:rsidRPr="0032159B">
        <w:rPr>
          <w:rFonts w:ascii="Times New Roman" w:eastAsia="Times New Roman" w:hAnsi="Times New Roman"/>
          <w:sz w:val="24"/>
          <w:szCs w:val="24"/>
          <w:lang w:eastAsia="ru-RU"/>
        </w:rPr>
        <w:t/>
      </w:r>
      <w:r w:rsidR="0032159B" w:rsidRPr="0032159B">
        <w:rPr>
          <w:rFonts w:ascii="Times New Roman" w:eastAsia="Times New Roman" w:hAnsi="Times New Roman"/>
          <w:sz w:val="24"/>
          <w:szCs w:val="24"/>
          <w:lang w:eastAsia="ru-RU"/>
        </w:rPr>
        <w:t>У собак було визначено об'єм розподілу 1,67 л/кг маси тіла та період напіввиведення з плазми 30 хвилин.</w:t>
      </w:r>
    </w:p>
    <w:p w:rsidR="00FA0BBA" w:rsidRPr="0032159B" w:rsidRDefault="001D066B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Лідокаїн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 легко проходить через гістогематичні бар’єри, в тому числі плацентарний і гемоенцефалічний. У плазмі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крові він </w:t>
      </w:r>
      <w:r w:rsidR="00FA0BBA" w:rsidRPr="0032159B">
        <w:rPr>
          <w:rFonts w:ascii="Times New Roman" w:eastAsia="Times New Roman" w:hAnsi="Times New Roman"/>
          <w:sz w:val="24"/>
          <w:szCs w:val="24"/>
          <w:lang w:eastAsia="ru-RU"/>
        </w:rPr>
        <w:t>зв’язується з білками крові на 50-80%. Метаболізується за участю мікросомальних ферментів печінки. Впродовж 4-5 годин після введення близько 90% лідокаїну виводиться нирками у формі метаболітів і до 10% — у незміненому вигляді.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 Клінічні особливості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 Вид тварин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Коні, собаки, коти.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5.2 Показання до застосування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Препарат застосовують коням для місцевої реґіонарної анестезії, собакам та котам — для всіх видів місцевої анестезії (поверхнева, інфільтраційна, провідникова, епідуральна, спинальна, внутрішньосуглобова), блокад периферичних нервів, нервових сплетінь за больових синдромів і гострих запальних процесів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lastRenderedPageBreak/>
        <w:t>5.3 Протипоказання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застосовувати препарат вагітним самкам.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застосовувати </w:t>
      </w:r>
      <w:r w:rsidR="0015488D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тваринам за підвищеної чутливості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488D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</w:t>
      </w:r>
      <w:r w:rsidR="0015488D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лідокаїну</w:t>
      </w:r>
      <w:r w:rsidR="0015488D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або будь-якої з допоміжних речовин</w:t>
      </w:r>
      <w:r w:rsidR="0015488D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або до інших амідних місцевоанестезуючих лікарських засобів.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застосовувати при важких кровотечах або інфікуванні місць можливої ін’єкції.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застосовувати при захворюваннях серцево-судинної системи або функціональній недостатності печінки, яка супроводжується зниженням печінкового кровотоку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2159B" w:rsidRPr="0032159B" w:rsidRDefault="0032159B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використовувати новонародженим тваринам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5.4 Побічна дія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дотриманні терапевтичних доз побічну дію не спостерігають.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Однак, з боку нервової системи та органів чуття інколи можливі пригнічення або збудження, дезорієнтація, блюв</w:t>
      </w:r>
      <w:r w:rsidR="0066443D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ання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пітливість, порушення зору, тремор, судоми, пригнічення дихання, апное.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Можливе зниження </w:t>
      </w:r>
      <w:r w:rsidR="0032159B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або підвищення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артеріального тиску, брадикардія, аритмія, </w:t>
      </w:r>
      <w:r w:rsidR="0066443D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гіперглікемія,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шок або зупинка серця.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Інколи можуть виникати алергічні реакції на введення препарату.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Ці побічні прояви можуть виникати лише після введення великих доз препарату.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5.5 Особливі застереження при використанні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Призначати з обережністю тваринам із захворюваннями печінки, застійною серцевою недостатністю,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цукровим діабетом,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 стані шоку і гіповолемії з вираженим пригніченням дихання або гіпоксією.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Препарат не змішувати з іншими лікарськими засобами в одному шприці.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потраплянні голки в судину, а лідокаїну в кров — можливе виникнення колапсу. В такому випадку з лікувальною та профілактичною метою застосовують судинозвужувальні та серцеві засоби.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Використ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ання під час вагітності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,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лактації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iCs/>
          <w:sz w:val="24"/>
          <w:szCs w:val="24"/>
          <w:lang w:eastAsia="ru-RU"/>
        </w:rPr>
        <w:t>З обережністю призначати під час лактації.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iCs/>
          <w:sz w:val="24"/>
          <w:szCs w:val="24"/>
          <w:lang w:eastAsia="ru-RU"/>
        </w:rPr>
        <w:t>Застосування можливе, коли передбачувана користь для самки перевищує потенційний ризик для молодняка.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змішувати з іншими лікарськими засобами в одному шприці.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поєднувати застосування із барбітуратами, курареподібними препаратами, оскільки виникає загроза паралічу дихальних м'язів.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поєднувати застосування з препаратами, які пригнічують або збуджують центральну нервову систему.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8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Дози і способи введення тваринам різного віку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Загальна доза 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препарату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повинна перевищувати максимально допустимої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а саме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: коти — 2,0 мг 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лідокаїну гідрохлориду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1 кг маси тіла, коні, собаки — 4,0 мг 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лідокаїну гідрохлориду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1 кг маси тіла.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>Коні, собаки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: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•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для інфільтраційної анестезії, проведення лікувальних блокад за больових синдромів та гострих запальних процесів застосовують 0,25 або 0,5% розчин лідокаїну гідрохлориду, в дозах 0,8-1,6 та 0,4-0,8 мл на 1 кг маси тіла, відповідно;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•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для поверхневої анестезії шкірних покривів, слизових і синовіальних оболонок, провідникової (регіональної) чи епідуральної анестезій застосовують 1 або 2% розчини лідокаїну гідрохлориду у дозах 0,2-0,4 та 0,1-0,2 мл на 1 кг маси тіла, відповідно;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для спинальної анестезії застосовують 2% розчини лідокаїну гідрохлориду у дозі 0,1-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0,2 мл </w:t>
      </w:r>
      <w:r w:rsidR="00C40526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препарату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1 кг маси тіла тварини.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Коти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інфільтраційної анестезії, проведення лікувальних блокад за больових синдромів та гострих запальних процесів застосовують 0,25 або 0,5% розчини лідокаїну гідрохлориду у дозах 0,6-0,8 та 0,3-0,4 мл на 1 кг маси тіла, відповідно;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для поверхневої анестезії шкірних покривів, слизових і синовіальних оболонок, провідникової (регіональної) чи епідуральної анестезії застосовують 1 або 2% розчини лідокаїну гідрохлориду у дозах 0,15-0,2 та 0,07-0,1 мл на 1 кг маси тіла, відповідно;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для спинальної анестезії використовують 2% розчин лідокаїну гідрохлориду в дозі 0,07-0,1 мл </w:t>
      </w:r>
      <w:r w:rsidR="0019238E"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препарату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1 кг маси тіла.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отримання 0,25, 0,5 і 1,0 % розчинів лідокаїну гідрохлориду необхідно в шприц до однієї частини даного препарату Лідокаїну гідрохлорид добрати відповідно чотири, три або одну частини води для ін'єкцій.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подовження дії анестетика можливе додавання 0,1 мл 0,1% розчину адреналіну на кожні 10 мл розчину лідокаїну гідрохлориду.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9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Передозування (симптоми, невідкладні заходи, антидоти)</w:t>
      </w:r>
    </w:p>
    <w:p w:rsidR="00FA0BBA" w:rsidRPr="0032159B" w:rsidRDefault="00E6680E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</w:t>
      </w:r>
      <w:r w:rsidR="00FA0BBA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передозуванн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я</w:t>
      </w:r>
      <w:r w:rsidR="00FA0BBA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лідокаїну фаза стимуляції центральної нервової системи, яка може бути короткою (майже невираженою), змінюється фазою пригнічення. Можливі сонливість, порушення зору, блювота, зниження артеріального тиску, тремтіння м'язів. 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</w:t>
      </w:r>
      <w:r w:rsidR="00FA0BBA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важк</w:t>
      </w: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ої</w:t>
      </w:r>
      <w:r w:rsidR="00FA0BBA" w:rsidRPr="0032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інтоксикації (у разі швидкого введення в кров) виникають гіпотензія, судинний колапс, судоми, пригнічення дихального центру. Можливі алергічні реакції з настанням анафілактичного шоку. При зменшенні частоти серцевих скорочень можливе внутрішньовенне введення 0,5-1 мг атропіну сульфату</w:t>
      </w:r>
      <w:r w:rsidR="00FA0BBA" w:rsidRPr="0032159B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5.10 Спеціальні застереження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Загальна доза лідокаїну гідрохлориду за активною речовиною не повинна перевищувати максимально допустимої дози: коти — 2,0 мг на 1 кг маси тіла; коні, свині віком до 4 тижнів, собаки — 4,0 мг на 1 кг маси тіла</w:t>
      </w: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Тваринам із захворюваннями печінки, застійною серцевою недостатністю, у стані шоку і гіповолемії з вираженим пригніченням дихання або гіпоксією препарат призначають із обережністю.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Препарат не слід змішувати з іншими лікарськими засобами в одному шприці. 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 потраплянні голки в судину, а лідокаїну в кров можливе виникнення колапсу. В такому випадку з лікувальною та профілактичною метою застосовують судинозвужувальні та серцеві засоби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5.1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1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Період виведення (каренції)</w:t>
      </w:r>
    </w:p>
    <w:p w:rsidR="00FA0BBA" w:rsidRPr="0032159B" w:rsidRDefault="0032159B" w:rsidP="00FA0BBA">
      <w:pPr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 w:eastAsia="ru-RU"/>
        </w:rPr>
        <w:t>Не вимагається.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z w:val="24"/>
          <w:szCs w:val="24"/>
          <w:lang w:eastAsia="ru-RU"/>
        </w:rPr>
        <w:t>5.1</w:t>
      </w:r>
      <w:r w:rsidRPr="003215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 w:rsidRPr="003215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 застереження для осіб і обслуговуючого персоналу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При застосуванні препарату дотримуватись правил асептики та безпечної фіксації тварини.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 Ф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армацевтичні особливості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6.1 Форми несумісності (основні)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 xml:space="preserve">Препарат не змішувати з іншими лікарськими засобами в одному шприці. 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Не застосовувати одночасно із барбітуратами, курареподібними препаратами, оскільки виникає загроза паралічу дихальних м'язів.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Не використовувати з препаратами, які пригнічують або збуджують центральну нервову систему.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6.2 Термін придатності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3 роки. 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Термін </w:t>
      </w: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придатності </w:t>
      </w: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після першого відбору із флакона - 10 діб за умови зберігання в холодильнику</w:t>
      </w:r>
      <w:r w:rsidRPr="0032159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6.3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 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Особливі за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>ходи</w:t>
      </w: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зберігання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Сухе темне, недоступне для дітей місце в упакованні виробника за температури від 3 до 25 °С.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6.4 Природа і склад контейнера первинного пакування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eastAsia="ru-RU"/>
        </w:rPr>
        <w:t>Флакони зі скла, закриті гумовими корками під алюмінієвими обкатками, об’ємом 10, 20, 50 або 100 мл.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 xml:space="preserve">Невикористаний препарат або його залишки повинні бути утилізовані </w:t>
      </w:r>
      <w:r w:rsidR="00C66FAC"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 xml:space="preserve">відповідно до </w:t>
      </w:r>
      <w:r w:rsidRPr="0032159B">
        <w:rPr>
          <w:rFonts w:ascii="Times New Roman" w:eastAsia="Times New Roman" w:hAnsi="Times New Roman"/>
          <w:snapToGrid w:val="0"/>
          <w:sz w:val="24"/>
          <w:szCs w:val="24"/>
          <w:lang w:val="uk-UA"/>
        </w:rPr>
        <w:t>чинних вимог.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7. Назва і місцезнаходження власника реєстраційного посвідчення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ТОВ "БРОВАФАРМА" 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б-р Незалежності 18-а, м. Бровари, Київська обл., 07400, Україна</w:t>
      </w:r>
    </w:p>
    <w:p w:rsidR="00FA0BBA" w:rsidRPr="0032159B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napToGrid w:val="0"/>
          <w:sz w:val="24"/>
          <w:szCs w:val="24"/>
          <w:lang w:val="uk-UA" w:eastAsia="ru-RU"/>
        </w:rPr>
        <w:t xml:space="preserve">8. </w:t>
      </w:r>
      <w:r w:rsidRPr="003215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і місцезнаходження виробника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ТОВ "БРОВАФАРМА" </w:t>
      </w:r>
    </w:p>
    <w:p w:rsidR="00FA0BBA" w:rsidRPr="0032159B" w:rsidRDefault="00FA0BBA" w:rsidP="00FA0BBA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sz w:val="24"/>
          <w:szCs w:val="24"/>
          <w:lang w:val="uk-UA" w:eastAsia="ru-RU"/>
        </w:rPr>
        <w:t>б-р Незалежності 18-а, м. Бровари, Київська обл., 07400, Україна</w:t>
      </w:r>
    </w:p>
    <w:p w:rsidR="00FA0BBA" w:rsidRPr="00AF5FF9" w:rsidRDefault="00FA0BBA" w:rsidP="00FA0BBA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5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Додаткова інформація</w:t>
      </w:r>
      <w:bookmarkStart w:id="0" w:name="_GoBack"/>
      <w:bookmarkEnd w:id="0"/>
    </w:p>
    <w:p w:rsidR="00FA0BBA" w:rsidRPr="00A71416" w:rsidRDefault="00FA0BBA" w:rsidP="00FA0BBA">
      <w:pPr>
        <w:spacing w:before="240" w:after="0"/>
        <w:jc w:val="right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</w:p>
    <w:p w:rsidR="006F39EB" w:rsidRDefault="006F39EB"/>
    <w:sectPr w:rsidR="006F39EB" w:rsidSect="00971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A0BBA"/>
    <w:rsid w:val="001128EE"/>
    <w:rsid w:val="0015488D"/>
    <w:rsid w:val="0019238E"/>
    <w:rsid w:val="001D066B"/>
    <w:rsid w:val="0032159B"/>
    <w:rsid w:val="00325534"/>
    <w:rsid w:val="00502FE9"/>
    <w:rsid w:val="0066443D"/>
    <w:rsid w:val="00694179"/>
    <w:rsid w:val="006F39EB"/>
    <w:rsid w:val="00783570"/>
    <w:rsid w:val="007B00B2"/>
    <w:rsid w:val="00814BC3"/>
    <w:rsid w:val="00877B14"/>
    <w:rsid w:val="00971157"/>
    <w:rsid w:val="00AC3BBB"/>
    <w:rsid w:val="00C00C16"/>
    <w:rsid w:val="00C40526"/>
    <w:rsid w:val="00C66FAC"/>
    <w:rsid w:val="00E373AC"/>
    <w:rsid w:val="00E6680E"/>
    <w:rsid w:val="00E72870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C7D"/>
  <w15:docId w15:val="{F3478711-EE45-42A9-B16D-2E3C0DE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BA"/>
    <w:pPr>
      <w:spacing w:after="200" w:line="276" w:lineRule="auto"/>
    </w:pPr>
    <w:rPr>
      <w:rFonts w:ascii="Calibri" w:eastAsia="Calibri" w:hAnsi="Calibri" w:cs="Times New Roman"/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0B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B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B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B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B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B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B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B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B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B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A0B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A0BBA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A0BBA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A0BBA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A0BBA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A0BBA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A0BBA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A0BBA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A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uiPriority w:val="10"/>
    <w:rsid w:val="00FA0BB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A0B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uiPriority w:val="11"/>
    <w:rsid w:val="00FA0BB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FA0B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</w:rPr>
  </w:style>
  <w:style w:type="character" w:customStyle="1" w:styleId="a8">
    <w:name w:val="Цитата Знак"/>
    <w:basedOn w:val="a0"/>
    <w:link w:val="a7"/>
    <w:uiPriority w:val="29"/>
    <w:rsid w:val="00FA0BBA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FA0B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</w:rPr>
  </w:style>
  <w:style w:type="character" w:styleId="aa">
    <w:name w:val="Intense Emphasis"/>
    <w:basedOn w:val="a0"/>
    <w:uiPriority w:val="21"/>
    <w:qFormat/>
    <w:rsid w:val="00FA0B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/>
    </w:rPr>
  </w:style>
  <w:style w:type="character" w:customStyle="1" w:styleId="ac">
    <w:name w:val="Насичена цитата Знак"/>
    <w:basedOn w:val="a0"/>
    <w:link w:val="ab"/>
    <w:uiPriority w:val="30"/>
    <w:rsid w:val="00FA0BBA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FA0BBA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D066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066B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D066B"/>
    <w:rPr>
      <w:rFonts w:ascii="Calibri" w:eastAsia="Calibri" w:hAnsi="Calibri" w:cs="Times New Roman"/>
      <w:kern w:val="0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66B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D066B"/>
    <w:rPr>
      <w:rFonts w:ascii="Calibri" w:eastAsia="Calibri" w:hAnsi="Calibri" w:cs="Times New Roman"/>
      <w:b/>
      <w:bCs/>
      <w:kern w:val="0"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1D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D066B"/>
    <w:rPr>
      <w:rFonts w:ascii="Tahoma" w:eastAsia="Calibri" w:hAnsi="Tahoma" w:cs="Tahoma"/>
      <w:kern w:val="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0055-9E4A-4153-8CD1-25F3DE9E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5824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Ткачова</dc:creator>
  <cp:keywords/>
  <dc:description/>
  <cp:lastModifiedBy>admin</cp:lastModifiedBy>
  <cp:revision>10</cp:revision>
  <dcterms:created xsi:type="dcterms:W3CDTF">2025-12-22T07:28:00Z</dcterms:created>
  <dcterms:modified xsi:type="dcterms:W3CDTF">2026-02-11T19:02:00Z</dcterms:modified>
</cp:coreProperties>
</file>