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B1A455" w14:textId="77777777" w:rsidR="00A95855" w:rsidRPr="007626AD" w:rsidRDefault="00A95855" w:rsidP="00A95855">
      <w:pPr>
        <w:ind w:left="-142" w:firstLine="425"/>
        <w:jc w:val="center"/>
        <w:rPr>
          <w:b/>
          <w:bCs/>
          <w:lang w:val="uk-UA"/>
        </w:rPr>
      </w:pPr>
      <w:r w:rsidRPr="007626AD">
        <w:rPr>
          <w:b/>
          <w:bCs/>
          <w:lang w:val="uk-UA"/>
        </w:rPr>
        <w:t>Коротка характеристика препарату</w:t>
      </w:r>
    </w:p>
    <w:p w14:paraId="6E12EA36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lang w:val="uk-UA"/>
        </w:rPr>
      </w:pPr>
      <w:r w:rsidRPr="007626AD">
        <w:rPr>
          <w:b/>
          <w:bCs/>
          <w:lang w:val="uk-UA"/>
        </w:rPr>
        <w:t>1.</w:t>
      </w:r>
      <w:r w:rsidRPr="007626AD">
        <w:rPr>
          <w:b/>
          <w:bCs/>
          <w:lang w:val="uk-UA"/>
        </w:rPr>
        <w:tab/>
        <w:t>Назва</w:t>
      </w:r>
    </w:p>
    <w:p w14:paraId="66B01133" w14:textId="77777777" w:rsidR="001706CB" w:rsidRPr="007626AD" w:rsidRDefault="001706CB" w:rsidP="001706CB">
      <w:pPr>
        <w:spacing w:line="276" w:lineRule="auto"/>
        <w:ind w:left="567"/>
        <w:jc w:val="both"/>
        <w:rPr>
          <w:b/>
          <w:bCs/>
          <w:lang w:val="uk-UA"/>
        </w:rPr>
      </w:pPr>
      <w:bookmarkStart w:id="0" w:name="bookmark1"/>
      <w:r w:rsidRPr="007626AD">
        <w:rPr>
          <w:lang w:val="uk-UA"/>
        </w:rPr>
        <w:t>ФАРМАДОКС П</w:t>
      </w:r>
    </w:p>
    <w:p w14:paraId="0B90CDD6" w14:textId="77777777" w:rsidR="001706CB" w:rsidRPr="007626AD" w:rsidRDefault="001706CB" w:rsidP="001706CB">
      <w:pPr>
        <w:numPr>
          <w:ilvl w:val="0"/>
          <w:numId w:val="6"/>
        </w:numPr>
        <w:spacing w:line="276" w:lineRule="auto"/>
        <w:ind w:firstLine="567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Склад</w:t>
      </w:r>
      <w:bookmarkEnd w:id="0"/>
    </w:p>
    <w:p w14:paraId="4D354B54" w14:textId="77777777" w:rsidR="001706CB" w:rsidRPr="007626AD" w:rsidRDefault="001706CB" w:rsidP="001706CB">
      <w:pPr>
        <w:spacing w:line="276" w:lineRule="auto"/>
        <w:ind w:left="567"/>
        <w:contextualSpacing/>
        <w:jc w:val="both"/>
        <w:rPr>
          <w:lang w:val="uk-UA"/>
        </w:rPr>
      </w:pPr>
      <w:r w:rsidRPr="007626AD">
        <w:rPr>
          <w:lang w:val="uk-UA"/>
        </w:rPr>
        <w:t>1 г препарату містить діючі речовини:</w:t>
      </w:r>
    </w:p>
    <w:p w14:paraId="1097C563" w14:textId="77777777" w:rsidR="001706CB" w:rsidRPr="007626AD" w:rsidRDefault="001706CB" w:rsidP="001706CB">
      <w:pPr>
        <w:spacing w:line="276" w:lineRule="auto"/>
        <w:ind w:left="567"/>
        <w:contextualSpacing/>
        <w:jc w:val="both"/>
        <w:rPr>
          <w:lang w:val="uk-UA"/>
        </w:rPr>
      </w:pP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гіклат</w:t>
      </w:r>
      <w:proofErr w:type="spellEnd"/>
      <w:r w:rsidRPr="007626AD">
        <w:rPr>
          <w:lang w:val="uk-UA"/>
        </w:rPr>
        <w:t xml:space="preserve"> – 100 мг;</w:t>
      </w:r>
    </w:p>
    <w:p w14:paraId="297C21B6" w14:textId="77777777" w:rsidR="001706CB" w:rsidRPr="007626AD" w:rsidRDefault="001706CB" w:rsidP="001706CB">
      <w:pPr>
        <w:spacing w:line="276" w:lineRule="auto"/>
        <w:ind w:left="567"/>
        <w:contextualSpacing/>
        <w:jc w:val="both"/>
        <w:rPr>
          <w:lang w:val="uk-UA"/>
        </w:rPr>
      </w:pP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тартрат</w:t>
      </w:r>
      <w:proofErr w:type="spellEnd"/>
      <w:r w:rsidRPr="007626AD">
        <w:rPr>
          <w:lang w:val="uk-UA"/>
        </w:rPr>
        <w:t>  – 100 мг.</w:t>
      </w:r>
    </w:p>
    <w:p w14:paraId="1A26062E" w14:textId="77777777" w:rsidR="001706CB" w:rsidRPr="007626AD" w:rsidRDefault="001706CB" w:rsidP="001706CB">
      <w:pPr>
        <w:spacing w:line="276" w:lineRule="auto"/>
        <w:ind w:left="567"/>
        <w:contextualSpacing/>
        <w:jc w:val="both"/>
        <w:rPr>
          <w:lang w:val="uk-UA"/>
        </w:rPr>
      </w:pPr>
      <w:r w:rsidRPr="007626AD">
        <w:rPr>
          <w:lang w:val="uk-UA"/>
        </w:rPr>
        <w:t xml:space="preserve">Допоміжні </w:t>
      </w:r>
      <w:proofErr w:type="spellStart"/>
      <w:r w:rsidRPr="007626AD">
        <w:rPr>
          <w:lang w:val="uk-UA"/>
        </w:rPr>
        <w:t>речовини:діоксид</w:t>
      </w:r>
      <w:proofErr w:type="spellEnd"/>
      <w:r w:rsidRPr="007626AD">
        <w:rPr>
          <w:lang w:val="uk-UA"/>
        </w:rPr>
        <w:t xml:space="preserve"> кремнію, сахароза, лимонна кислота.</w:t>
      </w:r>
    </w:p>
    <w:p w14:paraId="3FC7DBFE" w14:textId="77777777" w:rsidR="001706CB" w:rsidRPr="007626AD" w:rsidRDefault="001706CB" w:rsidP="001706CB">
      <w:pPr>
        <w:numPr>
          <w:ilvl w:val="0"/>
          <w:numId w:val="6"/>
        </w:numPr>
        <w:spacing w:line="276" w:lineRule="auto"/>
        <w:ind w:left="720"/>
        <w:contextualSpacing/>
        <w:jc w:val="both"/>
        <w:rPr>
          <w:b/>
          <w:bCs/>
          <w:lang w:val="uk-UA"/>
        </w:rPr>
      </w:pPr>
      <w:bookmarkStart w:id="1" w:name="bookmark2"/>
      <w:r w:rsidRPr="007626AD">
        <w:rPr>
          <w:b/>
          <w:bCs/>
          <w:lang w:val="uk-UA"/>
        </w:rPr>
        <w:t>Фармацевтична форма</w:t>
      </w:r>
      <w:bookmarkEnd w:id="1"/>
    </w:p>
    <w:p w14:paraId="714F6B79" w14:textId="77777777" w:rsidR="001706CB" w:rsidRPr="007626AD" w:rsidRDefault="001706CB" w:rsidP="001706CB">
      <w:pPr>
        <w:spacing w:line="276" w:lineRule="auto"/>
        <w:ind w:firstLine="567"/>
        <w:jc w:val="both"/>
        <w:rPr>
          <w:bCs/>
          <w:lang w:val="uk-UA"/>
        </w:rPr>
      </w:pPr>
      <w:bookmarkStart w:id="2" w:name="bookmark3"/>
      <w:r w:rsidRPr="007626AD">
        <w:rPr>
          <w:lang w:val="uk-UA"/>
        </w:rPr>
        <w:t>Порошок для приготування перорального розчину.</w:t>
      </w:r>
    </w:p>
    <w:p w14:paraId="0EDAF6BF" w14:textId="77777777" w:rsidR="001706CB" w:rsidRPr="007626AD" w:rsidRDefault="001706CB" w:rsidP="001706CB">
      <w:pPr>
        <w:numPr>
          <w:ilvl w:val="0"/>
          <w:numId w:val="6"/>
        </w:numPr>
        <w:spacing w:line="276" w:lineRule="auto"/>
        <w:ind w:firstLine="567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Фармакологічні властивості</w:t>
      </w:r>
      <w:bookmarkEnd w:id="2"/>
    </w:p>
    <w:p w14:paraId="0138C58C" w14:textId="77777777" w:rsidR="001706CB" w:rsidRPr="007626AD" w:rsidRDefault="001706CB" w:rsidP="001706CB">
      <w:pPr>
        <w:widowControl w:val="0"/>
        <w:ind w:firstLine="709"/>
        <w:jc w:val="both"/>
        <w:rPr>
          <w:b/>
          <w:i/>
          <w:color w:val="000000"/>
          <w:lang w:val="uk-UA"/>
        </w:rPr>
      </w:pPr>
      <w:r w:rsidRPr="007626AD">
        <w:rPr>
          <w:b/>
          <w:i/>
          <w:color w:val="000000"/>
          <w:lang w:val="uk-UA"/>
        </w:rPr>
        <w:t xml:space="preserve">АТС </w:t>
      </w:r>
      <w:proofErr w:type="spellStart"/>
      <w:r w:rsidRPr="007626AD">
        <w:rPr>
          <w:b/>
          <w:i/>
          <w:color w:val="000000"/>
          <w:lang w:val="uk-UA"/>
        </w:rPr>
        <w:t>vet</w:t>
      </w:r>
      <w:proofErr w:type="spellEnd"/>
      <w:r w:rsidRPr="007626AD">
        <w:rPr>
          <w:b/>
          <w:i/>
          <w:color w:val="000000"/>
          <w:lang w:val="uk-UA"/>
        </w:rPr>
        <w:t xml:space="preserve"> класифікаційний код QJ01 - антибактеріальні ветеринарні препарати для системного застосування. </w:t>
      </w:r>
      <w:r w:rsidRPr="007626AD">
        <w:rPr>
          <w:b/>
          <w:i/>
          <w:color w:val="000000"/>
          <w:shd w:val="clear" w:color="auto" w:fill="FFFFFF"/>
        </w:rPr>
        <w:t>QJ</w:t>
      </w:r>
      <w:r w:rsidRPr="007626AD">
        <w:rPr>
          <w:b/>
          <w:i/>
          <w:color w:val="000000"/>
          <w:shd w:val="clear" w:color="auto" w:fill="FFFFFF"/>
          <w:lang w:val="uk-UA"/>
        </w:rPr>
        <w:t>01</w:t>
      </w:r>
      <w:r w:rsidRPr="007626AD">
        <w:rPr>
          <w:b/>
          <w:i/>
          <w:color w:val="000000"/>
          <w:shd w:val="clear" w:color="auto" w:fill="FFFFFF"/>
        </w:rPr>
        <w:t>RA</w:t>
      </w:r>
      <w:r w:rsidRPr="007626AD">
        <w:rPr>
          <w:b/>
          <w:i/>
          <w:color w:val="000000"/>
          <w:shd w:val="clear" w:color="auto" w:fill="FFFFFF"/>
          <w:lang w:val="uk-UA"/>
        </w:rPr>
        <w:t>90</w:t>
      </w:r>
      <w:r w:rsidRPr="007626AD">
        <w:rPr>
          <w:color w:val="000000"/>
          <w:shd w:val="clear" w:color="auto" w:fill="FFFFFF"/>
          <w:lang w:val="uk-UA"/>
        </w:rPr>
        <w:t xml:space="preserve"> – </w:t>
      </w:r>
      <w:proofErr w:type="spellStart"/>
      <w:r w:rsidRPr="007626AD">
        <w:rPr>
          <w:b/>
          <w:i/>
          <w:color w:val="000000"/>
          <w:shd w:val="clear" w:color="auto" w:fill="FFFFFF"/>
          <w:lang w:val="uk-UA"/>
        </w:rPr>
        <w:t>тетрацикліни</w:t>
      </w:r>
      <w:proofErr w:type="spellEnd"/>
      <w:r w:rsidRPr="007626AD">
        <w:rPr>
          <w:b/>
          <w:i/>
          <w:color w:val="000000"/>
          <w:shd w:val="clear" w:color="auto" w:fill="FFFFFF"/>
          <w:lang w:val="uk-UA"/>
        </w:rPr>
        <w:t xml:space="preserve">, </w:t>
      </w:r>
      <w:r w:rsidRPr="007626AD">
        <w:rPr>
          <w:b/>
          <w:i/>
          <w:color w:val="000000"/>
          <w:lang w:val="uk-UA"/>
        </w:rPr>
        <w:t>комбінації з іншими протимікробними препаратами.</w:t>
      </w:r>
    </w:p>
    <w:p w14:paraId="79FF3C43" w14:textId="77777777" w:rsidR="001706CB" w:rsidRPr="007626AD" w:rsidRDefault="001706CB" w:rsidP="001706CB">
      <w:pPr>
        <w:ind w:firstLine="709"/>
        <w:jc w:val="both"/>
        <w:rPr>
          <w:lang w:val="uk-UA"/>
        </w:rPr>
      </w:pPr>
      <w:bookmarkStart w:id="3" w:name="bookmark4"/>
      <w:r w:rsidRPr="007626AD">
        <w:rPr>
          <w:lang w:val="uk-UA"/>
        </w:rPr>
        <w:t xml:space="preserve">ФАРМАДОКС П – комбінований препарат, до складу якого входять </w:t>
      </w:r>
      <w:proofErr w:type="spellStart"/>
      <w:r w:rsidRPr="007626AD">
        <w:rPr>
          <w:lang w:val="uk-UA"/>
        </w:rPr>
        <w:t>доксициклін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тилозин</w:t>
      </w:r>
      <w:proofErr w:type="spellEnd"/>
      <w:r w:rsidRPr="007626AD">
        <w:rPr>
          <w:lang w:val="uk-UA"/>
        </w:rPr>
        <w:t>.</w:t>
      </w:r>
    </w:p>
    <w:p w14:paraId="4FB7BD38" w14:textId="77777777" w:rsidR="001706CB" w:rsidRPr="007626AD" w:rsidRDefault="001706CB" w:rsidP="001706CB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lang w:val="uk-UA" w:eastAsia="en-US"/>
        </w:rPr>
      </w:pPr>
      <w:proofErr w:type="spellStart"/>
      <w:r w:rsidRPr="007626AD">
        <w:rPr>
          <w:rFonts w:eastAsia="Calibri"/>
          <w:color w:val="000000"/>
          <w:lang w:val="uk-UA" w:eastAsia="en-US"/>
        </w:rPr>
        <w:t>Доксициклін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 – бактеріостатичний антибіотик, що належить до групи </w:t>
      </w:r>
      <w:proofErr w:type="spellStart"/>
      <w:r w:rsidRPr="007626AD">
        <w:rPr>
          <w:rFonts w:eastAsia="Calibri"/>
          <w:color w:val="000000"/>
          <w:lang w:val="uk-UA" w:eastAsia="en-US"/>
        </w:rPr>
        <w:t>тетрациклінів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. Зумовлює бактеріостатичну дію за рахунок пригнічення синтезу білка збудників у зв’язці </w:t>
      </w:r>
      <w:proofErr w:type="spellStart"/>
      <w:r w:rsidRPr="007626AD">
        <w:rPr>
          <w:rFonts w:eastAsia="Calibri"/>
          <w:color w:val="000000"/>
          <w:lang w:val="uk-UA" w:eastAsia="en-US"/>
        </w:rPr>
        <w:t>аміноацил</w:t>
      </w:r>
      <w:proofErr w:type="spellEnd"/>
      <w:r w:rsidRPr="007626AD">
        <w:rPr>
          <w:rFonts w:eastAsia="Calibri"/>
          <w:color w:val="000000"/>
          <w:lang w:val="uk-UA" w:eastAsia="en-US"/>
        </w:rPr>
        <w:t>-транспортної РНК (</w:t>
      </w:r>
      <w:proofErr w:type="spellStart"/>
      <w:r w:rsidRPr="007626AD">
        <w:rPr>
          <w:rFonts w:eastAsia="Calibri"/>
          <w:color w:val="000000"/>
          <w:lang w:val="uk-UA" w:eastAsia="en-US"/>
        </w:rPr>
        <w:t>тРНК</w:t>
      </w:r>
      <w:proofErr w:type="spellEnd"/>
      <w:r w:rsidRPr="007626AD">
        <w:rPr>
          <w:rFonts w:eastAsia="Calibri"/>
          <w:color w:val="000000"/>
          <w:lang w:val="uk-UA" w:eastAsia="en-US"/>
        </w:rPr>
        <w:t>) з комплексом «інформаційна РНК (</w:t>
      </w:r>
      <w:proofErr w:type="spellStart"/>
      <w:r w:rsidRPr="007626AD">
        <w:rPr>
          <w:rFonts w:eastAsia="Calibri"/>
          <w:color w:val="000000"/>
          <w:lang w:val="uk-UA" w:eastAsia="en-US"/>
        </w:rPr>
        <w:t>іРНК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) – рибосома». Він має широкий спектр антимікробної дії щодо </w:t>
      </w:r>
      <w:proofErr w:type="spellStart"/>
      <w:r w:rsidRPr="007626AD">
        <w:rPr>
          <w:rFonts w:eastAsia="Calibri"/>
          <w:color w:val="000000"/>
          <w:lang w:val="uk-UA" w:eastAsia="en-US"/>
        </w:rPr>
        <w:t>грампозитивних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 (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Staphylococcus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Diplococcus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pneumonia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Streptococcus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Bacillus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anthracis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Clostridium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tetani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Clostridium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perfringens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Listeria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monocytogen</w:t>
      </w:r>
      <w:r w:rsidRPr="007626AD">
        <w:rPr>
          <w:rFonts w:eastAsia="Calibri"/>
          <w:i/>
          <w:color w:val="000000"/>
          <w:lang w:val="en-US" w:eastAsia="en-US"/>
        </w:rPr>
        <w:t>es</w:t>
      </w:r>
      <w:proofErr w:type="spellEnd"/>
      <w:r w:rsidRPr="007626AD">
        <w:rPr>
          <w:rFonts w:eastAsia="Calibri"/>
          <w:color w:val="000000"/>
          <w:lang w:val="uk-UA" w:eastAsia="en-US"/>
        </w:rPr>
        <w:t>) та грамнегативних бактерій (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Haemophilus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influenza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E.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coli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Enterobacter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Klebsiella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Salmonella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Shigella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Yersinia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Pasteurella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.,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Bordetella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bronchiseptica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), а також </w:t>
      </w:r>
      <w:proofErr w:type="spellStart"/>
      <w:r w:rsidRPr="007626AD">
        <w:rPr>
          <w:rFonts w:eastAsia="Calibri"/>
          <w:color w:val="000000"/>
          <w:lang w:val="uk-UA" w:eastAsia="en-US"/>
        </w:rPr>
        <w:t>мікоплазм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 (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Mycoplasma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color w:val="000000"/>
          <w:lang w:val="uk-UA" w:eastAsia="en-US"/>
        </w:rPr>
        <w:t>.), рикетсій (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Rickettsia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 xml:space="preserve"> 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spp</w:t>
      </w:r>
      <w:proofErr w:type="spellEnd"/>
      <w:r w:rsidRPr="007626AD">
        <w:rPr>
          <w:rFonts w:eastAsia="Calibri"/>
          <w:i/>
          <w:color w:val="000000"/>
          <w:lang w:val="uk-UA" w:eastAsia="en-US"/>
        </w:rPr>
        <w:t>.</w:t>
      </w:r>
      <w:r w:rsidRPr="007626AD">
        <w:rPr>
          <w:rFonts w:eastAsia="Calibri"/>
          <w:color w:val="000000"/>
          <w:lang w:val="uk-UA" w:eastAsia="en-US"/>
        </w:rPr>
        <w:t xml:space="preserve">) та </w:t>
      </w:r>
      <w:proofErr w:type="spellStart"/>
      <w:r w:rsidRPr="007626AD">
        <w:rPr>
          <w:rFonts w:eastAsia="Calibri"/>
          <w:color w:val="000000"/>
          <w:lang w:val="uk-UA" w:eastAsia="en-US"/>
        </w:rPr>
        <w:t>хламідій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 (</w:t>
      </w:r>
      <w:proofErr w:type="spellStart"/>
      <w:r w:rsidRPr="007626AD">
        <w:rPr>
          <w:rFonts w:eastAsia="Calibri"/>
          <w:i/>
          <w:color w:val="000000"/>
          <w:lang w:val="uk-UA" w:eastAsia="en-US"/>
        </w:rPr>
        <w:t>Chlamydia</w:t>
      </w:r>
      <w:proofErr w:type="spellEnd"/>
      <w:r w:rsidRPr="007626AD">
        <w:rPr>
          <w:rFonts w:eastAsia="Calibri"/>
          <w:color w:val="000000"/>
          <w:lang w:val="uk-UA" w:eastAsia="en-US"/>
        </w:rPr>
        <w:t xml:space="preserve">). </w:t>
      </w:r>
    </w:p>
    <w:p w14:paraId="56E2DB7E" w14:textId="77777777" w:rsidR="001706CB" w:rsidRPr="007626AD" w:rsidRDefault="001706CB" w:rsidP="001706CB">
      <w:pPr>
        <w:ind w:firstLine="993"/>
        <w:jc w:val="both"/>
        <w:rPr>
          <w:lang w:val="uk-UA"/>
        </w:rPr>
      </w:pPr>
      <w:proofErr w:type="spellStart"/>
      <w:r w:rsidRPr="007626AD">
        <w:rPr>
          <w:lang w:val="uk-UA"/>
        </w:rPr>
        <w:t>Тилозин</w:t>
      </w:r>
      <w:proofErr w:type="spellEnd"/>
      <w:r w:rsidRPr="007626AD">
        <w:rPr>
          <w:lang w:val="uk-UA"/>
        </w:rPr>
        <w:t xml:space="preserve"> – антибіотик групи </w:t>
      </w:r>
      <w:proofErr w:type="spellStart"/>
      <w:r w:rsidRPr="007626AD">
        <w:rPr>
          <w:lang w:val="uk-UA"/>
        </w:rPr>
        <w:t>макролідів</w:t>
      </w:r>
      <w:proofErr w:type="spellEnd"/>
      <w:r w:rsidRPr="007626AD">
        <w:rPr>
          <w:lang w:val="uk-UA"/>
        </w:rPr>
        <w:t xml:space="preserve">, активний по відношенню до </w:t>
      </w:r>
      <w:proofErr w:type="spellStart"/>
      <w:r w:rsidRPr="007626AD">
        <w:rPr>
          <w:lang w:val="uk-UA"/>
        </w:rPr>
        <w:t>грампозитивних</w:t>
      </w:r>
      <w:proofErr w:type="spellEnd"/>
      <w:r w:rsidRPr="007626AD">
        <w:rPr>
          <w:lang w:val="uk-UA"/>
        </w:rPr>
        <w:t xml:space="preserve"> </w:t>
      </w:r>
      <w:r w:rsidRPr="007626AD">
        <w:rPr>
          <w:i/>
          <w:lang w:val="uk-UA"/>
        </w:rPr>
        <w:t>(</w:t>
      </w:r>
      <w:proofErr w:type="spellStart"/>
      <w:r w:rsidRPr="007626AD">
        <w:rPr>
          <w:i/>
          <w:lang w:val="uk-UA"/>
        </w:rPr>
        <w:t>Staphylococcus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Streptococcus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Diplococcus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Corynebacterium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Clostridium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Erysipelothrix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rhusiopathiae</w:t>
      </w:r>
      <w:proofErr w:type="spellEnd"/>
      <w:r w:rsidRPr="007626AD">
        <w:rPr>
          <w:i/>
          <w:lang w:val="uk-UA"/>
        </w:rPr>
        <w:t xml:space="preserve">) </w:t>
      </w:r>
      <w:r w:rsidRPr="007626AD">
        <w:rPr>
          <w:lang w:val="uk-UA"/>
        </w:rPr>
        <w:t>та грамнегативних</w:t>
      </w:r>
      <w:r w:rsidRPr="007626AD">
        <w:rPr>
          <w:i/>
          <w:lang w:val="uk-UA"/>
        </w:rPr>
        <w:t xml:space="preserve"> (</w:t>
      </w:r>
      <w:proofErr w:type="spellStart"/>
      <w:r w:rsidRPr="007626AD">
        <w:rPr>
          <w:i/>
          <w:lang w:val="uk-UA"/>
        </w:rPr>
        <w:t>Neisseria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Bacteriodes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nodosus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Moraxella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bovis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Pasteurella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., </w:t>
      </w:r>
      <w:proofErr w:type="spellStart"/>
      <w:r w:rsidRPr="007626AD">
        <w:rPr>
          <w:i/>
          <w:lang w:val="uk-UA"/>
        </w:rPr>
        <w:t>Spirochetа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 xml:space="preserve">.) </w:t>
      </w:r>
      <w:r w:rsidRPr="007626AD">
        <w:rPr>
          <w:lang w:val="uk-UA"/>
        </w:rPr>
        <w:t>мікроорганізмів</w:t>
      </w:r>
      <w:r w:rsidRPr="007626AD">
        <w:rPr>
          <w:i/>
          <w:lang w:val="uk-UA"/>
        </w:rPr>
        <w:t>.</w:t>
      </w:r>
      <w:r w:rsidRPr="007626AD">
        <w:rPr>
          <w:lang w:val="uk-UA"/>
        </w:rPr>
        <w:t xml:space="preserve"> Особливо чутливі до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мікоплазми </w:t>
      </w:r>
      <w:r w:rsidRPr="007626AD">
        <w:rPr>
          <w:i/>
          <w:lang w:val="uk-UA"/>
        </w:rPr>
        <w:t>(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gallisepticum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hyopneumoniae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synoviae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meleagridis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agalactiae</w:t>
      </w:r>
      <w:proofErr w:type="spellEnd"/>
      <w:r w:rsidRPr="007626AD">
        <w:rPr>
          <w:i/>
          <w:lang w:val="uk-UA"/>
        </w:rPr>
        <w:t xml:space="preserve">, </w:t>
      </w:r>
      <w:proofErr w:type="spellStart"/>
      <w:r w:rsidRPr="007626AD">
        <w:rPr>
          <w:i/>
          <w:lang w:val="uk-UA"/>
        </w:rPr>
        <w:t>Mycoplasma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bovigenitalium</w:t>
      </w:r>
      <w:proofErr w:type="spellEnd"/>
      <w:r w:rsidRPr="007626AD">
        <w:rPr>
          <w:i/>
          <w:lang w:val="uk-UA"/>
        </w:rPr>
        <w:t>)</w:t>
      </w:r>
      <w:r w:rsidRPr="007626AD">
        <w:rPr>
          <w:lang w:val="uk-UA"/>
        </w:rPr>
        <w:t xml:space="preserve">, а також </w:t>
      </w:r>
      <w:proofErr w:type="spellStart"/>
      <w:r w:rsidRPr="007626AD">
        <w:rPr>
          <w:lang w:val="uk-UA"/>
        </w:rPr>
        <w:t>хламідії</w:t>
      </w:r>
      <w:proofErr w:type="spellEnd"/>
      <w:r w:rsidRPr="007626AD">
        <w:rPr>
          <w:lang w:val="uk-UA"/>
        </w:rPr>
        <w:t xml:space="preserve"> </w:t>
      </w:r>
      <w:r w:rsidRPr="007626AD">
        <w:rPr>
          <w:i/>
          <w:lang w:val="uk-UA"/>
        </w:rPr>
        <w:t>(</w:t>
      </w:r>
      <w:proofErr w:type="spellStart"/>
      <w:r w:rsidRPr="007626AD">
        <w:rPr>
          <w:i/>
          <w:lang w:val="uk-UA"/>
        </w:rPr>
        <w:t>Chlamydia</w:t>
      </w:r>
      <w:proofErr w:type="spellEnd"/>
      <w:r w:rsidRPr="007626AD">
        <w:rPr>
          <w:i/>
          <w:lang w:val="uk-UA"/>
        </w:rPr>
        <w:t>)</w:t>
      </w:r>
      <w:r w:rsidRPr="007626AD">
        <w:rPr>
          <w:lang w:val="uk-UA"/>
        </w:rPr>
        <w:t xml:space="preserve"> та рикетсії </w:t>
      </w:r>
      <w:r w:rsidRPr="007626AD">
        <w:rPr>
          <w:i/>
          <w:lang w:val="uk-UA"/>
        </w:rPr>
        <w:t>(</w:t>
      </w:r>
      <w:proofErr w:type="spellStart"/>
      <w:r w:rsidRPr="007626AD">
        <w:rPr>
          <w:i/>
          <w:lang w:val="uk-UA"/>
        </w:rPr>
        <w:t>Rickettsia</w:t>
      </w:r>
      <w:proofErr w:type="spellEnd"/>
      <w:r w:rsidRPr="007626AD">
        <w:rPr>
          <w:i/>
          <w:lang w:val="uk-UA"/>
        </w:rPr>
        <w:t xml:space="preserve"> </w:t>
      </w:r>
      <w:proofErr w:type="spellStart"/>
      <w:r w:rsidRPr="007626AD">
        <w:rPr>
          <w:i/>
          <w:lang w:val="uk-UA"/>
        </w:rPr>
        <w:t>spp</w:t>
      </w:r>
      <w:proofErr w:type="spellEnd"/>
      <w:r w:rsidRPr="007626AD">
        <w:rPr>
          <w:i/>
          <w:lang w:val="uk-UA"/>
        </w:rPr>
        <w:t>.).</w:t>
      </w:r>
    </w:p>
    <w:p w14:paraId="580B5BEB" w14:textId="77777777" w:rsidR="001706CB" w:rsidRPr="007626AD" w:rsidRDefault="001706CB" w:rsidP="001706CB">
      <w:pPr>
        <w:ind w:firstLine="993"/>
        <w:jc w:val="both"/>
        <w:rPr>
          <w:lang w:val="uk-UA"/>
        </w:rPr>
      </w:pPr>
      <w:r w:rsidRPr="007626AD">
        <w:rPr>
          <w:lang w:val="uk-UA"/>
        </w:rPr>
        <w:t xml:space="preserve">Механізм дії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полягає в блокуванні синтезу білків в бактеріальній клітині шляхом утворення комплексу з 50S-субодиницями рибосом.</w:t>
      </w:r>
    </w:p>
    <w:p w14:paraId="46D23CD5" w14:textId="77777777" w:rsidR="001706CB" w:rsidRPr="007626AD" w:rsidRDefault="001706CB" w:rsidP="001706CB">
      <w:pPr>
        <w:ind w:firstLine="993"/>
        <w:jc w:val="both"/>
        <w:rPr>
          <w:lang w:val="uk-UA"/>
        </w:rPr>
      </w:pPr>
      <w:r w:rsidRPr="007626AD">
        <w:rPr>
          <w:lang w:val="uk-UA"/>
        </w:rPr>
        <w:t xml:space="preserve">Після перорального застосування </w:t>
      </w:r>
      <w:proofErr w:type="spellStart"/>
      <w:r w:rsidRPr="007626AD">
        <w:rPr>
          <w:lang w:val="uk-UA"/>
        </w:rPr>
        <w:t>доксициклін</w:t>
      </w:r>
      <w:proofErr w:type="spellEnd"/>
      <w:r w:rsidRPr="007626AD">
        <w:rPr>
          <w:lang w:val="uk-UA"/>
        </w:rPr>
        <w:t xml:space="preserve"> практично повністю всмоктується в кишечнику (93-100%) й досягає максимальної концентрації в сироватці крові через 2-4 год і зберігається на терапевтичному рівні протягом 18-20 годин. Розподіляється по всьому організму з утворенням високих рівнів концентрації у легенях, нирках, печінці, жировій тканині, а також у кістках і дентині. Наявність корму в кишечнику не впливає на абсорбцію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. </w:t>
      </w:r>
      <w:proofErr w:type="spellStart"/>
      <w:r w:rsidRPr="007626AD">
        <w:rPr>
          <w:lang w:val="uk-UA"/>
        </w:rPr>
        <w:t>Біодоступність</w:t>
      </w:r>
      <w:proofErr w:type="spellEnd"/>
      <w:r w:rsidRPr="007626AD">
        <w:rPr>
          <w:lang w:val="uk-UA"/>
        </w:rPr>
        <w:t xml:space="preserve"> його у більшості тварин складає біля 70%. Період </w:t>
      </w:r>
      <w:proofErr w:type="spellStart"/>
      <w:r w:rsidRPr="007626AD">
        <w:rPr>
          <w:lang w:val="uk-UA"/>
        </w:rPr>
        <w:t>напіввиведення</w:t>
      </w:r>
      <w:proofErr w:type="spellEnd"/>
      <w:r w:rsidRPr="007626AD">
        <w:rPr>
          <w:lang w:val="uk-UA"/>
        </w:rPr>
        <w:t xml:space="preserve"> становить 4,3-10 годин у великої рогатої худоби, 6,7 годин у свиней, 3,6-4 години у кіз та </w:t>
      </w:r>
      <w:proofErr w:type="spellStart"/>
      <w:r w:rsidRPr="007626AD">
        <w:rPr>
          <w:lang w:val="uk-UA"/>
        </w:rPr>
        <w:t>овець</w:t>
      </w:r>
      <w:proofErr w:type="spellEnd"/>
      <w:r w:rsidRPr="007626AD">
        <w:rPr>
          <w:lang w:val="uk-UA"/>
        </w:rPr>
        <w:t xml:space="preserve"> та 4,8-5 годин у птиці. На відміну від інших </w:t>
      </w:r>
      <w:proofErr w:type="spellStart"/>
      <w:r w:rsidRPr="007626AD">
        <w:rPr>
          <w:lang w:val="uk-UA"/>
        </w:rPr>
        <w:t>тетрациклінів</w:t>
      </w:r>
      <w:proofErr w:type="spellEnd"/>
      <w:r w:rsidRPr="007626AD">
        <w:rPr>
          <w:lang w:val="uk-UA"/>
        </w:rPr>
        <w:t xml:space="preserve">, </w:t>
      </w:r>
      <w:proofErr w:type="spellStart"/>
      <w:r w:rsidRPr="007626AD">
        <w:rPr>
          <w:lang w:val="uk-UA"/>
        </w:rPr>
        <w:t>доксициклін</w:t>
      </w:r>
      <w:proofErr w:type="spellEnd"/>
      <w:r w:rsidRPr="007626AD">
        <w:rPr>
          <w:lang w:val="uk-UA"/>
        </w:rPr>
        <w:t xml:space="preserve"> виділяється в незміненому вигляді, в основному, з </w:t>
      </w:r>
      <w:proofErr w:type="spellStart"/>
      <w:r w:rsidRPr="007626AD">
        <w:rPr>
          <w:lang w:val="uk-UA"/>
        </w:rPr>
        <w:t>жовчю</w:t>
      </w:r>
      <w:proofErr w:type="spellEnd"/>
      <w:r w:rsidRPr="007626AD">
        <w:rPr>
          <w:lang w:val="uk-UA"/>
        </w:rPr>
        <w:t xml:space="preserve"> (більше 60%).</w:t>
      </w:r>
    </w:p>
    <w:p w14:paraId="0A7497E4" w14:textId="77777777" w:rsidR="001706CB" w:rsidRPr="007626AD" w:rsidRDefault="001706CB" w:rsidP="001706CB">
      <w:pPr>
        <w:ind w:firstLine="993"/>
        <w:jc w:val="both"/>
        <w:rPr>
          <w:lang w:val="uk-UA"/>
        </w:rPr>
      </w:pPr>
      <w:r w:rsidRPr="007626AD">
        <w:rPr>
          <w:lang w:val="uk-UA"/>
        </w:rPr>
        <w:t xml:space="preserve">Після перорального застосування </w:t>
      </w:r>
      <w:proofErr w:type="spellStart"/>
      <w:r w:rsidRPr="007626AD">
        <w:rPr>
          <w:lang w:val="uk-UA"/>
        </w:rPr>
        <w:t>тилозин</w:t>
      </w:r>
      <w:proofErr w:type="spellEnd"/>
      <w:r w:rsidRPr="007626AD">
        <w:rPr>
          <w:lang w:val="uk-UA"/>
        </w:rPr>
        <w:t xml:space="preserve"> швидко всмоктується з травного каналу в кров і проникає практично в усі внутрішні органи і тканини організму, крім головного мозку, створюючи в них концентрації вищі, ніж у плазмі крові. Найбільша концентрація його створюється в легенях, печінці, молочних залозах та нирках. Максимальні концентрації в крові досягаються через 1-4 години після перорального застосування препарату. Терапевтична концентрація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після одноразового застосування в рекомендованих дозах зберігається в організмі тварин і птиці впродовж 15-18 год. Крім цього, завдяки особливостям механізму дії, </w:t>
      </w:r>
      <w:proofErr w:type="spellStart"/>
      <w:r w:rsidRPr="007626AD">
        <w:rPr>
          <w:lang w:val="uk-UA"/>
        </w:rPr>
        <w:t>тилозин</w:t>
      </w:r>
      <w:proofErr w:type="spellEnd"/>
      <w:r w:rsidRPr="007626AD">
        <w:rPr>
          <w:lang w:val="uk-UA"/>
        </w:rPr>
        <w:t xml:space="preserve"> вибірково накопичується в тканинах з </w:t>
      </w:r>
      <w:proofErr w:type="spellStart"/>
      <w:r w:rsidRPr="007626AD">
        <w:rPr>
          <w:lang w:val="uk-UA"/>
        </w:rPr>
        <w:t>низькоюкислотністю</w:t>
      </w:r>
      <w:proofErr w:type="spellEnd"/>
      <w:r w:rsidRPr="007626AD">
        <w:rPr>
          <w:lang w:val="uk-UA"/>
        </w:rPr>
        <w:t xml:space="preserve">, тобто в осередках запалення, забезпечуючи виражений і цілеспрямований ефект. </w:t>
      </w:r>
      <w:proofErr w:type="spellStart"/>
      <w:r w:rsidRPr="007626AD">
        <w:rPr>
          <w:lang w:val="uk-UA"/>
        </w:rPr>
        <w:t>Біодоступність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не змінюється під впливом корму.</w:t>
      </w:r>
    </w:p>
    <w:p w14:paraId="35F3B782" w14:textId="77777777" w:rsidR="001706CB" w:rsidRPr="007626AD" w:rsidRDefault="001706CB" w:rsidP="001706CB">
      <w:pPr>
        <w:ind w:firstLine="993"/>
        <w:jc w:val="both"/>
        <w:rPr>
          <w:lang w:val="uk-UA"/>
        </w:rPr>
      </w:pPr>
      <w:r w:rsidRPr="007626AD">
        <w:rPr>
          <w:lang w:val="uk-UA"/>
        </w:rPr>
        <w:t xml:space="preserve">Виділяється </w:t>
      </w:r>
      <w:proofErr w:type="spellStart"/>
      <w:r w:rsidRPr="007626AD">
        <w:rPr>
          <w:lang w:val="uk-UA"/>
        </w:rPr>
        <w:t>тилозин</w:t>
      </w:r>
      <w:proofErr w:type="spellEnd"/>
      <w:r w:rsidRPr="007626AD">
        <w:rPr>
          <w:lang w:val="uk-UA"/>
        </w:rPr>
        <w:t xml:space="preserve"> з організму переважно з фекаліями, меншою мірою - з сечею.</w:t>
      </w:r>
    </w:p>
    <w:p w14:paraId="61D3BA1C" w14:textId="77777777" w:rsidR="001706CB" w:rsidRPr="007626AD" w:rsidRDefault="001706CB" w:rsidP="001706CB">
      <w:pPr>
        <w:ind w:firstLine="993"/>
        <w:jc w:val="both"/>
        <w:rPr>
          <w:lang w:val="uk-UA"/>
        </w:rPr>
      </w:pPr>
    </w:p>
    <w:p w14:paraId="1297B3BE" w14:textId="77777777" w:rsidR="001706CB" w:rsidRPr="007626AD" w:rsidRDefault="001706CB" w:rsidP="001706CB">
      <w:pPr>
        <w:numPr>
          <w:ilvl w:val="0"/>
          <w:numId w:val="7"/>
        </w:numPr>
        <w:spacing w:line="276" w:lineRule="auto"/>
        <w:contextualSpacing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Клінічні особливості</w:t>
      </w:r>
      <w:bookmarkEnd w:id="3"/>
    </w:p>
    <w:p w14:paraId="60D74541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contextualSpacing/>
        <w:jc w:val="both"/>
        <w:rPr>
          <w:b/>
          <w:bCs/>
          <w:lang w:val="uk-UA"/>
        </w:rPr>
      </w:pPr>
      <w:bookmarkStart w:id="4" w:name="bookmark5"/>
      <w:r w:rsidRPr="007626AD">
        <w:rPr>
          <w:b/>
          <w:bCs/>
          <w:lang w:val="uk-UA"/>
        </w:rPr>
        <w:t>Вид тварин</w:t>
      </w:r>
      <w:bookmarkEnd w:id="4"/>
    </w:p>
    <w:p w14:paraId="3D88C886" w14:textId="77777777" w:rsidR="001706CB" w:rsidRPr="007626AD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Велика рогата худоба (телята віком до 8-и тижнів), вівці (ягнята віком до 8-и тижнів), кози (козенята віком до 8-и тижнів), свині, кури (курчата-бройлери, індики, ремонтний молодняк курей).</w:t>
      </w:r>
    </w:p>
    <w:p w14:paraId="43818476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contextualSpacing/>
        <w:jc w:val="both"/>
        <w:rPr>
          <w:b/>
          <w:bCs/>
          <w:lang w:val="uk-UA"/>
        </w:rPr>
      </w:pPr>
      <w:bookmarkStart w:id="5" w:name="bookmark6"/>
      <w:r w:rsidRPr="007626AD">
        <w:rPr>
          <w:b/>
          <w:bCs/>
          <w:lang w:val="uk-UA"/>
        </w:rPr>
        <w:t>Показання до застосування</w:t>
      </w:r>
      <w:bookmarkEnd w:id="5"/>
    </w:p>
    <w:p w14:paraId="5AC37D28" w14:textId="77777777" w:rsidR="001706CB" w:rsidRPr="007626AD" w:rsidRDefault="001706CB" w:rsidP="001706CB">
      <w:pPr>
        <w:ind w:firstLine="567"/>
        <w:jc w:val="both"/>
        <w:rPr>
          <w:lang w:val="uk-UA"/>
        </w:rPr>
      </w:pPr>
      <w:r w:rsidRPr="007626AD">
        <w:rPr>
          <w:lang w:val="uk-UA"/>
        </w:rPr>
        <w:t>Телята віком до 8-и тижнів: лікування тварин, хворих на септицемію, а також за захворювань органів дихання (бронхопневмонія), травного каналу (</w:t>
      </w:r>
      <w:proofErr w:type="spellStart"/>
      <w:r w:rsidRPr="007626AD">
        <w:rPr>
          <w:lang w:val="uk-UA"/>
        </w:rPr>
        <w:t>колібацильоз</w:t>
      </w:r>
      <w:proofErr w:type="spellEnd"/>
      <w:r w:rsidRPr="007626AD">
        <w:rPr>
          <w:lang w:val="uk-UA"/>
        </w:rPr>
        <w:t xml:space="preserve">, сальмонельоз), що спричинені мікроорганізмами, чутливими до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>.</w:t>
      </w:r>
    </w:p>
    <w:p w14:paraId="18A53CA7" w14:textId="77777777" w:rsidR="001706CB" w:rsidRPr="007626AD" w:rsidRDefault="001706CB" w:rsidP="001706CB">
      <w:pPr>
        <w:ind w:firstLine="567"/>
        <w:jc w:val="both"/>
        <w:rPr>
          <w:lang w:val="uk-UA"/>
        </w:rPr>
      </w:pPr>
      <w:r w:rsidRPr="007626AD">
        <w:rPr>
          <w:lang w:val="uk-UA"/>
        </w:rPr>
        <w:t>Козенята та ягнята віком до 8-и тижнів: лікування тварин, хворих на септицемію, а також за захворювань органів дихання (бронхопневмонія), травного каналу (</w:t>
      </w:r>
      <w:proofErr w:type="spellStart"/>
      <w:r w:rsidRPr="007626AD">
        <w:rPr>
          <w:lang w:val="uk-UA"/>
        </w:rPr>
        <w:t>колібацильоз</w:t>
      </w:r>
      <w:proofErr w:type="spellEnd"/>
      <w:r w:rsidRPr="007626AD">
        <w:rPr>
          <w:lang w:val="uk-UA"/>
        </w:rPr>
        <w:t xml:space="preserve">, сальмонельоз), що спричинені мікроорганізмами, чутливими до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>.</w:t>
      </w:r>
    </w:p>
    <w:p w14:paraId="16149355" w14:textId="77777777" w:rsidR="001706CB" w:rsidRPr="007626AD" w:rsidRDefault="001706CB" w:rsidP="001706CB">
      <w:pPr>
        <w:ind w:firstLine="567"/>
        <w:jc w:val="both"/>
        <w:rPr>
          <w:lang w:val="uk-UA"/>
        </w:rPr>
      </w:pPr>
      <w:r w:rsidRPr="007626AD">
        <w:rPr>
          <w:lang w:val="uk-UA"/>
        </w:rPr>
        <w:t>Свині: лікування тварин, хворих на септицемію, а також за захворювань органів дихання (бронхопневмонія, ензоотична пневмонія, атрофічний риніт та інші), травного каналу (</w:t>
      </w:r>
      <w:proofErr w:type="spellStart"/>
      <w:r w:rsidRPr="007626AD">
        <w:rPr>
          <w:lang w:val="uk-UA"/>
        </w:rPr>
        <w:t>колібацильоз</w:t>
      </w:r>
      <w:proofErr w:type="spellEnd"/>
      <w:r w:rsidRPr="007626AD">
        <w:rPr>
          <w:lang w:val="uk-UA"/>
        </w:rPr>
        <w:t xml:space="preserve">, сальмонельоз), що спричинені мікроорганізмами, чутливими до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>.</w:t>
      </w:r>
    </w:p>
    <w:p w14:paraId="2E64F45A" w14:textId="77777777" w:rsidR="001706CB" w:rsidRPr="007626AD" w:rsidRDefault="001706CB" w:rsidP="001706CB">
      <w:pPr>
        <w:ind w:firstLine="567"/>
        <w:jc w:val="both"/>
        <w:rPr>
          <w:lang w:val="uk-UA"/>
        </w:rPr>
      </w:pPr>
      <w:r w:rsidRPr="007626AD">
        <w:rPr>
          <w:lang w:val="uk-UA"/>
        </w:rPr>
        <w:t xml:space="preserve">Свійська птиця (курчата-бройлери, індики, ремонтний молодняк курей) - лікування птиці, хворої на </w:t>
      </w:r>
      <w:proofErr w:type="spellStart"/>
      <w:r w:rsidRPr="007626AD">
        <w:rPr>
          <w:lang w:val="uk-UA"/>
        </w:rPr>
        <w:t>колібацильоз</w:t>
      </w:r>
      <w:proofErr w:type="spellEnd"/>
      <w:r w:rsidRPr="007626AD">
        <w:rPr>
          <w:lang w:val="uk-UA"/>
        </w:rPr>
        <w:t xml:space="preserve">, сальмонельоз, </w:t>
      </w:r>
      <w:proofErr w:type="spellStart"/>
      <w:r w:rsidRPr="007626AD">
        <w:rPr>
          <w:lang w:val="uk-UA"/>
        </w:rPr>
        <w:t>хламідіоз</w:t>
      </w:r>
      <w:proofErr w:type="spellEnd"/>
      <w:r w:rsidRPr="007626AD">
        <w:rPr>
          <w:lang w:val="uk-UA"/>
        </w:rPr>
        <w:t xml:space="preserve">, септицемію, а також за захворювань органів дихання, що спричинені мікроорганізмами, чутливими до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>.</w:t>
      </w:r>
    </w:p>
    <w:p w14:paraId="71FEFDAE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bookmarkStart w:id="6" w:name="bookmark7"/>
      <w:r w:rsidRPr="007626AD">
        <w:rPr>
          <w:b/>
          <w:bCs/>
          <w:lang w:val="uk-UA"/>
        </w:rPr>
        <w:t>Протипоказання</w:t>
      </w:r>
      <w:bookmarkEnd w:id="6"/>
    </w:p>
    <w:p w14:paraId="5E56E602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 xml:space="preserve">Не застосовувати тваринам з підвищеною індивідуальною чутливістю до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та препаратів групи </w:t>
      </w:r>
      <w:proofErr w:type="spellStart"/>
      <w:r w:rsidRPr="007626AD">
        <w:rPr>
          <w:lang w:val="uk-UA"/>
        </w:rPr>
        <w:t>тетрациклінів</w:t>
      </w:r>
      <w:proofErr w:type="spellEnd"/>
      <w:r w:rsidRPr="007626AD">
        <w:rPr>
          <w:lang w:val="uk-UA"/>
        </w:rPr>
        <w:t xml:space="preserve">, а також до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та препаратів групи </w:t>
      </w:r>
      <w:proofErr w:type="spellStart"/>
      <w:r w:rsidRPr="007626AD">
        <w:rPr>
          <w:lang w:val="uk-UA"/>
        </w:rPr>
        <w:t>макролідів</w:t>
      </w:r>
      <w:proofErr w:type="spellEnd"/>
      <w:r w:rsidRPr="007626AD">
        <w:rPr>
          <w:lang w:val="uk-UA"/>
        </w:rPr>
        <w:t>.</w:t>
      </w:r>
    </w:p>
    <w:p w14:paraId="46C2C6D9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>Не призначати тваринам з порушенням функції печінки та нирок.</w:t>
      </w:r>
    </w:p>
    <w:p w14:paraId="395350CB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>Не застосовувати жуйним тваринам із функціонально розвинутими передшлунками.</w:t>
      </w:r>
    </w:p>
    <w:p w14:paraId="4C4F4D0B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>Не застосувати тваринам у періоду вагітності та лактації.</w:t>
      </w:r>
    </w:p>
    <w:p w14:paraId="194B7BE9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>Не застосовувати курям-несучкам, яйця яких призначені для використання в їжу людям.</w:t>
      </w:r>
    </w:p>
    <w:p w14:paraId="7FDD561C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 xml:space="preserve">Не застосовувати одночасно з антибіотиками, що мають бактерицидну дію, такими як пеніциліни, </w:t>
      </w:r>
      <w:proofErr w:type="spellStart"/>
      <w:r w:rsidRPr="007626AD">
        <w:rPr>
          <w:lang w:val="uk-UA"/>
        </w:rPr>
        <w:t>цефалоспорини</w:t>
      </w:r>
      <w:proofErr w:type="spellEnd"/>
      <w:r w:rsidRPr="007626AD">
        <w:rPr>
          <w:lang w:val="uk-UA"/>
        </w:rPr>
        <w:t xml:space="preserve">, </w:t>
      </w:r>
      <w:proofErr w:type="spellStart"/>
      <w:r w:rsidRPr="007626AD">
        <w:rPr>
          <w:lang w:val="uk-UA"/>
        </w:rPr>
        <w:t>хінолони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циклосерин</w:t>
      </w:r>
      <w:proofErr w:type="spellEnd"/>
      <w:r w:rsidRPr="007626AD">
        <w:rPr>
          <w:lang w:val="uk-UA"/>
        </w:rPr>
        <w:t>.</w:t>
      </w:r>
      <w:r w:rsidRPr="007626AD">
        <w:t xml:space="preserve"> </w:t>
      </w:r>
      <w:r w:rsidRPr="007626AD">
        <w:rPr>
          <w:lang w:val="uk-UA"/>
        </w:rPr>
        <w:t xml:space="preserve">Не застосовувати одночасно з </w:t>
      </w:r>
      <w:proofErr w:type="spellStart"/>
      <w:r w:rsidRPr="007626AD">
        <w:rPr>
          <w:lang w:val="uk-UA"/>
        </w:rPr>
        <w:t>антацидами</w:t>
      </w:r>
      <w:proofErr w:type="spellEnd"/>
      <w:r w:rsidRPr="007626AD">
        <w:rPr>
          <w:lang w:val="uk-UA"/>
        </w:rPr>
        <w:t>, каоліном та препаратами, що містять у своєму складі катіони Mg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Al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>, Ca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Zn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Fe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 xml:space="preserve">, оскільки останні зв'язуються з </w:t>
      </w:r>
      <w:proofErr w:type="spellStart"/>
      <w:r w:rsidRPr="007626AD">
        <w:rPr>
          <w:lang w:val="uk-UA"/>
        </w:rPr>
        <w:t>доксицикліном</w:t>
      </w:r>
      <w:proofErr w:type="spellEnd"/>
      <w:r w:rsidRPr="007626AD">
        <w:rPr>
          <w:lang w:val="uk-UA"/>
        </w:rPr>
        <w:t xml:space="preserve"> та перешкоджають його абсорбції.</w:t>
      </w:r>
    </w:p>
    <w:p w14:paraId="693D606A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bookmarkStart w:id="7" w:name="bookmark8"/>
      <w:r w:rsidRPr="007626AD">
        <w:rPr>
          <w:b/>
          <w:bCs/>
          <w:lang w:val="uk-UA"/>
        </w:rPr>
        <w:t>Побічна дія</w:t>
      </w:r>
      <w:bookmarkEnd w:id="7"/>
    </w:p>
    <w:p w14:paraId="72A8A03E" w14:textId="77777777" w:rsidR="001706CB" w:rsidRPr="007626AD" w:rsidRDefault="001706CB" w:rsidP="001706CB">
      <w:pPr>
        <w:autoSpaceDE w:val="0"/>
        <w:autoSpaceDN w:val="0"/>
        <w:adjustRightInd w:val="0"/>
        <w:spacing w:line="276" w:lineRule="auto"/>
        <w:ind w:firstLine="709"/>
        <w:contextualSpacing/>
        <w:jc w:val="both"/>
        <w:rPr>
          <w:lang w:val="uk-UA"/>
        </w:rPr>
      </w:pPr>
      <w:r w:rsidRPr="007626AD">
        <w:rPr>
          <w:lang w:val="uk-UA"/>
        </w:rPr>
        <w:t xml:space="preserve">В окремих випадках (у тварин </w:t>
      </w:r>
      <w:proofErr w:type="spellStart"/>
      <w:r w:rsidRPr="007626AD">
        <w:rPr>
          <w:lang w:val="uk-UA"/>
        </w:rPr>
        <w:t>гіперчутливих</w:t>
      </w:r>
      <w:proofErr w:type="spellEnd"/>
      <w:r w:rsidRPr="007626AD">
        <w:rPr>
          <w:lang w:val="uk-UA"/>
        </w:rPr>
        <w:t xml:space="preserve"> до препаратів групи </w:t>
      </w:r>
      <w:proofErr w:type="spellStart"/>
      <w:r w:rsidRPr="007626AD">
        <w:rPr>
          <w:lang w:val="uk-UA"/>
        </w:rPr>
        <w:t>тетрациклінів</w:t>
      </w:r>
      <w:proofErr w:type="spellEnd"/>
      <w:r w:rsidRPr="007626AD">
        <w:rPr>
          <w:lang w:val="uk-UA"/>
        </w:rPr>
        <w:t>) можливі алергічні явища (висипання на шкірі, свербіж, набряки). У разі їх виникнення застосування препарату слід припинити та призначити десенсибілізуючу терапію.</w:t>
      </w:r>
    </w:p>
    <w:p w14:paraId="4A184D47" w14:textId="77777777" w:rsidR="001706CB" w:rsidRPr="007626AD" w:rsidRDefault="001706CB" w:rsidP="001706CB">
      <w:pPr>
        <w:autoSpaceDE w:val="0"/>
        <w:autoSpaceDN w:val="0"/>
        <w:adjustRightInd w:val="0"/>
        <w:spacing w:line="276" w:lineRule="auto"/>
        <w:ind w:firstLine="709"/>
        <w:contextualSpacing/>
        <w:jc w:val="both"/>
      </w:pPr>
      <w:r w:rsidRPr="007626AD">
        <w:rPr>
          <w:lang w:val="uk-UA"/>
        </w:rPr>
        <w:t xml:space="preserve">Препарат може викликати фото сенсибілізацію та </w:t>
      </w:r>
      <w:proofErr w:type="spellStart"/>
      <w:r w:rsidRPr="007626AD">
        <w:rPr>
          <w:lang w:val="uk-UA"/>
        </w:rPr>
        <w:t>гепатотоксичний</w:t>
      </w:r>
      <w:proofErr w:type="spellEnd"/>
      <w:r w:rsidRPr="007626AD">
        <w:rPr>
          <w:lang w:val="uk-UA"/>
        </w:rPr>
        <w:t xml:space="preserve"> ефект.</w:t>
      </w:r>
    </w:p>
    <w:p w14:paraId="21598638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bookmarkStart w:id="8" w:name="bookmark9"/>
      <w:r w:rsidRPr="007626AD">
        <w:rPr>
          <w:b/>
          <w:bCs/>
          <w:lang w:val="uk-UA"/>
        </w:rPr>
        <w:t>Особливі застереження при використанні</w:t>
      </w:r>
      <w:bookmarkEnd w:id="8"/>
    </w:p>
    <w:p w14:paraId="027EDBA1" w14:textId="77777777" w:rsidR="001706CB" w:rsidRPr="007626AD" w:rsidRDefault="001706CB" w:rsidP="001706CB">
      <w:pPr>
        <w:spacing w:line="276" w:lineRule="auto"/>
        <w:ind w:firstLine="709"/>
        <w:jc w:val="both"/>
        <w:rPr>
          <w:bCs/>
          <w:lang w:val="uk-UA"/>
        </w:rPr>
      </w:pPr>
      <w:r w:rsidRPr="007626AD">
        <w:rPr>
          <w:bCs/>
          <w:lang w:val="uk-UA"/>
        </w:rPr>
        <w:t xml:space="preserve">Перед застосування препарату необхідно провести тест на чутливість мікроорганізмів до </w:t>
      </w:r>
      <w:proofErr w:type="spellStart"/>
      <w:r w:rsidRPr="007626AD">
        <w:rPr>
          <w:bCs/>
          <w:lang w:val="uk-UA"/>
        </w:rPr>
        <w:t>доксицикліну</w:t>
      </w:r>
      <w:proofErr w:type="spellEnd"/>
      <w:r w:rsidRPr="007626AD">
        <w:rPr>
          <w:bCs/>
          <w:lang w:val="uk-UA"/>
        </w:rPr>
        <w:t xml:space="preserve"> та </w:t>
      </w:r>
      <w:proofErr w:type="spellStart"/>
      <w:r w:rsidRPr="007626AD">
        <w:rPr>
          <w:bCs/>
          <w:lang w:val="uk-UA"/>
        </w:rPr>
        <w:t>тилозину</w:t>
      </w:r>
      <w:proofErr w:type="spellEnd"/>
      <w:r w:rsidRPr="007626AD">
        <w:rPr>
          <w:bCs/>
          <w:lang w:val="uk-UA"/>
        </w:rPr>
        <w:t>.</w:t>
      </w:r>
      <w:r w:rsidRPr="007626AD">
        <w:rPr>
          <w:bCs/>
        </w:rPr>
        <w:t xml:space="preserve"> </w:t>
      </w:r>
      <w:proofErr w:type="spellStart"/>
      <w:r w:rsidRPr="007626AD">
        <w:rPr>
          <w:bCs/>
        </w:rPr>
        <w:t>Якщо</w:t>
      </w:r>
      <w:proofErr w:type="spellEnd"/>
      <w:r w:rsidRPr="007626AD">
        <w:rPr>
          <w:bCs/>
        </w:rPr>
        <w:t xml:space="preserve"> це </w:t>
      </w:r>
      <w:proofErr w:type="spellStart"/>
      <w:r w:rsidRPr="007626AD">
        <w:rPr>
          <w:bCs/>
        </w:rPr>
        <w:t>неможливо</w:t>
      </w:r>
      <w:proofErr w:type="spellEnd"/>
      <w:r w:rsidRPr="007626AD">
        <w:rPr>
          <w:bCs/>
        </w:rPr>
        <w:t>,</w:t>
      </w:r>
      <w:r w:rsidRPr="007626AD">
        <w:rPr>
          <w:bCs/>
          <w:lang w:val="uk-UA"/>
        </w:rPr>
        <w:t xml:space="preserve"> терапія повинна базуватися на місцевій епізоотичній інформації (на регіональному рівні та рівні ферми) щодо чутливості цільових бактерій, а також з </w:t>
      </w:r>
      <w:proofErr w:type="gramStart"/>
      <w:r w:rsidRPr="007626AD">
        <w:rPr>
          <w:bCs/>
          <w:lang w:val="uk-UA"/>
        </w:rPr>
        <w:t>урахуванням  офіційної</w:t>
      </w:r>
      <w:proofErr w:type="gramEnd"/>
      <w:r w:rsidRPr="007626AD">
        <w:rPr>
          <w:bCs/>
          <w:lang w:val="uk-UA"/>
        </w:rPr>
        <w:t xml:space="preserve"> національної політики щодо антимікробних препаратів.</w:t>
      </w:r>
    </w:p>
    <w:p w14:paraId="57BC5553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>Рекомендується спочатку препарат випробувати на невеликій групі тварин (7-8 голів). За відсутності побічних явищ протягом 2-3-х діб препарат застосовують всьому поголів’ю.</w:t>
      </w:r>
    </w:p>
    <w:p w14:paraId="6F2246F0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Використання під час вагітності, лактації, несучості</w:t>
      </w:r>
    </w:p>
    <w:p w14:paraId="11086AB7" w14:textId="77777777" w:rsidR="001706CB" w:rsidRPr="007626AD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bookmarkStart w:id="9" w:name="bookmark11"/>
      <w:r w:rsidRPr="007626AD">
        <w:rPr>
          <w:kern w:val="2"/>
          <w:lang w:val="uk-UA"/>
          <w14:ligatures w14:val="standardContextual"/>
        </w:rPr>
        <w:t>Не застосовувати курям-несучкам, яйця яких використовують для споживання людям.</w:t>
      </w:r>
    </w:p>
    <w:p w14:paraId="0AF295F9" w14:textId="77777777" w:rsidR="001706CB" w:rsidRPr="007626AD" w:rsidRDefault="001706CB" w:rsidP="001706CB">
      <w:pPr>
        <w:spacing w:line="276" w:lineRule="auto"/>
        <w:ind w:firstLine="567"/>
        <w:contextualSpacing/>
        <w:jc w:val="both"/>
        <w:rPr>
          <w:lang w:val="uk-UA"/>
        </w:rPr>
      </w:pPr>
      <w:r w:rsidRPr="007626AD">
        <w:rPr>
          <w:lang w:val="uk-UA"/>
        </w:rPr>
        <w:t>Не застосувати тваринам у період вагітності та лактації.</w:t>
      </w:r>
    </w:p>
    <w:p w14:paraId="17701A5F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Взаємодія з іншими засобами та інші форми взаємодії</w:t>
      </w:r>
      <w:bookmarkEnd w:id="9"/>
    </w:p>
    <w:p w14:paraId="42B068BB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 xml:space="preserve">Не застосовувати одночасно з антибіотиками, що мають бактерицидну дію, такими як пеніциліни, </w:t>
      </w:r>
      <w:proofErr w:type="spellStart"/>
      <w:r w:rsidRPr="007626AD">
        <w:rPr>
          <w:lang w:val="uk-UA"/>
        </w:rPr>
        <w:t>цефалоспорини</w:t>
      </w:r>
      <w:proofErr w:type="spellEnd"/>
      <w:r w:rsidRPr="007626AD">
        <w:rPr>
          <w:lang w:val="uk-UA"/>
        </w:rPr>
        <w:t xml:space="preserve">, </w:t>
      </w:r>
      <w:proofErr w:type="spellStart"/>
      <w:r w:rsidRPr="007626AD">
        <w:rPr>
          <w:lang w:val="uk-UA"/>
        </w:rPr>
        <w:t>хінолони</w:t>
      </w:r>
      <w:proofErr w:type="spellEnd"/>
      <w:r w:rsidRPr="007626AD">
        <w:rPr>
          <w:lang w:val="uk-UA"/>
        </w:rPr>
        <w:t xml:space="preserve"> та </w:t>
      </w:r>
      <w:proofErr w:type="spellStart"/>
      <w:r w:rsidRPr="007626AD">
        <w:rPr>
          <w:lang w:val="uk-UA"/>
        </w:rPr>
        <w:t>циклосерин</w:t>
      </w:r>
      <w:proofErr w:type="spellEnd"/>
      <w:r w:rsidRPr="007626AD">
        <w:rPr>
          <w:lang w:val="uk-UA"/>
        </w:rPr>
        <w:t xml:space="preserve">. Не застосовувати одночасно з </w:t>
      </w:r>
      <w:proofErr w:type="spellStart"/>
      <w:r w:rsidRPr="007626AD">
        <w:rPr>
          <w:lang w:val="uk-UA"/>
        </w:rPr>
        <w:t>антацидами</w:t>
      </w:r>
      <w:proofErr w:type="spellEnd"/>
      <w:r w:rsidRPr="007626AD">
        <w:rPr>
          <w:lang w:val="uk-UA"/>
        </w:rPr>
        <w:t xml:space="preserve">, </w:t>
      </w:r>
      <w:r w:rsidRPr="007626AD">
        <w:rPr>
          <w:lang w:val="uk-UA"/>
        </w:rPr>
        <w:lastRenderedPageBreak/>
        <w:t>каоліном та препаратами, що містять у своєму складі катіони Mg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Al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>, Ca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Zn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>, Fe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 xml:space="preserve">, оскільки останні зв'язуються з </w:t>
      </w:r>
      <w:proofErr w:type="spellStart"/>
      <w:r w:rsidRPr="007626AD">
        <w:rPr>
          <w:lang w:val="uk-UA"/>
        </w:rPr>
        <w:t>доксицикліном</w:t>
      </w:r>
      <w:proofErr w:type="spellEnd"/>
      <w:r w:rsidRPr="007626AD">
        <w:rPr>
          <w:lang w:val="uk-UA"/>
        </w:rPr>
        <w:t xml:space="preserve"> та перешкоджають його абсорбції.</w:t>
      </w:r>
    </w:p>
    <w:p w14:paraId="04AEACF2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</w:p>
    <w:p w14:paraId="3C2D7FAE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Дози і способи введення тваринам різного віку</w:t>
      </w:r>
    </w:p>
    <w:p w14:paraId="3887FFCB" w14:textId="77777777" w:rsidR="001706CB" w:rsidRPr="007626AD" w:rsidRDefault="001706CB" w:rsidP="001706CB">
      <w:pPr>
        <w:spacing w:line="276" w:lineRule="auto"/>
        <w:ind w:left="567"/>
        <w:jc w:val="both"/>
        <w:rPr>
          <w:b/>
          <w:bCs/>
          <w:lang w:val="uk-UA"/>
        </w:rPr>
      </w:pPr>
      <w:r w:rsidRPr="007626AD">
        <w:rPr>
          <w:lang w:val="uk-UA"/>
        </w:rPr>
        <w:t>Перорально з питною водою впродовж 3-5 діб у дозах:</w:t>
      </w:r>
    </w:p>
    <w:p w14:paraId="546CD075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bCs/>
          <w:lang w:val="uk-UA"/>
        </w:rPr>
      </w:pPr>
      <w:r w:rsidRPr="007626AD">
        <w:rPr>
          <w:lang w:val="uk-UA"/>
        </w:rPr>
        <w:t xml:space="preserve">телята, ягнята, козенята віком до 8-и тижнів – 1 г препарату на 10 кг маси тіла (10 мг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гіклату</w:t>
      </w:r>
      <w:proofErr w:type="spellEnd"/>
      <w:r w:rsidRPr="007626AD">
        <w:rPr>
          <w:lang w:val="uk-UA"/>
        </w:rPr>
        <w:t xml:space="preserve"> та 10 мг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тартрату</w:t>
      </w:r>
      <w:proofErr w:type="spellEnd"/>
      <w:r w:rsidRPr="007626AD">
        <w:rPr>
          <w:lang w:val="uk-UA"/>
        </w:rPr>
        <w:t xml:space="preserve"> на кг </w:t>
      </w:r>
      <w:proofErr w:type="spellStart"/>
      <w:r w:rsidRPr="007626AD">
        <w:rPr>
          <w:lang w:val="uk-UA"/>
        </w:rPr>
        <w:t>м.т</w:t>
      </w:r>
      <w:proofErr w:type="spellEnd"/>
      <w:r w:rsidRPr="007626AD">
        <w:rPr>
          <w:lang w:val="uk-UA"/>
        </w:rPr>
        <w:t>.) один раз на добу;</w:t>
      </w:r>
    </w:p>
    <w:p w14:paraId="6D85FDCE" w14:textId="77777777" w:rsidR="001706CB" w:rsidRPr="007626AD" w:rsidRDefault="001706CB" w:rsidP="001706CB">
      <w:pPr>
        <w:spacing w:line="276" w:lineRule="auto"/>
        <w:ind w:firstLine="567"/>
        <w:jc w:val="both"/>
        <w:rPr>
          <w:lang w:val="uk-UA"/>
        </w:rPr>
      </w:pPr>
      <w:r w:rsidRPr="007626AD">
        <w:rPr>
          <w:lang w:val="uk-UA"/>
        </w:rPr>
        <w:t xml:space="preserve">свині –1 г препарату на 10 кг маси тіла (10 мг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гіклату</w:t>
      </w:r>
      <w:proofErr w:type="spellEnd"/>
      <w:r w:rsidRPr="007626AD">
        <w:rPr>
          <w:lang w:val="uk-UA"/>
        </w:rPr>
        <w:t xml:space="preserve"> та 10мг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тартрату</w:t>
      </w:r>
      <w:proofErr w:type="spellEnd"/>
      <w:r w:rsidRPr="007626AD">
        <w:rPr>
          <w:lang w:val="uk-UA"/>
        </w:rPr>
        <w:t xml:space="preserve"> на кг </w:t>
      </w:r>
      <w:proofErr w:type="spellStart"/>
      <w:r w:rsidRPr="007626AD">
        <w:rPr>
          <w:lang w:val="uk-UA"/>
        </w:rPr>
        <w:t>м.т</w:t>
      </w:r>
      <w:proofErr w:type="spellEnd"/>
      <w:r w:rsidRPr="007626AD">
        <w:rPr>
          <w:lang w:val="uk-UA"/>
        </w:rPr>
        <w:t>.) один раз на добу;</w:t>
      </w:r>
    </w:p>
    <w:p w14:paraId="4866B7DB" w14:textId="77777777" w:rsidR="001706CB" w:rsidRPr="007626AD" w:rsidRDefault="001706CB" w:rsidP="001706CB">
      <w:pPr>
        <w:spacing w:line="276" w:lineRule="auto"/>
        <w:ind w:firstLine="567"/>
        <w:jc w:val="both"/>
        <w:rPr>
          <w:lang w:val="uk-UA"/>
        </w:rPr>
      </w:pPr>
      <w:r w:rsidRPr="007626AD">
        <w:rPr>
          <w:lang w:val="uk-UA"/>
        </w:rPr>
        <w:t xml:space="preserve">свійська птиця (курчата-бройлери, індики, ремонтний молодняк курей) – з питною водою 1 г препарату на 10 кг маси тіла (10 мг </w:t>
      </w:r>
      <w:proofErr w:type="spellStart"/>
      <w:r w:rsidRPr="007626AD">
        <w:rPr>
          <w:lang w:val="uk-UA"/>
        </w:rPr>
        <w:t>доксицикліну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гіклату</w:t>
      </w:r>
      <w:proofErr w:type="spellEnd"/>
      <w:r w:rsidRPr="007626AD">
        <w:rPr>
          <w:lang w:val="uk-UA"/>
        </w:rPr>
        <w:t xml:space="preserve"> та 10 мг </w:t>
      </w:r>
      <w:proofErr w:type="spellStart"/>
      <w:r w:rsidRPr="007626AD">
        <w:rPr>
          <w:lang w:val="uk-UA"/>
        </w:rPr>
        <w:t>тилозину</w:t>
      </w:r>
      <w:proofErr w:type="spellEnd"/>
      <w:r w:rsidRPr="007626AD">
        <w:rPr>
          <w:lang w:val="uk-UA"/>
        </w:rPr>
        <w:t xml:space="preserve"> </w:t>
      </w:r>
      <w:proofErr w:type="spellStart"/>
      <w:r w:rsidRPr="007626AD">
        <w:rPr>
          <w:lang w:val="uk-UA"/>
        </w:rPr>
        <w:t>тартрату</w:t>
      </w:r>
      <w:proofErr w:type="spellEnd"/>
      <w:r w:rsidRPr="007626AD">
        <w:rPr>
          <w:lang w:val="uk-UA"/>
        </w:rPr>
        <w:t xml:space="preserve"> на кг </w:t>
      </w:r>
      <w:proofErr w:type="spellStart"/>
      <w:r w:rsidRPr="007626AD">
        <w:rPr>
          <w:lang w:val="uk-UA"/>
        </w:rPr>
        <w:t>м.т</w:t>
      </w:r>
      <w:proofErr w:type="spellEnd"/>
      <w:r w:rsidRPr="007626AD">
        <w:rPr>
          <w:lang w:val="uk-UA"/>
        </w:rPr>
        <w:t>.), або 1 г препарату на 1 л води.</w:t>
      </w:r>
    </w:p>
    <w:p w14:paraId="27A81551" w14:textId="77777777" w:rsidR="001706CB" w:rsidRPr="007626AD" w:rsidRDefault="001706CB" w:rsidP="001706CB">
      <w:pPr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/>
          <w:shd w:val="clear" w:color="auto" w:fill="FFFFFF"/>
          <w:lang w:val="uk-UA" w:eastAsia="en-US"/>
        </w:rPr>
      </w:pPr>
      <w:r w:rsidRPr="007626AD">
        <w:rPr>
          <w:rFonts w:eastAsia="Calibri"/>
          <w:color w:val="000000"/>
          <w:lang w:val="uk-UA" w:eastAsia="en-US"/>
        </w:rPr>
        <w:t xml:space="preserve">Свіжий розчин препарату необхідно готувати щоденно. </w:t>
      </w:r>
      <w:r w:rsidRPr="007626AD">
        <w:rPr>
          <w:rFonts w:eastAsia="Calibri"/>
          <w:color w:val="000000"/>
          <w:shd w:val="clear" w:color="auto" w:fill="FFFFFF"/>
          <w:lang w:val="uk-UA" w:eastAsia="en-US"/>
        </w:rPr>
        <w:t>У період лікування свині та птиця повинні отримувати тільки воду, що містить препарат.</w:t>
      </w:r>
    </w:p>
    <w:p w14:paraId="76468636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Передозування (симптоми, невідкладні заходи, антидоти)</w:t>
      </w:r>
    </w:p>
    <w:p w14:paraId="0A97B1E4" w14:textId="77777777" w:rsidR="001706CB" w:rsidRPr="007626AD" w:rsidRDefault="001706CB" w:rsidP="001706CB">
      <w:pPr>
        <w:spacing w:line="276" w:lineRule="auto"/>
        <w:ind w:firstLine="709"/>
        <w:jc w:val="both"/>
        <w:rPr>
          <w:b/>
          <w:bCs/>
          <w:lang w:val="uk-UA"/>
        </w:rPr>
      </w:pPr>
      <w:proofErr w:type="spellStart"/>
      <w:r w:rsidRPr="007626AD">
        <w:rPr>
          <w:shd w:val="clear" w:color="auto" w:fill="FFFFFF"/>
          <w:lang w:val="uk-UA"/>
        </w:rPr>
        <w:t>Доксициклін</w:t>
      </w:r>
      <w:proofErr w:type="spellEnd"/>
      <w:r w:rsidRPr="007626AD">
        <w:rPr>
          <w:shd w:val="clear" w:color="auto" w:fill="FFFFFF"/>
          <w:lang w:val="uk-UA"/>
        </w:rPr>
        <w:t xml:space="preserve"> та </w:t>
      </w:r>
      <w:proofErr w:type="spellStart"/>
      <w:r w:rsidRPr="007626AD">
        <w:rPr>
          <w:shd w:val="clear" w:color="auto" w:fill="FFFFFF"/>
          <w:lang w:val="uk-UA"/>
        </w:rPr>
        <w:t>тилозин</w:t>
      </w:r>
      <w:proofErr w:type="spellEnd"/>
      <w:r w:rsidRPr="007626AD">
        <w:rPr>
          <w:shd w:val="clear" w:color="auto" w:fill="FFFFFF"/>
          <w:lang w:val="uk-UA"/>
        </w:rPr>
        <w:t xml:space="preserve"> є малотоксичними речовинами. Передозування у телят може викликати появу симптомів отруєння, що характеризуються порушенням функцій дихальної та серцево-судинної системи. Рекомендовано застосування симптоматичної терапії. </w:t>
      </w:r>
    </w:p>
    <w:p w14:paraId="78903D6F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Спеціальні застереження</w:t>
      </w:r>
    </w:p>
    <w:p w14:paraId="5091C1B6" w14:textId="77777777" w:rsidR="001706CB" w:rsidRPr="007626AD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Не застосовувати жуйним тваринам з функціонально розвиненими передшлунками.</w:t>
      </w:r>
    </w:p>
    <w:p w14:paraId="02C13CA9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Період виведення (</w:t>
      </w:r>
      <w:proofErr w:type="spellStart"/>
      <w:r w:rsidRPr="007626AD">
        <w:rPr>
          <w:b/>
          <w:bCs/>
          <w:lang w:val="uk-UA"/>
        </w:rPr>
        <w:t>каренції</w:t>
      </w:r>
      <w:proofErr w:type="spellEnd"/>
      <w:r w:rsidRPr="007626AD">
        <w:rPr>
          <w:b/>
          <w:bCs/>
          <w:lang w:val="uk-UA"/>
        </w:rPr>
        <w:t>)</w:t>
      </w:r>
    </w:p>
    <w:p w14:paraId="4A40D531" w14:textId="77777777" w:rsidR="001706CB" w:rsidRPr="007626AD" w:rsidRDefault="001706CB" w:rsidP="001706CB">
      <w:pPr>
        <w:spacing w:line="276" w:lineRule="auto"/>
        <w:ind w:firstLine="567"/>
        <w:jc w:val="both"/>
        <w:rPr>
          <w:lang w:val="uk-UA"/>
        </w:rPr>
      </w:pPr>
      <w:r w:rsidRPr="007626AD">
        <w:rPr>
          <w:lang w:val="uk-UA"/>
        </w:rPr>
        <w:t xml:space="preserve">Забій тварин на м`ясо дозволяють через 8 діб (свині та свійська птиця) та через 14 діб (телята, ягнята, козенята) після останнього застосування препарату. Отримане, до зазначеного терміну, м`ясо утилізують або згодовують непродуктивним тваринам, залежно від висновку лікаря ветеринарної медицини. </w:t>
      </w:r>
    </w:p>
    <w:p w14:paraId="343FA2AE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Спеціальні застереження для осіб і обслуговуючого персоналу</w:t>
      </w:r>
    </w:p>
    <w:p w14:paraId="0850AA95" w14:textId="77777777" w:rsidR="001706CB" w:rsidRPr="007626AD" w:rsidRDefault="001706CB" w:rsidP="001706CB">
      <w:pPr>
        <w:spacing w:line="276" w:lineRule="auto"/>
        <w:ind w:firstLine="709"/>
        <w:jc w:val="both"/>
      </w:pPr>
      <w:r w:rsidRPr="007626AD">
        <w:rPr>
          <w:lang w:val="uk-UA"/>
        </w:rPr>
        <w:t>При роботі з препаратом необхідно обов’язково застосовувати засоби індивідуального захисту (респіратор, рукавиці).</w:t>
      </w:r>
    </w:p>
    <w:p w14:paraId="19ACC08A" w14:textId="77777777" w:rsidR="001706CB" w:rsidRPr="007626AD" w:rsidRDefault="001706CB" w:rsidP="001706CB">
      <w:pPr>
        <w:numPr>
          <w:ilvl w:val="0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Фармацевтичні особливості</w:t>
      </w:r>
    </w:p>
    <w:p w14:paraId="136340A2" w14:textId="77777777" w:rsidR="001706CB" w:rsidRPr="007626AD" w:rsidRDefault="001706CB" w:rsidP="001706CB">
      <w:pPr>
        <w:numPr>
          <w:ilvl w:val="1"/>
          <w:numId w:val="7"/>
        </w:numPr>
        <w:spacing w:line="276" w:lineRule="auto"/>
        <w:jc w:val="both"/>
        <w:rPr>
          <w:b/>
          <w:bCs/>
          <w:lang w:val="uk-UA"/>
        </w:rPr>
      </w:pPr>
      <w:r w:rsidRPr="007626AD">
        <w:rPr>
          <w:b/>
          <w:bCs/>
          <w:lang w:val="uk-UA"/>
        </w:rPr>
        <w:t>Форми несумісності (основні)</w:t>
      </w:r>
    </w:p>
    <w:p w14:paraId="61B339CD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 xml:space="preserve">Не застосовувати одночасно з </w:t>
      </w:r>
      <w:proofErr w:type="spellStart"/>
      <w:r w:rsidRPr="007626AD">
        <w:rPr>
          <w:lang w:val="uk-UA"/>
        </w:rPr>
        <w:t>антацидами</w:t>
      </w:r>
      <w:proofErr w:type="spellEnd"/>
      <w:r w:rsidRPr="007626AD">
        <w:rPr>
          <w:lang w:val="uk-UA"/>
        </w:rPr>
        <w:t>, каоліном та препаратами, що містять у своєму складі катіони Mg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 xml:space="preserve">, </w:t>
      </w:r>
      <w:proofErr w:type="spellStart"/>
      <w:r w:rsidRPr="007626AD">
        <w:rPr>
          <w:lang w:val="uk-UA"/>
        </w:rPr>
        <w:t>Al</w:t>
      </w:r>
      <w:proofErr w:type="spellEnd"/>
      <w:r w:rsidRPr="007626AD">
        <w:rPr>
          <w:lang w:val="uk-UA"/>
        </w:rPr>
        <w:t xml:space="preserve"> 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>, Ca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 xml:space="preserve">, </w:t>
      </w:r>
      <w:r w:rsidRPr="007626AD">
        <w:rPr>
          <w:lang w:val="en-US"/>
        </w:rPr>
        <w:t>Zn</w:t>
      </w:r>
      <w:r w:rsidRPr="007626AD">
        <w:rPr>
          <w:vertAlign w:val="superscript"/>
          <w:lang w:val="uk-UA"/>
        </w:rPr>
        <w:t>2+</w:t>
      </w:r>
      <w:r w:rsidRPr="007626AD">
        <w:rPr>
          <w:lang w:val="uk-UA"/>
        </w:rPr>
        <w:t xml:space="preserve">, </w:t>
      </w:r>
      <w:r w:rsidRPr="007626AD">
        <w:rPr>
          <w:lang w:val="en-US"/>
        </w:rPr>
        <w:t>Fe</w:t>
      </w:r>
      <w:r w:rsidRPr="007626AD">
        <w:rPr>
          <w:vertAlign w:val="superscript"/>
          <w:lang w:val="uk-UA"/>
        </w:rPr>
        <w:t>3+</w:t>
      </w:r>
      <w:r w:rsidRPr="007626AD">
        <w:rPr>
          <w:lang w:val="uk-UA"/>
        </w:rPr>
        <w:t xml:space="preserve">, оскільки останні зв’язуються з </w:t>
      </w:r>
      <w:proofErr w:type="spellStart"/>
      <w:r w:rsidRPr="007626AD">
        <w:rPr>
          <w:lang w:val="uk-UA"/>
        </w:rPr>
        <w:t>доксицикліном</w:t>
      </w:r>
      <w:proofErr w:type="spellEnd"/>
      <w:r w:rsidRPr="007626AD">
        <w:rPr>
          <w:lang w:val="uk-UA"/>
        </w:rPr>
        <w:t xml:space="preserve"> та перешкоджають абсорбції. </w:t>
      </w:r>
    </w:p>
    <w:p w14:paraId="33BD5B18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>6.2 Термін придатності</w:t>
      </w:r>
    </w:p>
    <w:p w14:paraId="025C7799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>3 роки за умови зберігання в оригінальному пакуванні.</w:t>
      </w:r>
    </w:p>
    <w:p w14:paraId="3064CDD3" w14:textId="77777777" w:rsidR="001706CB" w:rsidRPr="007626AD" w:rsidRDefault="001706CB" w:rsidP="001706CB">
      <w:pPr>
        <w:spacing w:line="276" w:lineRule="auto"/>
        <w:ind w:firstLine="709"/>
        <w:jc w:val="both"/>
        <w:rPr>
          <w:lang w:val="uk-UA"/>
        </w:rPr>
      </w:pPr>
      <w:r w:rsidRPr="007626AD">
        <w:rPr>
          <w:lang w:val="uk-UA"/>
        </w:rPr>
        <w:t xml:space="preserve">Термін придатності після першого відкриття (відбору): </w:t>
      </w:r>
      <w:r w:rsidRPr="007626AD">
        <w:rPr>
          <w:color w:val="000000"/>
          <w:lang w:val="uk-UA"/>
        </w:rPr>
        <w:t>28 діб, за</w:t>
      </w:r>
      <w:r w:rsidRPr="007626AD">
        <w:rPr>
          <w:lang w:val="uk-UA"/>
        </w:rPr>
        <w:t xml:space="preserve"> умови зберігання щільно закритим у</w:t>
      </w:r>
      <w:r w:rsidRPr="007626AD">
        <w:rPr>
          <w:bCs/>
          <w:bdr w:val="none" w:sz="0" w:space="0" w:color="auto" w:frame="1"/>
          <w:shd w:val="clear" w:color="auto" w:fill="FFFFFF"/>
          <w:lang w:val="uk-UA"/>
        </w:rPr>
        <w:t xml:space="preserve"> темному, сухому, недоступному для дітей та тварин місці за температури 15 </w:t>
      </w:r>
      <w:r w:rsidRPr="007626AD">
        <w:rPr>
          <w:lang w:val="uk-UA"/>
        </w:rPr>
        <w:t>до 25°С.</w:t>
      </w:r>
    </w:p>
    <w:p w14:paraId="2638D5B2" w14:textId="77777777" w:rsidR="001706CB" w:rsidRPr="007626AD" w:rsidRDefault="001706CB" w:rsidP="001706CB">
      <w:pPr>
        <w:spacing w:line="276" w:lineRule="auto"/>
        <w:ind w:firstLine="709"/>
        <w:jc w:val="both"/>
        <w:rPr>
          <w:rFonts w:eastAsia="Arial Unicode MS"/>
          <w:lang w:val="uk-UA"/>
        </w:rPr>
      </w:pPr>
      <w:r w:rsidRPr="007626AD">
        <w:rPr>
          <w:rFonts w:eastAsia="Arial Unicode MS"/>
          <w:lang w:val="uk-UA"/>
        </w:rPr>
        <w:t>Термін придатності після розведення у питній воді – 24 години.</w:t>
      </w:r>
    </w:p>
    <w:p w14:paraId="6D6AE76D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>6.3 Особливі заходи зберігання</w:t>
      </w:r>
    </w:p>
    <w:p w14:paraId="393D31AA" w14:textId="77777777" w:rsidR="001706CB" w:rsidRPr="007626AD" w:rsidRDefault="001706CB" w:rsidP="001706CB">
      <w:pPr>
        <w:spacing w:line="276" w:lineRule="auto"/>
        <w:ind w:firstLine="709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 xml:space="preserve">Темне, недоступне для дітей та тварин місце за температури від 5 до 25°С. </w:t>
      </w:r>
    </w:p>
    <w:p w14:paraId="7BA72457" w14:textId="77777777" w:rsidR="001706CB" w:rsidRPr="007626AD" w:rsidRDefault="001706CB" w:rsidP="001706CB">
      <w:pPr>
        <w:spacing w:line="276" w:lineRule="auto"/>
        <w:ind w:firstLine="709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Не заморожувати.</w:t>
      </w:r>
    </w:p>
    <w:p w14:paraId="562A18C9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>6.4 Природа і склад контейнера первинного упакування</w:t>
      </w:r>
    </w:p>
    <w:p w14:paraId="2805C88A" w14:textId="77777777" w:rsidR="001706CB" w:rsidRPr="007626AD" w:rsidRDefault="001706CB" w:rsidP="001706CB">
      <w:pPr>
        <w:widowControl w:val="0"/>
        <w:shd w:val="clear" w:color="auto" w:fill="FFFFFF"/>
        <w:suppressAutoHyphens/>
        <w:spacing w:line="276" w:lineRule="auto"/>
        <w:ind w:firstLine="709"/>
        <w:jc w:val="both"/>
      </w:pPr>
      <w:r w:rsidRPr="007626AD">
        <w:rPr>
          <w:lang w:val="uk-UA"/>
        </w:rPr>
        <w:t xml:space="preserve">Пакети з полімерних </w:t>
      </w:r>
      <w:proofErr w:type="spellStart"/>
      <w:r w:rsidRPr="007626AD">
        <w:rPr>
          <w:lang w:val="uk-UA"/>
        </w:rPr>
        <w:t>фольгованих</w:t>
      </w:r>
      <w:proofErr w:type="spellEnd"/>
      <w:r w:rsidRPr="007626AD">
        <w:rPr>
          <w:lang w:val="uk-UA"/>
        </w:rPr>
        <w:t xml:space="preserve"> матеріалів по 10, 50, 100, 150, 200, 250 та 500 г; 1, 2 та 5 кг.</w:t>
      </w:r>
    </w:p>
    <w:p w14:paraId="00EB10BB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>6.5 Особливі заходи безпеки при поводженні з невикористаним препаратом або з його залишками</w:t>
      </w:r>
    </w:p>
    <w:p w14:paraId="54ED8B0F" w14:textId="77777777" w:rsidR="001706CB" w:rsidRPr="007626AD" w:rsidRDefault="001706CB" w:rsidP="001706CB">
      <w:pPr>
        <w:spacing w:line="276" w:lineRule="auto"/>
        <w:ind w:firstLine="709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lastRenderedPageBreak/>
        <w:t>Порожню упаковку та залишки невикористаного препарату потрібно утилізувати згідно з чинним законодавством.</w:t>
      </w:r>
    </w:p>
    <w:p w14:paraId="37FC8FF9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 xml:space="preserve">7. Назва та місцезнаходження власника реєстраційного посвідчення </w:t>
      </w:r>
    </w:p>
    <w:p w14:paraId="6F2C1A5F" w14:textId="77777777" w:rsidR="001706CB" w:rsidRPr="007626AD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ТОВ "БІОТЕСТЛАБ"</w:t>
      </w:r>
    </w:p>
    <w:p w14:paraId="09FCA354" w14:textId="0D184A76" w:rsidR="001706CB" w:rsidRPr="007626AD" w:rsidRDefault="001706CB" w:rsidP="001706CB">
      <w:pPr>
        <w:ind w:firstLine="567"/>
        <w:rPr>
          <w:rFonts w:eastAsia="Calibri"/>
          <w:bdr w:val="none" w:sz="0" w:space="0" w:color="auto" w:frame="1"/>
        </w:rPr>
      </w:pPr>
      <w:proofErr w:type="spellStart"/>
      <w:r w:rsidRPr="007626AD">
        <w:rPr>
          <w:rFonts w:eastAsia="Calibri"/>
          <w:bdr w:val="none" w:sz="0" w:space="0" w:color="auto" w:frame="1"/>
        </w:rPr>
        <w:t>Україна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, 08601, </w:t>
      </w:r>
      <w:proofErr w:type="spellStart"/>
      <w:r w:rsidRPr="007626AD">
        <w:rPr>
          <w:rFonts w:eastAsia="Calibri"/>
          <w:bdr w:val="none" w:sz="0" w:space="0" w:color="auto" w:frame="1"/>
        </w:rPr>
        <w:t>Київська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 обл., м. </w:t>
      </w:r>
      <w:proofErr w:type="spellStart"/>
      <w:r w:rsidRPr="007626AD">
        <w:rPr>
          <w:rFonts w:eastAsia="Calibri"/>
          <w:bdr w:val="none" w:sz="0" w:space="0" w:color="auto" w:frame="1"/>
        </w:rPr>
        <w:t>Васильків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, </w:t>
      </w:r>
      <w:proofErr w:type="spellStart"/>
      <w:r w:rsidRPr="007626AD">
        <w:rPr>
          <w:rFonts w:eastAsia="Calibri"/>
          <w:bdr w:val="none" w:sz="0" w:space="0" w:color="auto" w:frame="1"/>
        </w:rPr>
        <w:t>вул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. </w:t>
      </w:r>
      <w:proofErr w:type="spellStart"/>
      <w:r w:rsidRPr="007626AD">
        <w:rPr>
          <w:rFonts w:eastAsia="Calibri"/>
          <w:bdr w:val="none" w:sz="0" w:space="0" w:color="auto" w:frame="1"/>
        </w:rPr>
        <w:t>Володимирська</w:t>
      </w:r>
      <w:proofErr w:type="spellEnd"/>
      <w:r w:rsidRPr="007626AD">
        <w:rPr>
          <w:rFonts w:eastAsia="Calibri"/>
          <w:bdr w:val="none" w:sz="0" w:space="0" w:color="auto" w:frame="1"/>
        </w:rPr>
        <w:t>, 57-А.</w:t>
      </w:r>
    </w:p>
    <w:p w14:paraId="3C1287E3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>8. Назва та місцезнаходження виробника (виробників)</w:t>
      </w:r>
    </w:p>
    <w:p w14:paraId="2DF3D60C" w14:textId="77777777" w:rsidR="001706CB" w:rsidRPr="007626AD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ТОВ "БІОТЕСТЛАБ"</w:t>
      </w:r>
    </w:p>
    <w:p w14:paraId="60170337" w14:textId="5CDEC029" w:rsidR="001706CB" w:rsidRPr="007626AD" w:rsidRDefault="001706CB" w:rsidP="001706CB">
      <w:pPr>
        <w:ind w:firstLine="567"/>
      </w:pPr>
      <w:proofErr w:type="spellStart"/>
      <w:r w:rsidRPr="007626AD">
        <w:rPr>
          <w:rFonts w:eastAsia="Calibri"/>
          <w:bdr w:val="none" w:sz="0" w:space="0" w:color="auto" w:frame="1"/>
        </w:rPr>
        <w:t>Україна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, 08601, </w:t>
      </w:r>
      <w:proofErr w:type="spellStart"/>
      <w:r w:rsidRPr="007626AD">
        <w:rPr>
          <w:rFonts w:eastAsia="Calibri"/>
          <w:bdr w:val="none" w:sz="0" w:space="0" w:color="auto" w:frame="1"/>
        </w:rPr>
        <w:t>Київська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 обл.,</w:t>
      </w:r>
      <w:r w:rsidRPr="007626AD">
        <w:rPr>
          <w:rFonts w:eastAsia="Calibri"/>
          <w:bdr w:val="none" w:sz="0" w:space="0" w:color="auto" w:frame="1"/>
          <w:lang w:val="uk-UA"/>
        </w:rPr>
        <w:t xml:space="preserve"> </w:t>
      </w:r>
      <w:proofErr w:type="spellStart"/>
      <w:r w:rsidRPr="007626AD">
        <w:rPr>
          <w:rFonts w:eastAsia="Calibri"/>
          <w:bdr w:val="none" w:sz="0" w:space="0" w:color="auto" w:frame="1"/>
        </w:rPr>
        <w:t>Обухівський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 район, м. </w:t>
      </w:r>
      <w:proofErr w:type="spellStart"/>
      <w:r w:rsidRPr="007626AD">
        <w:rPr>
          <w:rFonts w:eastAsia="Calibri"/>
          <w:bdr w:val="none" w:sz="0" w:space="0" w:color="auto" w:frame="1"/>
        </w:rPr>
        <w:t>Васильків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, </w:t>
      </w:r>
      <w:proofErr w:type="spellStart"/>
      <w:r w:rsidRPr="007626AD">
        <w:rPr>
          <w:rFonts w:eastAsia="Calibri"/>
          <w:bdr w:val="none" w:sz="0" w:space="0" w:color="auto" w:frame="1"/>
        </w:rPr>
        <w:t>вул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. </w:t>
      </w:r>
      <w:proofErr w:type="spellStart"/>
      <w:r w:rsidRPr="007626AD">
        <w:rPr>
          <w:rFonts w:eastAsia="Calibri"/>
          <w:bdr w:val="none" w:sz="0" w:space="0" w:color="auto" w:frame="1"/>
        </w:rPr>
        <w:t>Лістрового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 </w:t>
      </w:r>
      <w:proofErr w:type="spellStart"/>
      <w:r w:rsidRPr="007626AD">
        <w:rPr>
          <w:rFonts w:eastAsia="Calibri"/>
          <w:bdr w:val="none" w:sz="0" w:space="0" w:color="auto" w:frame="1"/>
        </w:rPr>
        <w:t>Олександра</w:t>
      </w:r>
      <w:proofErr w:type="spellEnd"/>
      <w:r w:rsidRPr="007626AD">
        <w:rPr>
          <w:rFonts w:eastAsia="Calibri"/>
          <w:bdr w:val="none" w:sz="0" w:space="0" w:color="auto" w:frame="1"/>
        </w:rPr>
        <w:t xml:space="preserve"> 1/3.</w:t>
      </w:r>
    </w:p>
    <w:p w14:paraId="6DE33603" w14:textId="77777777" w:rsidR="001706CB" w:rsidRPr="007626AD" w:rsidRDefault="001706CB" w:rsidP="001706CB">
      <w:pPr>
        <w:spacing w:line="276" w:lineRule="auto"/>
        <w:ind w:firstLine="567"/>
        <w:jc w:val="both"/>
        <w:rPr>
          <w:b/>
          <w:kern w:val="2"/>
          <w:lang w:val="uk-UA"/>
          <w14:ligatures w14:val="standardContextual"/>
        </w:rPr>
      </w:pPr>
      <w:r w:rsidRPr="007626AD">
        <w:rPr>
          <w:b/>
          <w:kern w:val="2"/>
          <w:lang w:val="uk-UA"/>
          <w14:ligatures w14:val="standardContextual"/>
        </w:rPr>
        <w:t xml:space="preserve">9. Додаткова інформація </w:t>
      </w:r>
    </w:p>
    <w:p w14:paraId="409BF38C" w14:textId="77777777" w:rsidR="001706CB" w:rsidRPr="001706CB" w:rsidRDefault="001706CB" w:rsidP="001706CB">
      <w:pPr>
        <w:spacing w:line="276" w:lineRule="auto"/>
        <w:ind w:firstLine="567"/>
        <w:jc w:val="both"/>
        <w:rPr>
          <w:kern w:val="2"/>
          <w:lang w:val="uk-UA"/>
          <w14:ligatures w14:val="standardContextual"/>
        </w:rPr>
      </w:pPr>
      <w:r w:rsidRPr="007626AD">
        <w:rPr>
          <w:kern w:val="2"/>
          <w:lang w:val="uk-UA"/>
          <w14:ligatures w14:val="standardContextual"/>
        </w:rPr>
        <w:t>Відсутня.</w:t>
      </w:r>
      <w:bookmarkStart w:id="10" w:name="_GoBack"/>
      <w:bookmarkEnd w:id="10"/>
    </w:p>
    <w:p w14:paraId="39DB0F69" w14:textId="77777777" w:rsidR="001706CB" w:rsidRPr="001706CB" w:rsidRDefault="001706CB" w:rsidP="001706CB"/>
    <w:p w14:paraId="60E8044B" w14:textId="77777777" w:rsidR="00AB7585" w:rsidRPr="00A95855" w:rsidRDefault="00AB7585" w:rsidP="001706CB">
      <w:pPr>
        <w:ind w:firstLine="425"/>
        <w:jc w:val="both"/>
      </w:pPr>
    </w:p>
    <w:sectPr w:rsidR="00AB7585" w:rsidRPr="00A95855" w:rsidSect="0007385D">
      <w:headerReference w:type="default" r:id="rId7"/>
      <w:headerReference w:type="first" r:id="rId8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85EA07" w14:textId="77777777" w:rsidR="00D26E9C" w:rsidRDefault="00D26E9C" w:rsidP="00EB429C">
      <w:r>
        <w:separator/>
      </w:r>
    </w:p>
  </w:endnote>
  <w:endnote w:type="continuationSeparator" w:id="0">
    <w:p w14:paraId="544CD39E" w14:textId="77777777" w:rsidR="00D26E9C" w:rsidRDefault="00D26E9C" w:rsidP="00EB4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557D3B" w14:textId="77777777" w:rsidR="00D26E9C" w:rsidRDefault="00D26E9C" w:rsidP="00EB429C">
      <w:r>
        <w:separator/>
      </w:r>
    </w:p>
  </w:footnote>
  <w:footnote w:type="continuationSeparator" w:id="0">
    <w:p w14:paraId="44D56D13" w14:textId="77777777" w:rsidR="00D26E9C" w:rsidRDefault="00D26E9C" w:rsidP="00EB4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F7561" w14:textId="28F0720A" w:rsidR="00EB429C" w:rsidRPr="0007385D" w:rsidRDefault="0007385D" w:rsidP="00EB429C">
    <w:pPr>
      <w:pStyle w:val="af"/>
      <w:jc w:val="right"/>
      <w:rPr>
        <w:lang w:val="uk-UA"/>
      </w:rPr>
    </w:pPr>
    <w:r w:rsidRPr="0007385D">
      <w:rPr>
        <w:lang w:val="uk-UA"/>
      </w:rPr>
      <w:t xml:space="preserve">Продовження </w:t>
    </w:r>
    <w:r w:rsidR="00EB429C" w:rsidRPr="0007385D">
      <w:rPr>
        <w:lang w:val="uk-UA"/>
      </w:rPr>
      <w:t>Додатк</w:t>
    </w:r>
    <w:r w:rsidRPr="0007385D">
      <w:rPr>
        <w:lang w:val="uk-UA"/>
      </w:rPr>
      <w:t>у1</w:t>
    </w:r>
    <w:r w:rsidR="00EB429C" w:rsidRPr="0007385D">
      <w:rPr>
        <w:lang w:val="uk-UA"/>
      </w:rPr>
      <w:t xml:space="preserve">  </w:t>
    </w:r>
  </w:p>
  <w:p w14:paraId="692BF4F6" w14:textId="359A36C8" w:rsidR="001E6EA3" w:rsidRDefault="00EB429C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="00A95855" w:rsidRPr="00A95855">
      <w:rPr>
        <w:bCs/>
        <w:lang w:val="uk-UA"/>
      </w:rPr>
      <w:t>АВ-06318-01-16</w:t>
    </w:r>
    <w:r w:rsidR="00A95855">
      <w:rPr>
        <w:bCs/>
        <w:lang w:val="uk-UA"/>
      </w:rPr>
      <w:t xml:space="preserve"> </w:t>
    </w:r>
  </w:p>
  <w:p w14:paraId="000A7325" w14:textId="77777777" w:rsidR="001E6EA3" w:rsidRPr="0007385D" w:rsidRDefault="001E6EA3" w:rsidP="001E6EA3">
    <w:pPr>
      <w:pStyle w:val="af"/>
      <w:jc w:val="right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FD182" w14:textId="0D0E3973" w:rsidR="0007385D" w:rsidRPr="0007385D" w:rsidRDefault="0007385D" w:rsidP="0007385D">
    <w:pPr>
      <w:pStyle w:val="af"/>
      <w:jc w:val="right"/>
      <w:rPr>
        <w:lang w:val="uk-UA"/>
      </w:rPr>
    </w:pPr>
    <w:r w:rsidRPr="0007385D">
      <w:rPr>
        <w:lang w:val="uk-UA"/>
      </w:rPr>
      <w:t xml:space="preserve">Додаток 1  </w:t>
    </w:r>
  </w:p>
  <w:p w14:paraId="1AA77C8B" w14:textId="6ED3B0B9" w:rsidR="0007385D" w:rsidRDefault="0007385D" w:rsidP="001E6EA3">
    <w:pPr>
      <w:pStyle w:val="af"/>
      <w:jc w:val="right"/>
      <w:rPr>
        <w:bCs/>
        <w:color w:val="000000"/>
        <w:szCs w:val="28"/>
        <w:lang w:val="uk-UA" w:eastAsia="uk-UA"/>
      </w:rPr>
    </w:pPr>
    <w:r w:rsidRPr="0007385D">
      <w:rPr>
        <w:lang w:val="uk-UA"/>
      </w:rPr>
      <w:t xml:space="preserve">до реєстраційного посвідчення  </w:t>
    </w:r>
    <w:r w:rsidR="00A95855" w:rsidRPr="00A95855">
      <w:rPr>
        <w:bCs/>
        <w:lang w:val="uk-UA"/>
      </w:rPr>
      <w:t>АВ-06318-01-16</w:t>
    </w:r>
  </w:p>
  <w:p w14:paraId="30486F41" w14:textId="77777777" w:rsidR="001E6EA3" w:rsidRPr="0007385D" w:rsidRDefault="001E6EA3" w:rsidP="001E6EA3">
    <w:pPr>
      <w:pStyle w:val="af"/>
      <w:jc w:val="right"/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146115E"/>
    <w:lvl w:ilvl="0">
      <w:start w:val="2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3FE91E1D"/>
    <w:multiLevelType w:val="multilevel"/>
    <w:tmpl w:val="9BB26F16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427B32CC"/>
    <w:multiLevelType w:val="hybridMultilevel"/>
    <w:tmpl w:val="5C3262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611053A"/>
    <w:multiLevelType w:val="hybridMultilevel"/>
    <w:tmpl w:val="76029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72C425E4"/>
    <w:multiLevelType w:val="singleLevel"/>
    <w:tmpl w:val="852C7A26"/>
    <w:lvl w:ilvl="0">
      <w:start w:val="5"/>
      <w:numFmt w:val="decimal"/>
      <w:lvlText w:val="5.%1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585"/>
    <w:rsid w:val="0007385D"/>
    <w:rsid w:val="000E45FC"/>
    <w:rsid w:val="001706CB"/>
    <w:rsid w:val="001E6EA3"/>
    <w:rsid w:val="001F01BB"/>
    <w:rsid w:val="00347D1C"/>
    <w:rsid w:val="0055617B"/>
    <w:rsid w:val="0056450C"/>
    <w:rsid w:val="005D0388"/>
    <w:rsid w:val="007626AD"/>
    <w:rsid w:val="00791CE0"/>
    <w:rsid w:val="00A10651"/>
    <w:rsid w:val="00A95855"/>
    <w:rsid w:val="00AB7585"/>
    <w:rsid w:val="00AC0BE1"/>
    <w:rsid w:val="00D26E9C"/>
    <w:rsid w:val="00EB429C"/>
    <w:rsid w:val="00EE5F45"/>
    <w:rsid w:val="00F3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68EEA"/>
  <w15:chartTrackingRefBased/>
  <w15:docId w15:val="{84045BE6-0C3B-42DF-9DC5-FA087835C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585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B75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75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75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75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75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75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75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75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75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75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75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75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758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758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7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7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7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7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75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AB7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75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AB7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75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AB75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75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758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75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AB758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B7585"/>
    <w:rPr>
      <w:b/>
      <w:bCs/>
      <w:smallCaps/>
      <w:color w:val="0F4761" w:themeColor="accent1" w:themeShade="BF"/>
      <w:spacing w:val="5"/>
    </w:rPr>
  </w:style>
  <w:style w:type="character" w:styleId="ae">
    <w:name w:val="Strong"/>
    <w:uiPriority w:val="22"/>
    <w:qFormat/>
    <w:rsid w:val="00AB7585"/>
    <w:rPr>
      <w:b/>
      <w:bCs/>
    </w:rPr>
  </w:style>
  <w:style w:type="paragraph" w:customStyle="1" w:styleId="21">
    <w:name w:val="заг 2"/>
    <w:basedOn w:val="a"/>
    <w:link w:val="22"/>
    <w:qFormat/>
    <w:rsid w:val="00AB7585"/>
    <w:pPr>
      <w:jc w:val="center"/>
      <w:outlineLvl w:val="1"/>
    </w:pPr>
    <w:rPr>
      <w:b/>
      <w:bCs/>
      <w:sz w:val="28"/>
      <w:lang w:val="uk-UA"/>
    </w:rPr>
  </w:style>
  <w:style w:type="character" w:customStyle="1" w:styleId="22">
    <w:name w:val="заг 2 Знак"/>
    <w:link w:val="21"/>
    <w:rsid w:val="00AB7585"/>
    <w:rPr>
      <w:rFonts w:ascii="Times New Roman" w:eastAsia="Times New Roman" w:hAnsi="Times New Roman" w:cs="Times New Roman"/>
      <w:b/>
      <w:bCs/>
      <w:kern w:val="0"/>
      <w:sz w:val="28"/>
      <w:lang w:val="uk-UA" w:eastAsia="ru-RU"/>
      <w14:ligatures w14:val="none"/>
    </w:rPr>
  </w:style>
  <w:style w:type="paragraph" w:customStyle="1" w:styleId="11">
    <w:name w:val="1 заголовок"/>
    <w:basedOn w:val="a"/>
    <w:link w:val="12"/>
    <w:autoRedefine/>
    <w:qFormat/>
    <w:rsid w:val="00AB7585"/>
    <w:pPr>
      <w:keepNext/>
      <w:spacing w:line="360" w:lineRule="auto"/>
      <w:jc w:val="center"/>
      <w:outlineLvl w:val="0"/>
    </w:pPr>
    <w:rPr>
      <w:rFonts w:eastAsia="Arial Unicode MS"/>
      <w:b/>
      <w:bCs/>
      <w:sz w:val="32"/>
      <w:szCs w:val="32"/>
      <w:lang w:val="uk-UA" w:eastAsia="en-US"/>
    </w:rPr>
  </w:style>
  <w:style w:type="character" w:customStyle="1" w:styleId="12">
    <w:name w:val="1 заголовок Знак"/>
    <w:link w:val="11"/>
    <w:rsid w:val="00AB7585"/>
    <w:rPr>
      <w:rFonts w:ascii="Times New Roman" w:eastAsia="Arial Unicode MS" w:hAnsi="Times New Roman" w:cs="Times New Roman"/>
      <w:b/>
      <w:bCs/>
      <w:kern w:val="0"/>
      <w:sz w:val="32"/>
      <w:szCs w:val="32"/>
      <w:lang w:val="uk-UA"/>
      <w14:ligatures w14:val="none"/>
    </w:rPr>
  </w:style>
  <w:style w:type="paragraph" w:customStyle="1" w:styleId="13">
    <w:name w:val="1 закол"/>
    <w:basedOn w:val="a"/>
    <w:link w:val="14"/>
    <w:qFormat/>
    <w:rsid w:val="00AB7585"/>
    <w:pPr>
      <w:spacing w:line="360" w:lineRule="auto"/>
      <w:ind w:firstLine="709"/>
      <w:jc w:val="both"/>
    </w:pPr>
    <w:rPr>
      <w:rFonts w:eastAsia="Calibri"/>
      <w:b/>
      <w:sz w:val="28"/>
      <w:szCs w:val="22"/>
      <w:lang w:val="uk-UA"/>
    </w:rPr>
  </w:style>
  <w:style w:type="character" w:customStyle="1" w:styleId="14">
    <w:name w:val="1 закол Знак"/>
    <w:link w:val="13"/>
    <w:rsid w:val="00AB7585"/>
    <w:rPr>
      <w:rFonts w:ascii="Times New Roman" w:eastAsia="Calibri" w:hAnsi="Times New Roman" w:cs="Times New Roman"/>
      <w:b/>
      <w:kern w:val="0"/>
      <w:sz w:val="28"/>
      <w:szCs w:val="22"/>
      <w:lang w:val="uk-UA" w:eastAsia="ru-RU"/>
      <w14:ligatures w14:val="none"/>
    </w:rPr>
  </w:style>
  <w:style w:type="paragraph" w:styleId="af">
    <w:name w:val="header"/>
    <w:basedOn w:val="a"/>
    <w:link w:val="af0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0">
    <w:name w:val="Верхній колонтитул Знак"/>
    <w:basedOn w:val="a0"/>
    <w:link w:val="af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af1">
    <w:name w:val="footer"/>
    <w:basedOn w:val="a"/>
    <w:link w:val="af2"/>
    <w:uiPriority w:val="99"/>
    <w:unhideWhenUsed/>
    <w:rsid w:val="00EB429C"/>
    <w:pPr>
      <w:tabs>
        <w:tab w:val="center" w:pos="4677"/>
        <w:tab w:val="right" w:pos="9355"/>
      </w:tabs>
    </w:pPr>
  </w:style>
  <w:style w:type="character" w:customStyle="1" w:styleId="af2">
    <w:name w:val="Нижній колонтитул Знак"/>
    <w:basedOn w:val="a0"/>
    <w:link w:val="af1"/>
    <w:uiPriority w:val="99"/>
    <w:rsid w:val="00EB429C"/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HTML">
    <w:name w:val="HTML Preformatted"/>
    <w:aliases w:val=" Знак,Знак"/>
    <w:basedOn w:val="a"/>
    <w:link w:val="HTML0"/>
    <w:qFormat/>
    <w:rsid w:val="00F360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3"/>
      <w:szCs w:val="13"/>
    </w:rPr>
  </w:style>
  <w:style w:type="character" w:customStyle="1" w:styleId="HTML0">
    <w:name w:val="Стандартний HTML Знак"/>
    <w:aliases w:val=" Знак Знак,Знак Знак"/>
    <w:basedOn w:val="a0"/>
    <w:link w:val="HTML"/>
    <w:rsid w:val="00F360C1"/>
    <w:rPr>
      <w:rFonts w:ascii="Courier New" w:eastAsia="Times New Roman" w:hAnsi="Courier New" w:cs="Courier New"/>
      <w:color w:val="000000"/>
      <w:kern w:val="0"/>
      <w:sz w:val="13"/>
      <w:szCs w:val="13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6566</Words>
  <Characters>3743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vrip-1</dc:creator>
  <cp:keywords/>
  <dc:description/>
  <cp:lastModifiedBy>admin</cp:lastModifiedBy>
  <cp:revision>4</cp:revision>
  <dcterms:created xsi:type="dcterms:W3CDTF">2025-11-20T13:09:00Z</dcterms:created>
  <dcterms:modified xsi:type="dcterms:W3CDTF">2026-02-11T20:15:00Z</dcterms:modified>
</cp:coreProperties>
</file>