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4AE" w:rsidRPr="00F84EC5" w:rsidRDefault="006F74AE" w:rsidP="00033A58">
      <w:pPr>
        <w:pStyle w:val="ae"/>
        <w:ind w:firstLine="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F84EC5">
        <w:rPr>
          <w:rFonts w:ascii="Times New Roman" w:hAnsi="Times New Roman" w:cs="Times New Roman"/>
          <w:sz w:val="24"/>
          <w:szCs w:val="24"/>
          <w:lang w:val="uk-UA"/>
        </w:rPr>
        <w:t>Додаток 1</w:t>
      </w:r>
    </w:p>
    <w:p w:rsidR="006F74AE" w:rsidRPr="00F84EC5" w:rsidRDefault="006F74AE" w:rsidP="00033A58">
      <w:pPr>
        <w:pStyle w:val="ae"/>
        <w:ind w:firstLine="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F84EC5">
        <w:rPr>
          <w:rFonts w:ascii="Times New Roman" w:hAnsi="Times New Roman" w:cs="Times New Roman"/>
          <w:sz w:val="24"/>
          <w:szCs w:val="24"/>
          <w:lang w:val="uk-UA"/>
        </w:rPr>
        <w:t>до реєстраційного посвідчення AB-06155-01-15</w:t>
      </w:r>
    </w:p>
    <w:p w:rsidR="006F74AE" w:rsidRPr="00F84EC5" w:rsidRDefault="006F74AE" w:rsidP="00033A58">
      <w:pPr>
        <w:pStyle w:val="ae"/>
        <w:ind w:firstLine="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</w:p>
    <w:p w:rsidR="006F74AE" w:rsidRPr="00F84EC5" w:rsidRDefault="006F74AE" w:rsidP="00033A58">
      <w:pPr>
        <w:ind w:firstLine="567"/>
        <w:jc w:val="center"/>
        <w:rPr>
          <w:b/>
          <w:szCs w:val="24"/>
        </w:rPr>
      </w:pPr>
      <w:r w:rsidRPr="00F84EC5">
        <w:rPr>
          <w:b/>
          <w:szCs w:val="24"/>
        </w:rPr>
        <w:t>Коротка характеристика препарату</w:t>
      </w:r>
    </w:p>
    <w:p w:rsidR="006F74AE" w:rsidRPr="00F84EC5" w:rsidRDefault="006F74AE" w:rsidP="00033A58">
      <w:pPr>
        <w:ind w:firstLine="567"/>
        <w:rPr>
          <w:b/>
          <w:szCs w:val="24"/>
        </w:rPr>
      </w:pPr>
      <w:r w:rsidRPr="00F84EC5">
        <w:rPr>
          <w:b/>
          <w:szCs w:val="24"/>
        </w:rPr>
        <w:t xml:space="preserve">1. Назва </w:t>
      </w:r>
    </w:p>
    <w:p w:rsidR="006F74AE" w:rsidRPr="00F84EC5" w:rsidRDefault="006F74AE" w:rsidP="00033A58">
      <w:pPr>
        <w:ind w:firstLine="567"/>
        <w:rPr>
          <w:szCs w:val="24"/>
        </w:rPr>
      </w:pPr>
      <w:r w:rsidRPr="00F84EC5">
        <w:rPr>
          <w:szCs w:val="24"/>
        </w:rPr>
        <w:t>Апіхелс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2. Склад</w:t>
      </w:r>
    </w:p>
    <w:p w:rsidR="006F74AE" w:rsidRPr="00F84EC5" w:rsidRDefault="006F74AE" w:rsidP="00033A58">
      <w:pPr>
        <w:tabs>
          <w:tab w:val="left" w:pos="544"/>
        </w:tabs>
        <w:suppressAutoHyphens/>
        <w:ind w:firstLine="567"/>
        <w:jc w:val="both"/>
        <w:rPr>
          <w:bCs/>
          <w:iCs/>
          <w:color w:val="000000"/>
          <w:kern w:val="1"/>
          <w:szCs w:val="24"/>
          <w:lang w:eastAsia="ar-SA"/>
        </w:rPr>
      </w:pPr>
      <w:r w:rsidRPr="00F84EC5">
        <w:rPr>
          <w:bCs/>
          <w:iCs/>
          <w:color w:val="000000"/>
          <w:kern w:val="1"/>
          <w:szCs w:val="24"/>
          <w:lang w:eastAsia="ar-SA"/>
        </w:rPr>
        <w:t>1 г препарату містить діючі речовини (мг):</w:t>
      </w:r>
    </w:p>
    <w:p w:rsidR="006F74AE" w:rsidRPr="00F84EC5" w:rsidRDefault="006F74AE" w:rsidP="00033A58">
      <w:pPr>
        <w:tabs>
          <w:tab w:val="left" w:pos="544"/>
          <w:tab w:val="left" w:pos="3119"/>
        </w:tabs>
        <w:suppressAutoHyphens/>
        <w:ind w:firstLine="567"/>
        <w:jc w:val="both"/>
        <w:rPr>
          <w:bCs/>
          <w:iCs/>
          <w:color w:val="000000"/>
          <w:kern w:val="1"/>
          <w:szCs w:val="24"/>
          <w:lang w:eastAsia="ar-SA"/>
        </w:rPr>
      </w:pPr>
      <w:r w:rsidRPr="00F84EC5">
        <w:rPr>
          <w:bCs/>
          <w:iCs/>
          <w:color w:val="000000"/>
          <w:kern w:val="1"/>
          <w:szCs w:val="24"/>
          <w:lang w:eastAsia="ar-SA"/>
        </w:rPr>
        <w:t xml:space="preserve">тимол </w:t>
      </w:r>
      <w:r w:rsidRPr="00F84EC5">
        <w:rPr>
          <w:bCs/>
          <w:iCs/>
          <w:color w:val="000000"/>
          <w:kern w:val="1"/>
          <w:szCs w:val="24"/>
          <w:lang w:eastAsia="ar-SA"/>
        </w:rPr>
        <w:tab/>
        <w:t>– 250;</w:t>
      </w:r>
    </w:p>
    <w:p w:rsidR="006F74AE" w:rsidRPr="00F84EC5" w:rsidRDefault="006F74AE" w:rsidP="00033A58">
      <w:pPr>
        <w:tabs>
          <w:tab w:val="left" w:pos="544"/>
          <w:tab w:val="left" w:pos="3119"/>
        </w:tabs>
        <w:suppressAutoHyphens/>
        <w:ind w:firstLine="567"/>
        <w:jc w:val="both"/>
        <w:rPr>
          <w:bCs/>
          <w:iCs/>
          <w:color w:val="000000"/>
          <w:kern w:val="1"/>
          <w:szCs w:val="24"/>
          <w:lang w:eastAsia="ar-SA"/>
        </w:rPr>
      </w:pPr>
      <w:r w:rsidRPr="00F84EC5">
        <w:rPr>
          <w:bCs/>
          <w:iCs/>
          <w:color w:val="000000"/>
          <w:kern w:val="1"/>
          <w:szCs w:val="24"/>
          <w:lang w:eastAsia="ar-SA"/>
        </w:rPr>
        <w:t xml:space="preserve">олія ефірна евкаліпту </w:t>
      </w:r>
      <w:r w:rsidRPr="00F84EC5">
        <w:rPr>
          <w:bCs/>
          <w:iCs/>
          <w:color w:val="000000"/>
          <w:kern w:val="1"/>
          <w:szCs w:val="24"/>
          <w:lang w:eastAsia="ar-SA"/>
        </w:rPr>
        <w:tab/>
        <w:t>– 50;</w:t>
      </w:r>
    </w:p>
    <w:p w:rsidR="006F74AE" w:rsidRPr="00F84EC5" w:rsidRDefault="006F74AE" w:rsidP="00033A58">
      <w:pPr>
        <w:tabs>
          <w:tab w:val="left" w:pos="544"/>
          <w:tab w:val="left" w:pos="3119"/>
          <w:tab w:val="left" w:pos="3261"/>
        </w:tabs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bCs/>
          <w:iCs/>
          <w:color w:val="000000"/>
          <w:kern w:val="1"/>
          <w:szCs w:val="24"/>
          <w:lang w:eastAsia="ar-SA"/>
        </w:rPr>
        <w:t xml:space="preserve">ментол </w:t>
      </w:r>
      <w:r w:rsidRPr="00F84EC5">
        <w:rPr>
          <w:bCs/>
          <w:iCs/>
          <w:color w:val="000000"/>
          <w:kern w:val="1"/>
          <w:szCs w:val="24"/>
          <w:lang w:eastAsia="ar-SA"/>
        </w:rPr>
        <w:tab/>
        <w:t>– 12</w:t>
      </w:r>
      <w:r w:rsidRPr="00F84EC5">
        <w:rPr>
          <w:kern w:val="1"/>
          <w:szCs w:val="24"/>
          <w:lang w:eastAsia="ar-SA"/>
        </w:rPr>
        <w:t>.</w:t>
      </w:r>
    </w:p>
    <w:p w:rsidR="006F74AE" w:rsidRPr="00F84EC5" w:rsidRDefault="006F74AE" w:rsidP="00033A58">
      <w:pPr>
        <w:tabs>
          <w:tab w:val="left" w:pos="544"/>
        </w:tabs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>Допоміжні речовини: карбопол, триетвноламін, гліцерин, метилпарабен, вода високоочищена.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3. Фармацевтична форма</w:t>
      </w:r>
    </w:p>
    <w:p w:rsidR="006F74AE" w:rsidRPr="00F84EC5" w:rsidRDefault="006F74AE" w:rsidP="00033A58">
      <w:pPr>
        <w:ind w:firstLine="567"/>
        <w:rPr>
          <w:szCs w:val="24"/>
        </w:rPr>
      </w:pPr>
      <w:r w:rsidRPr="00F84EC5">
        <w:rPr>
          <w:szCs w:val="24"/>
        </w:rPr>
        <w:t>Гель для застосування у вуликах</w:t>
      </w:r>
      <w:r w:rsidRPr="00F84EC5">
        <w:rPr>
          <w:rStyle w:val="hps"/>
          <w:szCs w:val="24"/>
        </w:rPr>
        <w:t>.</w:t>
      </w:r>
      <w:r w:rsidRPr="00F84EC5">
        <w:rPr>
          <w:szCs w:val="24"/>
        </w:rPr>
        <w:t xml:space="preserve"> 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4. Фармакологічні властивості</w:t>
      </w:r>
    </w:p>
    <w:p w:rsidR="006F74AE" w:rsidRPr="00F84EC5" w:rsidRDefault="006F74AE" w:rsidP="00033A58">
      <w:pPr>
        <w:suppressAutoHyphens/>
        <w:ind w:firstLine="567"/>
        <w:jc w:val="both"/>
        <w:rPr>
          <w:b/>
          <w:bCs/>
          <w:i/>
          <w:iCs/>
          <w:color w:val="000000"/>
          <w:kern w:val="1"/>
          <w:szCs w:val="24"/>
          <w:lang w:eastAsia="uk-UA"/>
        </w:rPr>
      </w:pPr>
      <w:r w:rsidRPr="00F84EC5">
        <w:rPr>
          <w:b/>
          <w:bCs/>
          <w:i/>
          <w:iCs/>
          <w:kern w:val="1"/>
          <w:szCs w:val="24"/>
          <w:lang w:eastAsia="ar-SA"/>
        </w:rPr>
        <w:t>ATC vet класифікаційний код QP53AX30 – Комбінації інших паразитоцидів для місцевого застосування</w:t>
      </w:r>
      <w:r w:rsidRPr="00F84EC5">
        <w:rPr>
          <w:b/>
          <w:bCs/>
          <w:i/>
          <w:iCs/>
          <w:color w:val="000000"/>
          <w:kern w:val="1"/>
          <w:szCs w:val="24"/>
          <w:lang w:eastAsia="uk-UA"/>
        </w:rPr>
        <w:t>.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 xml:space="preserve">Всі діючі речовини препарату Апіхелс є компонентами рослинного походження, завдяки чому забезпечують значну безпеку для бджолиних сімей і не погіршують якість меду. 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u w:color="6E6E6E"/>
          <w:lang w:eastAsia="ar-SA"/>
        </w:rPr>
      </w:pPr>
      <w:r w:rsidRPr="00F84EC5">
        <w:rPr>
          <w:kern w:val="1"/>
          <w:szCs w:val="24"/>
          <w:lang w:eastAsia="uk-UA"/>
        </w:rPr>
        <w:t>Тимол отримують із ефірної олії чебрецю (</w:t>
      </w:r>
      <w:r w:rsidRPr="00F84EC5">
        <w:rPr>
          <w:i/>
          <w:kern w:val="1"/>
          <w:szCs w:val="24"/>
          <w:lang w:eastAsia="uk-UA"/>
        </w:rPr>
        <w:t>Thymus vulgaris</w:t>
      </w:r>
      <w:r w:rsidRPr="00F84EC5">
        <w:rPr>
          <w:kern w:val="1"/>
          <w:szCs w:val="24"/>
          <w:lang w:eastAsia="uk-UA"/>
        </w:rPr>
        <w:t>) або синтетичним шляхом.</w:t>
      </w:r>
      <w:r w:rsidRPr="00F84EC5">
        <w:rPr>
          <w:kern w:val="1"/>
          <w:szCs w:val="24"/>
          <w:u w:color="6E6E6E"/>
          <w:lang w:eastAsia="ar-SA"/>
        </w:rPr>
        <w:t xml:space="preserve"> Він має виражені акарицидні, бактерицидні, віруліцидні та фунгіцидні властивості. </w:t>
      </w:r>
    </w:p>
    <w:p w:rsidR="006F74AE" w:rsidRPr="00F84EC5" w:rsidRDefault="006F74AE" w:rsidP="00033A58">
      <w:pPr>
        <w:widowControl w:val="0"/>
        <w:autoSpaceDE w:val="0"/>
        <w:autoSpaceDN w:val="0"/>
        <w:adjustRightInd w:val="0"/>
        <w:ind w:firstLine="567"/>
        <w:jc w:val="both"/>
        <w:rPr>
          <w:kern w:val="1"/>
          <w:szCs w:val="24"/>
          <w:u w:color="6E6E6E"/>
          <w:lang w:eastAsia="ar-SA"/>
        </w:rPr>
      </w:pPr>
      <w:r w:rsidRPr="00F84EC5">
        <w:rPr>
          <w:kern w:val="1"/>
          <w:szCs w:val="24"/>
          <w:u w:color="6E6E6E"/>
          <w:lang w:eastAsia="ar-SA"/>
        </w:rPr>
        <w:t xml:space="preserve">Евкаліптову олію, отримують із листя різних видів евкаліптів. Вона </w:t>
      </w:r>
      <w:r w:rsidRPr="00F84EC5">
        <w:rPr>
          <w:szCs w:val="24"/>
        </w:rPr>
        <w:t>містить ефірну олію, цинеол (не менше 60%), пінен, інші терпеноїдні фенолальдегіди, тритерпеноїди</w:t>
      </w:r>
      <w:r w:rsidRPr="00F84EC5">
        <w:rPr>
          <w:kern w:val="1"/>
          <w:szCs w:val="24"/>
          <w:u w:color="6E6E6E"/>
          <w:lang w:eastAsia="ar-SA"/>
        </w:rPr>
        <w:t xml:space="preserve"> та забезпечує антисептичну дію по відношенню до ряду бактерій, вірусів, мікроміцетів та найпростіших. Комплекс активно діючих речовин евкаліптової олії стимулює посилення неспецифічної резистентності бджіл та підвищує їх опірність до інфекційних захворювань.</w:t>
      </w:r>
    </w:p>
    <w:p w:rsidR="006F74AE" w:rsidRPr="00F84EC5" w:rsidRDefault="006F74AE" w:rsidP="00033A58">
      <w:pPr>
        <w:suppressAutoHyphens/>
        <w:ind w:firstLine="567"/>
        <w:jc w:val="both"/>
        <w:rPr>
          <w:smallCaps/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>Ментол – органічна речовина, яку отримують із ефірної олії м’яти (</w:t>
      </w:r>
      <w:hyperlink r:id="rId7" w:tooltip="Mentha piperita" w:history="1">
        <w:r w:rsidRPr="00F84EC5">
          <w:rPr>
            <w:i/>
            <w:iCs/>
            <w:kern w:val="1"/>
            <w:szCs w:val="24"/>
            <w:lang w:eastAsia="ar-SA"/>
          </w:rPr>
          <w:t>Mentha piperita</w:t>
        </w:r>
      </w:hyperlink>
      <w:r w:rsidRPr="00F84EC5">
        <w:rPr>
          <w:kern w:val="1"/>
          <w:szCs w:val="24"/>
          <w:lang w:eastAsia="ar-SA"/>
        </w:rPr>
        <w:t xml:space="preserve"> </w:t>
      </w:r>
      <w:r w:rsidRPr="00F84EC5">
        <w:rPr>
          <w:i/>
          <w:smallCaps/>
          <w:kern w:val="1"/>
          <w:szCs w:val="24"/>
          <w:lang w:eastAsia="ar-SA"/>
        </w:rPr>
        <w:t>L.).</w:t>
      </w:r>
      <w:r w:rsidRPr="00F84EC5">
        <w:rPr>
          <w:smallCaps/>
          <w:kern w:val="1"/>
          <w:szCs w:val="24"/>
          <w:lang w:eastAsia="ar-SA"/>
        </w:rPr>
        <w:t xml:space="preserve"> </w:t>
      </w:r>
      <w:r w:rsidRPr="00F84EC5">
        <w:rPr>
          <w:kern w:val="1"/>
          <w:szCs w:val="24"/>
          <w:lang w:eastAsia="ar-SA"/>
        </w:rPr>
        <w:t>Ментол має виражені акарицидні, антисептичні та фітонцидні властивості.</w:t>
      </w:r>
      <w:r w:rsidRPr="00F84EC5">
        <w:rPr>
          <w:smallCaps/>
          <w:kern w:val="1"/>
          <w:szCs w:val="24"/>
          <w:lang w:eastAsia="ar-SA"/>
        </w:rPr>
        <w:t xml:space="preserve"> </w:t>
      </w:r>
    </w:p>
    <w:p w:rsidR="006F74AE" w:rsidRPr="00F84EC5" w:rsidRDefault="006F74AE" w:rsidP="00D75570">
      <w:pPr>
        <w:pStyle w:val="21"/>
        <w:spacing w:after="0" w:line="240" w:lineRule="auto"/>
        <w:ind w:firstLine="567"/>
        <w:jc w:val="both"/>
        <w:rPr>
          <w:lang w:val="uk-UA"/>
        </w:rPr>
      </w:pPr>
      <w:r w:rsidRPr="00F84EC5">
        <w:rPr>
          <w:kern w:val="1"/>
          <w:lang w:val="uk-UA"/>
        </w:rPr>
        <w:t>Комплекс трьох активно діючих компонентів, завдяки синергічному підсиленню їх фармакологічної ефективності, забезпечує високу терапевтичну дію (понад 95%) щодо збудників вароозу, а також як д</w:t>
      </w:r>
      <w:r w:rsidRPr="00F84EC5">
        <w:rPr>
          <w:lang w:val="uk-UA"/>
        </w:rPr>
        <w:t>опоміжний засіб при акарапідозі, аскоферозі, аспергільозі, американському і європейському гнильці та розвитку личинок воскової молі.</w:t>
      </w:r>
      <w:r w:rsidRPr="00F84EC5">
        <w:rPr>
          <w:b/>
          <w:lang w:val="uk-UA"/>
        </w:rPr>
        <w:t xml:space="preserve"> 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 xml:space="preserve">При використанні у рекомендованих дозах та тривалості курсів, залишки активно діючих речовин не накопичуються в меді, перзі та воску. 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 Клінічні особливості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5.1. Вид тварин</w:t>
      </w:r>
    </w:p>
    <w:p w:rsidR="006F74AE" w:rsidRPr="00F84EC5" w:rsidRDefault="006F74AE" w:rsidP="00033A58">
      <w:pPr>
        <w:ind w:firstLine="567"/>
        <w:rPr>
          <w:snapToGrid w:val="0"/>
          <w:szCs w:val="24"/>
        </w:rPr>
      </w:pPr>
      <w:r w:rsidRPr="00F84EC5">
        <w:rPr>
          <w:snapToGrid w:val="0"/>
          <w:szCs w:val="24"/>
        </w:rPr>
        <w:t xml:space="preserve">Бджоли. 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5.2. Показання до застосування</w:t>
      </w:r>
    </w:p>
    <w:p w:rsidR="006F74AE" w:rsidRPr="00F84EC5" w:rsidRDefault="006F74AE" w:rsidP="00033A58">
      <w:pPr>
        <w:pStyle w:val="21"/>
        <w:spacing w:after="0" w:line="240" w:lineRule="auto"/>
        <w:ind w:firstLine="567"/>
        <w:jc w:val="both"/>
        <w:rPr>
          <w:lang w:val="uk-UA"/>
        </w:rPr>
      </w:pPr>
      <w:r w:rsidRPr="00F84EC5">
        <w:rPr>
          <w:lang w:val="uk-UA"/>
        </w:rPr>
        <w:t>Лікування бджіл при вароозі; допоміжний засіб при акарапідозі, аскоферозі, аспергільозі, американському і європейському гнильці та розвитку личинок воскової молі.</w:t>
      </w:r>
      <w:r w:rsidRPr="00F84EC5">
        <w:rPr>
          <w:b/>
          <w:lang w:val="uk-UA"/>
        </w:rPr>
        <w:t xml:space="preserve"> </w:t>
      </w:r>
    </w:p>
    <w:p w:rsidR="006F74AE" w:rsidRPr="00F84EC5" w:rsidRDefault="006F74AE" w:rsidP="00033A58">
      <w:pPr>
        <w:ind w:firstLine="567"/>
        <w:rPr>
          <w:b/>
          <w:szCs w:val="24"/>
        </w:rPr>
      </w:pPr>
      <w:r w:rsidRPr="00F84EC5">
        <w:rPr>
          <w:b/>
          <w:szCs w:val="24"/>
        </w:rPr>
        <w:t>5.3.Протипоказання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>Препарат не має протипоказань щодо застосування у вуликах з робочими бджолами, матками та розплодом.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 xml:space="preserve">5.4. Побічна дія </w:t>
      </w:r>
    </w:p>
    <w:p w:rsidR="006F74AE" w:rsidRPr="00F84EC5" w:rsidRDefault="006F74AE" w:rsidP="00033A58">
      <w:pPr>
        <w:ind w:firstLine="567"/>
        <w:jc w:val="both"/>
        <w:rPr>
          <w:snapToGrid w:val="0"/>
          <w:szCs w:val="24"/>
        </w:rPr>
      </w:pPr>
      <w:r w:rsidRPr="00F84EC5">
        <w:rPr>
          <w:snapToGrid w:val="0"/>
          <w:szCs w:val="24"/>
        </w:rPr>
        <w:t>При застосуванні згідно рекомендованих доз побічної дії не спостерігається. Можливе незначне занепокоєння бджолосім’ї під час застосування препарату.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5.5. Особливості застереження при використанні</w:t>
      </w:r>
    </w:p>
    <w:p w:rsidR="006F74AE" w:rsidRPr="00F84EC5" w:rsidRDefault="006F74AE" w:rsidP="00033A58">
      <w:pPr>
        <w:ind w:firstLine="567"/>
        <w:rPr>
          <w:snapToGrid w:val="0"/>
          <w:szCs w:val="24"/>
        </w:rPr>
      </w:pPr>
      <w:r w:rsidRPr="00F84EC5">
        <w:rPr>
          <w:snapToGrid w:val="0"/>
          <w:szCs w:val="24"/>
        </w:rPr>
        <w:t>Чітке дотримання вимог листівки-вкладки по застосуванню препарату.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6. Застосування під час вагітності, лактації</w:t>
      </w:r>
    </w:p>
    <w:p w:rsidR="006F74AE" w:rsidRPr="00F84EC5" w:rsidRDefault="006F74AE" w:rsidP="00033A58">
      <w:pPr>
        <w:pStyle w:val="10"/>
        <w:spacing w:before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84EC5">
        <w:rPr>
          <w:rFonts w:ascii="Times New Roman" w:hAnsi="Times New Roman"/>
          <w:sz w:val="24"/>
          <w:szCs w:val="24"/>
        </w:rPr>
        <w:t>Не стосується.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5.7. Взаємодія з іншими засобами та інші форми взаємодії</w:t>
      </w:r>
    </w:p>
    <w:p w:rsidR="006F74AE" w:rsidRPr="00F84EC5" w:rsidRDefault="006F74AE" w:rsidP="00033A58">
      <w:pPr>
        <w:ind w:firstLine="567"/>
        <w:jc w:val="both"/>
        <w:rPr>
          <w:snapToGrid w:val="0"/>
          <w:szCs w:val="24"/>
        </w:rPr>
      </w:pPr>
      <w:r w:rsidRPr="00F84EC5">
        <w:rPr>
          <w:snapToGrid w:val="0"/>
          <w:szCs w:val="24"/>
        </w:rPr>
        <w:t>Не рекомендується застосовувати спільно з іншими інсекто-акарицидними препаратами.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5.8. Дози і способи введення тваринам різного віку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>Для сильної бджолосім’ї доза становить 50 г, для слабкої – 20-25 г.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 xml:space="preserve">Контейнер з препаратом розміщають у центрі вулика, зверху на рамках. Між поверхнею контейнера з препаратом і кришкою вулика залишають 0,5-1 см вільного простору. </w:t>
      </w:r>
    </w:p>
    <w:p w:rsidR="006F74AE" w:rsidRPr="00F84EC5" w:rsidRDefault="006F74AE" w:rsidP="002A2BBB">
      <w:pPr>
        <w:pStyle w:val="ae"/>
        <w:ind w:firstLine="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F84EC5">
        <w:rPr>
          <w:rFonts w:ascii="Times New Roman" w:hAnsi="Times New Roman" w:cs="Times New Roman"/>
          <w:sz w:val="24"/>
          <w:szCs w:val="24"/>
          <w:lang w:val="uk-UA"/>
        </w:rPr>
        <w:lastRenderedPageBreak/>
        <w:t>Продовження додатку 1</w:t>
      </w:r>
    </w:p>
    <w:p w:rsidR="006F74AE" w:rsidRPr="00F84EC5" w:rsidRDefault="006F74AE" w:rsidP="002A2BBB">
      <w:pPr>
        <w:pStyle w:val="ae"/>
        <w:ind w:firstLine="567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F84EC5">
        <w:rPr>
          <w:rFonts w:ascii="Times New Roman" w:hAnsi="Times New Roman" w:cs="Times New Roman"/>
          <w:sz w:val="24"/>
          <w:szCs w:val="24"/>
          <w:lang w:val="uk-UA"/>
        </w:rPr>
        <w:t>до реєстраційного посвідчення AB-06155-01-15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>Через 21 добу рештки препарату видаляють та вносять нову дозу препарату в тій же кількості, залишають її у вулику до повного спорожнення контейнера.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 xml:space="preserve">Препарат з туби рівномірно наносять на аркуш офісного або пергаментного паперу формату А4, видавлюючи 4-6 доріжок. Аркуш з препаратом розташовують зверху на рамках, у центрі вулика на 21 добу. </w:t>
      </w:r>
    </w:p>
    <w:p w:rsidR="006F74AE" w:rsidRPr="00F84EC5" w:rsidRDefault="006F74AE" w:rsidP="00033A58">
      <w:pPr>
        <w:suppressAutoHyphens/>
        <w:ind w:firstLine="567"/>
        <w:jc w:val="both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>У весняно-літній період обробки закінчують за сім днів до початку основного медозбору. Літньо-осінню обробку проводять після відкачування товарного меду при зовнішній температурі повітря в межах 15-27°С.</w:t>
      </w:r>
    </w:p>
    <w:p w:rsidR="006F74AE" w:rsidRPr="00F84EC5" w:rsidRDefault="006F74AE" w:rsidP="00033A58">
      <w:pPr>
        <w:ind w:firstLine="567"/>
        <w:jc w:val="both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5.9. Передозування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rPr>
          <w:szCs w:val="24"/>
        </w:rPr>
        <w:t>Препарат належить до малотоксичних для бджіл речовин і при його застосуванні у рекомендованих дозах ознак передозування не спостерігається. У випадках застосування препарату в дозах більших ніж рекомендовані може бути занепокоєння бджіл, викучування та виліт.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rPr>
          <w:b/>
          <w:snapToGrid w:val="0"/>
          <w:szCs w:val="24"/>
        </w:rPr>
        <w:t>5.10. Спеціальні застереження</w:t>
      </w:r>
    </w:p>
    <w:p w:rsidR="006F74AE" w:rsidRPr="00F84EC5" w:rsidRDefault="006F74AE" w:rsidP="00033A58">
      <w:pPr>
        <w:ind w:firstLine="567"/>
        <w:rPr>
          <w:snapToGrid w:val="0"/>
          <w:szCs w:val="24"/>
        </w:rPr>
      </w:pPr>
      <w:r w:rsidRPr="00F84EC5">
        <w:rPr>
          <w:snapToGrid w:val="0"/>
          <w:szCs w:val="24"/>
        </w:rPr>
        <w:t>Забороняється використання порожньої тари з-під препарату для побутових цілей.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5.11. Період виведення (каренція)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rPr>
          <w:szCs w:val="24"/>
        </w:rPr>
        <w:t>Мед, віск та прополіс з оброблених препаратом в рекомендованих дозах вуликів з бджолами використовують без обмежень.</w:t>
      </w:r>
    </w:p>
    <w:p w:rsidR="006F74AE" w:rsidRPr="00F84EC5" w:rsidRDefault="006F74AE" w:rsidP="00033A58">
      <w:pPr>
        <w:ind w:firstLine="567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5.12. Спеціальні застереження для осіб і обслуговуючого персоналу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t>Всі роботи з препаратом проводять у спецодязі. Слід уникати безпосереднього контакту препарату зі шкірою і попадання його в очі. Після закінчення роботи слід ретельно вимити руки з милом. При потраплянні препарату на шкіру необхідно змити водою з милом, а при потраплянні в очі - промити великою кількістю проточної води. Не вдихати.</w:t>
      </w:r>
      <w:r w:rsidRPr="00F84EC5">
        <w:rPr>
          <w:szCs w:val="24"/>
        </w:rPr>
        <w:t xml:space="preserve"> </w:t>
      </w:r>
    </w:p>
    <w:p w:rsidR="006F74AE" w:rsidRPr="00F84EC5" w:rsidRDefault="006F74AE" w:rsidP="00033A58">
      <w:pPr>
        <w:ind w:firstLine="567"/>
        <w:jc w:val="both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6. Фармацевтичні особливості</w:t>
      </w:r>
    </w:p>
    <w:p w:rsidR="006F74AE" w:rsidRPr="00F84EC5" w:rsidRDefault="006F74AE" w:rsidP="00033A58">
      <w:pPr>
        <w:ind w:firstLine="567"/>
        <w:jc w:val="both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6.1. Форми несумісності (основні)</w:t>
      </w:r>
    </w:p>
    <w:p w:rsidR="006F74AE" w:rsidRPr="00F84EC5" w:rsidRDefault="006F74AE" w:rsidP="00033A58">
      <w:pPr>
        <w:ind w:firstLine="567"/>
        <w:jc w:val="both"/>
        <w:rPr>
          <w:snapToGrid w:val="0"/>
          <w:szCs w:val="24"/>
        </w:rPr>
      </w:pPr>
      <w:r w:rsidRPr="00F84EC5">
        <w:rPr>
          <w:snapToGrid w:val="0"/>
          <w:szCs w:val="24"/>
        </w:rPr>
        <w:t>Не рекомендується застосовувати одночасно з іншими</w:t>
      </w:r>
      <w:r w:rsidRPr="00F84EC5">
        <w:rPr>
          <w:szCs w:val="24"/>
        </w:rPr>
        <w:t xml:space="preserve"> </w:t>
      </w:r>
      <w:r w:rsidRPr="00F84EC5">
        <w:rPr>
          <w:snapToGrid w:val="0"/>
          <w:szCs w:val="24"/>
        </w:rPr>
        <w:t xml:space="preserve">інсекто-акарицидними препаратами. </w:t>
      </w:r>
    </w:p>
    <w:p w:rsidR="006F74AE" w:rsidRPr="00F84EC5" w:rsidRDefault="006F74AE" w:rsidP="00033A58">
      <w:pPr>
        <w:ind w:firstLine="567"/>
        <w:jc w:val="both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 xml:space="preserve">6.2. Термін придатності </w:t>
      </w:r>
    </w:p>
    <w:p w:rsidR="006F74AE" w:rsidRPr="00F84EC5" w:rsidRDefault="006F74AE" w:rsidP="00033A58">
      <w:pPr>
        <w:ind w:firstLine="567"/>
        <w:jc w:val="both"/>
        <w:rPr>
          <w:kern w:val="1"/>
          <w:szCs w:val="24"/>
          <w:lang w:eastAsia="ar-SA"/>
        </w:rPr>
      </w:pPr>
      <w:r w:rsidRPr="00F84EC5">
        <w:t>2 роки. Термін придатності після першого відкриття – 20 діб, за умови зберігання в упакуванні виробника та щільного закриття, в темному місці при температурі від 5 до 25 °С</w:t>
      </w:r>
      <w:r w:rsidRPr="00F84EC5">
        <w:rPr>
          <w:kern w:val="1"/>
          <w:szCs w:val="24"/>
          <w:lang w:eastAsia="ar-SA"/>
        </w:rPr>
        <w:t>.</w:t>
      </w:r>
    </w:p>
    <w:p w:rsidR="006F74AE" w:rsidRPr="00F84EC5" w:rsidRDefault="006F74AE" w:rsidP="00033A58">
      <w:pPr>
        <w:ind w:firstLine="567"/>
        <w:jc w:val="both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6.3. Особливі застереження щодо зберігання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t>Сухе, темне, недоступне для дітей місце на відстані від нагрівальних елементів, окремо від продуктів харчування та кормів за температури від 5 до 25 °С</w:t>
      </w:r>
      <w:r w:rsidRPr="00F84EC5">
        <w:rPr>
          <w:szCs w:val="24"/>
        </w:rPr>
        <w:t>.</w:t>
      </w:r>
    </w:p>
    <w:p w:rsidR="006F74AE" w:rsidRPr="00F84EC5" w:rsidRDefault="006F74AE" w:rsidP="00033A58">
      <w:pPr>
        <w:ind w:firstLine="567"/>
        <w:jc w:val="both"/>
        <w:rPr>
          <w:b/>
          <w:snapToGrid w:val="0"/>
          <w:szCs w:val="24"/>
        </w:rPr>
      </w:pPr>
      <w:r w:rsidRPr="00F84EC5">
        <w:rPr>
          <w:b/>
          <w:snapToGrid w:val="0"/>
          <w:szCs w:val="24"/>
        </w:rPr>
        <w:t>6.4. Природа і склад контейнера первинного пакування</w:t>
      </w:r>
    </w:p>
    <w:p w:rsidR="006F74AE" w:rsidRPr="00F84EC5" w:rsidRDefault="006F74AE" w:rsidP="00033A58">
      <w:pPr>
        <w:suppressAutoHyphens/>
        <w:ind w:firstLine="567"/>
        <w:rPr>
          <w:kern w:val="1"/>
          <w:szCs w:val="24"/>
          <w:lang w:eastAsia="ar-SA"/>
        </w:rPr>
      </w:pPr>
      <w:r w:rsidRPr="00F84EC5">
        <w:rPr>
          <w:kern w:val="1"/>
          <w:szCs w:val="24"/>
          <w:lang w:eastAsia="ar-SA"/>
        </w:rPr>
        <w:t>Туби по 50,</w:t>
      </w:r>
      <w:r w:rsidRPr="00F84EC5">
        <w:rPr>
          <w:kern w:val="1"/>
          <w:szCs w:val="24"/>
          <w:lang w:val="ru-RU" w:eastAsia="ar-SA"/>
        </w:rPr>
        <w:t xml:space="preserve"> 200</w:t>
      </w:r>
      <w:r w:rsidRPr="00F84EC5">
        <w:rPr>
          <w:kern w:val="1"/>
          <w:szCs w:val="24"/>
          <w:lang w:eastAsia="ar-SA"/>
        </w:rPr>
        <w:t>, 2</w:t>
      </w:r>
      <w:r w:rsidRPr="00F84EC5">
        <w:rPr>
          <w:kern w:val="1"/>
          <w:szCs w:val="24"/>
          <w:lang w:val="ru-RU" w:eastAsia="ar-SA"/>
        </w:rPr>
        <w:t>5</w:t>
      </w:r>
      <w:r w:rsidRPr="00F84EC5">
        <w:rPr>
          <w:kern w:val="1"/>
          <w:szCs w:val="24"/>
          <w:lang w:eastAsia="ar-SA"/>
        </w:rPr>
        <w:t>0 г.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rPr>
          <w:kern w:val="1"/>
          <w:szCs w:val="24"/>
          <w:lang w:eastAsia="ar-SA"/>
        </w:rPr>
        <w:t>Пластикові контейнери по 50 або 1000 г</w:t>
      </w:r>
      <w:r w:rsidRPr="00F84EC5">
        <w:rPr>
          <w:szCs w:val="24"/>
        </w:rPr>
        <w:t>.</w:t>
      </w:r>
    </w:p>
    <w:p w:rsidR="006F74AE" w:rsidRPr="00F84EC5" w:rsidRDefault="006F74AE" w:rsidP="00033A58">
      <w:pPr>
        <w:ind w:firstLine="567"/>
        <w:rPr>
          <w:szCs w:val="24"/>
        </w:rPr>
      </w:pPr>
      <w:r w:rsidRPr="00F84EC5">
        <w:rPr>
          <w:b/>
          <w:snapToGrid w:val="0"/>
          <w:szCs w:val="24"/>
        </w:rPr>
        <w:t>6.5. Особливі заходи безпеки при поводженні з невикористаним засобом або його залишками.</w:t>
      </w:r>
    </w:p>
    <w:p w:rsidR="006F74AE" w:rsidRPr="00F84EC5" w:rsidRDefault="006F74AE" w:rsidP="00033A58">
      <w:pPr>
        <w:ind w:firstLine="567"/>
        <w:jc w:val="both"/>
        <w:rPr>
          <w:b/>
          <w:snapToGrid w:val="0"/>
          <w:szCs w:val="24"/>
        </w:rPr>
      </w:pPr>
      <w:r w:rsidRPr="00F84EC5">
        <w:rPr>
          <w:snapToGrid w:val="0"/>
          <w:szCs w:val="24"/>
        </w:rPr>
        <w:t>Невикористаний препарат повинен бути утилізований відповідно до національних вимог</w:t>
      </w:r>
      <w:r w:rsidRPr="00F84EC5">
        <w:rPr>
          <w:b/>
          <w:snapToGrid w:val="0"/>
          <w:szCs w:val="24"/>
        </w:rPr>
        <w:t>.</w:t>
      </w:r>
    </w:p>
    <w:p w:rsidR="006F74AE" w:rsidRPr="00F84EC5" w:rsidRDefault="006F74AE" w:rsidP="00033A58">
      <w:pPr>
        <w:ind w:firstLine="567"/>
        <w:jc w:val="both"/>
        <w:rPr>
          <w:b/>
          <w:szCs w:val="24"/>
        </w:rPr>
      </w:pPr>
      <w:r w:rsidRPr="00F84EC5">
        <w:rPr>
          <w:b/>
          <w:szCs w:val="24"/>
        </w:rPr>
        <w:t xml:space="preserve">7. Назва та місцезнаходження власника реєстраційного посвідчення </w:t>
      </w:r>
    </w:p>
    <w:p w:rsidR="006F74AE" w:rsidRPr="00F84EC5" w:rsidRDefault="006F74AE" w:rsidP="00033A58">
      <w:pPr>
        <w:widowControl w:val="0"/>
        <w:ind w:firstLine="567"/>
        <w:jc w:val="both"/>
        <w:rPr>
          <w:szCs w:val="24"/>
        </w:rPr>
      </w:pPr>
      <w:r w:rsidRPr="00F84EC5">
        <w:rPr>
          <w:szCs w:val="24"/>
        </w:rPr>
        <w:t>ТОВ "БРОВАФАРМА"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rPr>
          <w:szCs w:val="24"/>
        </w:rPr>
        <w:t>б-р Незалежності 18-а, м. Бровари, Київська обл., 07400, Україна</w:t>
      </w:r>
    </w:p>
    <w:p w:rsidR="006F74AE" w:rsidRPr="00F84EC5" w:rsidRDefault="006F74AE" w:rsidP="00033A58">
      <w:pPr>
        <w:ind w:firstLine="567"/>
        <w:jc w:val="both"/>
        <w:rPr>
          <w:b/>
          <w:szCs w:val="24"/>
        </w:rPr>
      </w:pPr>
      <w:r w:rsidRPr="00F84EC5">
        <w:rPr>
          <w:b/>
          <w:szCs w:val="24"/>
        </w:rPr>
        <w:t>8. Назва та місцезнаходження виробника (виробників)</w:t>
      </w:r>
    </w:p>
    <w:p w:rsidR="006F74AE" w:rsidRPr="00F84EC5" w:rsidRDefault="006F74AE" w:rsidP="00033A58">
      <w:pPr>
        <w:widowControl w:val="0"/>
        <w:ind w:firstLine="567"/>
        <w:jc w:val="both"/>
        <w:rPr>
          <w:szCs w:val="24"/>
        </w:rPr>
      </w:pPr>
      <w:r w:rsidRPr="00F84EC5">
        <w:rPr>
          <w:szCs w:val="24"/>
        </w:rPr>
        <w:t>ТОВ "БРОВАФАРМА"</w:t>
      </w:r>
    </w:p>
    <w:p w:rsidR="006F74AE" w:rsidRPr="00F84EC5" w:rsidRDefault="006F74AE" w:rsidP="00033A58">
      <w:pPr>
        <w:ind w:firstLine="567"/>
        <w:jc w:val="both"/>
        <w:rPr>
          <w:szCs w:val="24"/>
        </w:rPr>
      </w:pPr>
      <w:r w:rsidRPr="00F84EC5">
        <w:rPr>
          <w:szCs w:val="24"/>
        </w:rPr>
        <w:t>б-р Незалежності 18-а, м. Бровари, Київська обл., 07400, Україна</w:t>
      </w:r>
    </w:p>
    <w:p w:rsidR="006F74AE" w:rsidRPr="00490465" w:rsidRDefault="006F74AE" w:rsidP="00033A58">
      <w:pPr>
        <w:ind w:firstLine="567"/>
        <w:jc w:val="both"/>
        <w:rPr>
          <w:rFonts w:ascii="Calibri" w:hAnsi="Calibri"/>
          <w:sz w:val="22"/>
          <w:szCs w:val="22"/>
          <w:lang w:eastAsia="en-US"/>
        </w:rPr>
      </w:pPr>
      <w:r w:rsidRPr="00F84EC5">
        <w:rPr>
          <w:b/>
          <w:szCs w:val="24"/>
        </w:rPr>
        <w:t>9. Додаткова інформація</w:t>
      </w:r>
      <w:bookmarkStart w:id="0" w:name="_GoBack"/>
      <w:bookmarkEnd w:id="0"/>
    </w:p>
    <w:p w:rsidR="006F74AE" w:rsidRPr="00D77528" w:rsidRDefault="006F74AE" w:rsidP="00033A58">
      <w:pPr>
        <w:ind w:firstLine="567"/>
        <w:rPr>
          <w:szCs w:val="24"/>
        </w:rPr>
      </w:pPr>
    </w:p>
    <w:sectPr w:rsidR="006F74AE" w:rsidRPr="00D77528" w:rsidSect="00033A58">
      <w:footerReference w:type="even" r:id="rId8"/>
      <w:footerReference w:type="default" r:id="rId9"/>
      <w:pgSz w:w="11906" w:h="16838"/>
      <w:pgMar w:top="567" w:right="454" w:bottom="454" w:left="1134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4AE" w:rsidRDefault="006F74AE">
      <w:r>
        <w:separator/>
      </w:r>
    </w:p>
  </w:endnote>
  <w:endnote w:type="continuationSeparator" w:id="0">
    <w:p w:rsidR="006F74AE" w:rsidRDefault="006F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AE" w:rsidRDefault="006F74AE" w:rsidP="00033A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F74AE" w:rsidRDefault="006F74AE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74AE" w:rsidRDefault="006F74AE" w:rsidP="00AA623D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84EC5">
      <w:rPr>
        <w:rStyle w:val="a7"/>
        <w:noProof/>
      </w:rPr>
      <w:t>1</w:t>
    </w:r>
    <w:r>
      <w:rPr>
        <w:rStyle w:val="a7"/>
      </w:rPr>
      <w:fldChar w:fldCharType="end"/>
    </w:r>
  </w:p>
  <w:p w:rsidR="006F74AE" w:rsidRDefault="006F74A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4AE" w:rsidRDefault="006F74AE">
      <w:r>
        <w:separator/>
      </w:r>
    </w:p>
  </w:footnote>
  <w:footnote w:type="continuationSeparator" w:id="0">
    <w:p w:rsidR="006F74AE" w:rsidRDefault="006F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2F56568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1815227"/>
    <w:multiLevelType w:val="hybridMultilevel"/>
    <w:tmpl w:val="8DC40FCC"/>
    <w:lvl w:ilvl="0" w:tplc="AC560DAA">
      <w:start w:val="1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" w15:restartNumberingAfterBreak="0">
    <w:nsid w:val="29C06912"/>
    <w:multiLevelType w:val="hybridMultilevel"/>
    <w:tmpl w:val="5FF255E0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622546B"/>
    <w:multiLevelType w:val="hybridMultilevel"/>
    <w:tmpl w:val="2A486938"/>
    <w:lvl w:ilvl="0" w:tplc="6BC253D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86A1C"/>
    <w:rsid w:val="00020180"/>
    <w:rsid w:val="0002532C"/>
    <w:rsid w:val="000263BB"/>
    <w:rsid w:val="000270C7"/>
    <w:rsid w:val="00033A58"/>
    <w:rsid w:val="00041891"/>
    <w:rsid w:val="000424B0"/>
    <w:rsid w:val="00063C1E"/>
    <w:rsid w:val="00073717"/>
    <w:rsid w:val="00082C47"/>
    <w:rsid w:val="00092845"/>
    <w:rsid w:val="000953AA"/>
    <w:rsid w:val="000B1CFB"/>
    <w:rsid w:val="000C7617"/>
    <w:rsid w:val="000D408C"/>
    <w:rsid w:val="000F0AE8"/>
    <w:rsid w:val="000F6090"/>
    <w:rsid w:val="00101BCD"/>
    <w:rsid w:val="00102EA2"/>
    <w:rsid w:val="00112267"/>
    <w:rsid w:val="001321F8"/>
    <w:rsid w:val="00135BDB"/>
    <w:rsid w:val="00143D91"/>
    <w:rsid w:val="0015568F"/>
    <w:rsid w:val="00162479"/>
    <w:rsid w:val="00177319"/>
    <w:rsid w:val="001B7050"/>
    <w:rsid w:val="001C62BE"/>
    <w:rsid w:val="001E6C2E"/>
    <w:rsid w:val="0020278B"/>
    <w:rsid w:val="00203904"/>
    <w:rsid w:val="00224134"/>
    <w:rsid w:val="00225222"/>
    <w:rsid w:val="00237B9D"/>
    <w:rsid w:val="00242123"/>
    <w:rsid w:val="002464C9"/>
    <w:rsid w:val="0025187D"/>
    <w:rsid w:val="00273A83"/>
    <w:rsid w:val="00280AFB"/>
    <w:rsid w:val="00286A4F"/>
    <w:rsid w:val="002971E2"/>
    <w:rsid w:val="002A2BBB"/>
    <w:rsid w:val="002C5681"/>
    <w:rsid w:val="002D153E"/>
    <w:rsid w:val="002E20D3"/>
    <w:rsid w:val="002E44AB"/>
    <w:rsid w:val="002E5ED3"/>
    <w:rsid w:val="00302F72"/>
    <w:rsid w:val="00312651"/>
    <w:rsid w:val="00321540"/>
    <w:rsid w:val="0032422F"/>
    <w:rsid w:val="00333878"/>
    <w:rsid w:val="00386A1C"/>
    <w:rsid w:val="0039483B"/>
    <w:rsid w:val="00395821"/>
    <w:rsid w:val="003A52F9"/>
    <w:rsid w:val="003C5ACA"/>
    <w:rsid w:val="004145E5"/>
    <w:rsid w:val="0042136C"/>
    <w:rsid w:val="00436B5B"/>
    <w:rsid w:val="0043778A"/>
    <w:rsid w:val="004442D3"/>
    <w:rsid w:val="00447362"/>
    <w:rsid w:val="004760CD"/>
    <w:rsid w:val="00485034"/>
    <w:rsid w:val="00490465"/>
    <w:rsid w:val="00495909"/>
    <w:rsid w:val="004A4150"/>
    <w:rsid w:val="004A41F9"/>
    <w:rsid w:val="004C0939"/>
    <w:rsid w:val="004C46A9"/>
    <w:rsid w:val="004E5382"/>
    <w:rsid w:val="004F77EC"/>
    <w:rsid w:val="005173D2"/>
    <w:rsid w:val="00524B5A"/>
    <w:rsid w:val="005361D5"/>
    <w:rsid w:val="005421B2"/>
    <w:rsid w:val="005429A8"/>
    <w:rsid w:val="00552D6F"/>
    <w:rsid w:val="00576AB1"/>
    <w:rsid w:val="00582BAF"/>
    <w:rsid w:val="00583F49"/>
    <w:rsid w:val="00587771"/>
    <w:rsid w:val="00591D0A"/>
    <w:rsid w:val="005B5D73"/>
    <w:rsid w:val="005D070D"/>
    <w:rsid w:val="005D3C87"/>
    <w:rsid w:val="005D7094"/>
    <w:rsid w:val="005F07ED"/>
    <w:rsid w:val="00601EB5"/>
    <w:rsid w:val="00610FCD"/>
    <w:rsid w:val="006247DB"/>
    <w:rsid w:val="00625268"/>
    <w:rsid w:val="00635C5E"/>
    <w:rsid w:val="00646E27"/>
    <w:rsid w:val="00656ABE"/>
    <w:rsid w:val="00660B5D"/>
    <w:rsid w:val="00661A7C"/>
    <w:rsid w:val="00686FDB"/>
    <w:rsid w:val="006B0AE7"/>
    <w:rsid w:val="006B5B55"/>
    <w:rsid w:val="006B6430"/>
    <w:rsid w:val="006E739D"/>
    <w:rsid w:val="006E79AE"/>
    <w:rsid w:val="006F74AE"/>
    <w:rsid w:val="006F7EBE"/>
    <w:rsid w:val="00704EAF"/>
    <w:rsid w:val="007151F3"/>
    <w:rsid w:val="00716593"/>
    <w:rsid w:val="0072370D"/>
    <w:rsid w:val="00736AFE"/>
    <w:rsid w:val="007523CF"/>
    <w:rsid w:val="00753876"/>
    <w:rsid w:val="00795A0D"/>
    <w:rsid w:val="007A085D"/>
    <w:rsid w:val="007B7729"/>
    <w:rsid w:val="007B7CA5"/>
    <w:rsid w:val="007D0661"/>
    <w:rsid w:val="007E14EB"/>
    <w:rsid w:val="007E6427"/>
    <w:rsid w:val="008160AE"/>
    <w:rsid w:val="00832B98"/>
    <w:rsid w:val="008375CC"/>
    <w:rsid w:val="008579F4"/>
    <w:rsid w:val="00883855"/>
    <w:rsid w:val="0088406D"/>
    <w:rsid w:val="00890E01"/>
    <w:rsid w:val="00894441"/>
    <w:rsid w:val="0089479B"/>
    <w:rsid w:val="008A5EF3"/>
    <w:rsid w:val="008A6688"/>
    <w:rsid w:val="008A6E4E"/>
    <w:rsid w:val="008C4BB9"/>
    <w:rsid w:val="008D0311"/>
    <w:rsid w:val="008D121E"/>
    <w:rsid w:val="008E4571"/>
    <w:rsid w:val="00904B70"/>
    <w:rsid w:val="00916031"/>
    <w:rsid w:val="00924B48"/>
    <w:rsid w:val="009366C3"/>
    <w:rsid w:val="00941800"/>
    <w:rsid w:val="009535F0"/>
    <w:rsid w:val="0095470D"/>
    <w:rsid w:val="009614B4"/>
    <w:rsid w:val="009765F4"/>
    <w:rsid w:val="009A2A34"/>
    <w:rsid w:val="009A752E"/>
    <w:rsid w:val="009A77C0"/>
    <w:rsid w:val="009B7278"/>
    <w:rsid w:val="009B79CF"/>
    <w:rsid w:val="009E3474"/>
    <w:rsid w:val="009E69D2"/>
    <w:rsid w:val="009F2DCE"/>
    <w:rsid w:val="00A07BBC"/>
    <w:rsid w:val="00A26BD6"/>
    <w:rsid w:val="00A42573"/>
    <w:rsid w:val="00A5272F"/>
    <w:rsid w:val="00A73F9D"/>
    <w:rsid w:val="00A864EF"/>
    <w:rsid w:val="00A86557"/>
    <w:rsid w:val="00A92EBA"/>
    <w:rsid w:val="00AA623D"/>
    <w:rsid w:val="00AC4741"/>
    <w:rsid w:val="00AF22EE"/>
    <w:rsid w:val="00AF7022"/>
    <w:rsid w:val="00AF79C2"/>
    <w:rsid w:val="00B022FE"/>
    <w:rsid w:val="00B271FF"/>
    <w:rsid w:val="00B3227C"/>
    <w:rsid w:val="00B3541B"/>
    <w:rsid w:val="00B43220"/>
    <w:rsid w:val="00B6120A"/>
    <w:rsid w:val="00B6375C"/>
    <w:rsid w:val="00B81639"/>
    <w:rsid w:val="00B9243A"/>
    <w:rsid w:val="00B959DB"/>
    <w:rsid w:val="00BA1F6C"/>
    <w:rsid w:val="00BB1E72"/>
    <w:rsid w:val="00BC2502"/>
    <w:rsid w:val="00BC4671"/>
    <w:rsid w:val="00BC4AF8"/>
    <w:rsid w:val="00BD343F"/>
    <w:rsid w:val="00BD442C"/>
    <w:rsid w:val="00BE051F"/>
    <w:rsid w:val="00BE4987"/>
    <w:rsid w:val="00BF4FCF"/>
    <w:rsid w:val="00C005DC"/>
    <w:rsid w:val="00C02712"/>
    <w:rsid w:val="00C06C64"/>
    <w:rsid w:val="00C17060"/>
    <w:rsid w:val="00C23D15"/>
    <w:rsid w:val="00C25580"/>
    <w:rsid w:val="00C3479B"/>
    <w:rsid w:val="00C423F3"/>
    <w:rsid w:val="00C427EF"/>
    <w:rsid w:val="00C511C8"/>
    <w:rsid w:val="00C96B4B"/>
    <w:rsid w:val="00CA25C0"/>
    <w:rsid w:val="00CB4061"/>
    <w:rsid w:val="00CC29EA"/>
    <w:rsid w:val="00CC56B4"/>
    <w:rsid w:val="00CF2CC7"/>
    <w:rsid w:val="00D13098"/>
    <w:rsid w:val="00D16C1E"/>
    <w:rsid w:val="00D17998"/>
    <w:rsid w:val="00D33FE3"/>
    <w:rsid w:val="00D5275E"/>
    <w:rsid w:val="00D52FD8"/>
    <w:rsid w:val="00D75570"/>
    <w:rsid w:val="00D77528"/>
    <w:rsid w:val="00D821FA"/>
    <w:rsid w:val="00D8462F"/>
    <w:rsid w:val="00D875AA"/>
    <w:rsid w:val="00D91256"/>
    <w:rsid w:val="00D92811"/>
    <w:rsid w:val="00DB42FD"/>
    <w:rsid w:val="00DB6CDA"/>
    <w:rsid w:val="00DB739E"/>
    <w:rsid w:val="00DC657D"/>
    <w:rsid w:val="00DD7F15"/>
    <w:rsid w:val="00DF0290"/>
    <w:rsid w:val="00E01511"/>
    <w:rsid w:val="00E47C57"/>
    <w:rsid w:val="00E47DC1"/>
    <w:rsid w:val="00E6439B"/>
    <w:rsid w:val="00E67ED7"/>
    <w:rsid w:val="00E76A49"/>
    <w:rsid w:val="00E77857"/>
    <w:rsid w:val="00E85552"/>
    <w:rsid w:val="00E921EC"/>
    <w:rsid w:val="00E968E0"/>
    <w:rsid w:val="00E97E74"/>
    <w:rsid w:val="00EA1903"/>
    <w:rsid w:val="00EA1B7E"/>
    <w:rsid w:val="00EA3C18"/>
    <w:rsid w:val="00EA64D0"/>
    <w:rsid w:val="00F029C3"/>
    <w:rsid w:val="00F07836"/>
    <w:rsid w:val="00F102D4"/>
    <w:rsid w:val="00F173D6"/>
    <w:rsid w:val="00F64935"/>
    <w:rsid w:val="00F84880"/>
    <w:rsid w:val="00F84EC5"/>
    <w:rsid w:val="00FA16C3"/>
    <w:rsid w:val="00FB12FE"/>
    <w:rsid w:val="00FB1BF3"/>
    <w:rsid w:val="00FB7350"/>
    <w:rsid w:val="00FC3678"/>
    <w:rsid w:val="00FC7657"/>
    <w:rsid w:val="00FD0BB5"/>
    <w:rsid w:val="00FD1179"/>
    <w:rsid w:val="00FF2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6F3A5636-9BCF-4FED-B474-F1FCCA346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6A1C"/>
    <w:rPr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uiPriority w:val="99"/>
    <w:rsid w:val="00386A1C"/>
    <w:pPr>
      <w:widowControl w:val="0"/>
      <w:autoSpaceDE w:val="0"/>
      <w:autoSpaceDN w:val="0"/>
      <w:adjustRightInd w:val="0"/>
    </w:pPr>
    <w:rPr>
      <w:szCs w:val="24"/>
    </w:rPr>
  </w:style>
  <w:style w:type="paragraph" w:customStyle="1" w:styleId="1">
    <w:name w:val="Без інтервалів1"/>
    <w:uiPriority w:val="99"/>
    <w:rsid w:val="00C25580"/>
    <w:pPr>
      <w:suppressAutoHyphens/>
    </w:pPr>
    <w:rPr>
      <w:sz w:val="24"/>
      <w:szCs w:val="24"/>
      <w:lang w:val="ru-RU" w:eastAsia="ar-SA"/>
    </w:rPr>
  </w:style>
  <w:style w:type="paragraph" w:customStyle="1" w:styleId="10">
    <w:name w:val="Звичайний1"/>
    <w:uiPriority w:val="99"/>
    <w:rsid w:val="0088406D"/>
    <w:pPr>
      <w:widowControl w:val="0"/>
      <w:spacing w:before="20" w:line="300" w:lineRule="auto"/>
    </w:pPr>
    <w:rPr>
      <w:rFonts w:ascii="Arial" w:hAnsi="Arial"/>
      <w:szCs w:val="20"/>
      <w:lang w:eastAsia="ru-RU"/>
    </w:rPr>
  </w:style>
  <w:style w:type="character" w:styleId="a3">
    <w:name w:val="Hyperlink"/>
    <w:basedOn w:val="a0"/>
    <w:uiPriority w:val="99"/>
    <w:rsid w:val="00587771"/>
    <w:rPr>
      <w:rFonts w:cs="Times New Roman"/>
      <w:color w:val="0000FF"/>
      <w:u w:val="single"/>
    </w:rPr>
  </w:style>
  <w:style w:type="paragraph" w:customStyle="1" w:styleId="a4">
    <w:name w:val="Знак Знак Знак"/>
    <w:basedOn w:val="a"/>
    <w:uiPriority w:val="99"/>
    <w:rsid w:val="009E69D2"/>
    <w:rPr>
      <w:rFonts w:ascii="Verdana" w:hAnsi="Verdana" w:cs="Verdana"/>
      <w:sz w:val="20"/>
      <w:lang w:val="en-US" w:eastAsia="en-US"/>
    </w:rPr>
  </w:style>
  <w:style w:type="paragraph" w:customStyle="1" w:styleId="11">
    <w:name w:val="Знак Знак Знак Знак Знак Знак1"/>
    <w:basedOn w:val="a"/>
    <w:uiPriority w:val="99"/>
    <w:rsid w:val="009E69D2"/>
    <w:rPr>
      <w:rFonts w:ascii="Verdana" w:hAnsi="Verdana" w:cs="Verdana"/>
      <w:sz w:val="20"/>
      <w:lang w:val="en-US" w:eastAsia="en-US"/>
    </w:rPr>
  </w:style>
  <w:style w:type="paragraph" w:styleId="a5">
    <w:name w:val="footer"/>
    <w:basedOn w:val="a"/>
    <w:link w:val="a6"/>
    <w:uiPriority w:val="99"/>
    <w:rsid w:val="005361D5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sz w:val="20"/>
      <w:lang w:val="x-none" w:eastAsia="ru-RU"/>
    </w:rPr>
  </w:style>
  <w:style w:type="character" w:styleId="a7">
    <w:name w:val="page number"/>
    <w:basedOn w:val="a0"/>
    <w:uiPriority w:val="99"/>
    <w:rsid w:val="005361D5"/>
    <w:rPr>
      <w:rFonts w:cs="Times New Roman"/>
    </w:rPr>
  </w:style>
  <w:style w:type="paragraph" w:customStyle="1" w:styleId="Standard">
    <w:name w:val="Standard"/>
    <w:uiPriority w:val="99"/>
    <w:rsid w:val="00BC2502"/>
    <w:pPr>
      <w:suppressAutoHyphens/>
    </w:pPr>
    <w:rPr>
      <w:rFonts w:ascii="Arial" w:hAnsi="Arial" w:cs="Arial"/>
      <w:sz w:val="24"/>
      <w:szCs w:val="20"/>
      <w:lang w:val="ru-RU" w:eastAsia="zh-CN"/>
    </w:rPr>
  </w:style>
  <w:style w:type="paragraph" w:styleId="a8">
    <w:name w:val="Body Text"/>
    <w:basedOn w:val="a"/>
    <w:link w:val="a9"/>
    <w:uiPriority w:val="99"/>
    <w:rsid w:val="00D875AA"/>
    <w:pPr>
      <w:spacing w:after="120"/>
    </w:pPr>
    <w:rPr>
      <w:szCs w:val="24"/>
    </w:rPr>
  </w:style>
  <w:style w:type="character" w:customStyle="1" w:styleId="a9">
    <w:name w:val="Основной текст Знак"/>
    <w:basedOn w:val="a0"/>
    <w:link w:val="a8"/>
    <w:uiPriority w:val="99"/>
    <w:locked/>
    <w:rsid w:val="00D875AA"/>
    <w:rPr>
      <w:sz w:val="24"/>
      <w:lang w:val="uk-UA" w:eastAsia="x-none"/>
    </w:rPr>
  </w:style>
  <w:style w:type="paragraph" w:styleId="aa">
    <w:name w:val="Balloon Text"/>
    <w:basedOn w:val="a"/>
    <w:link w:val="ab"/>
    <w:uiPriority w:val="99"/>
    <w:rsid w:val="00E76A4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locked/>
    <w:rsid w:val="00E76A49"/>
    <w:rPr>
      <w:rFonts w:ascii="Segoe UI" w:hAnsi="Segoe UI"/>
      <w:sz w:val="18"/>
      <w:lang w:val="x-none" w:eastAsia="ru-RU"/>
    </w:rPr>
  </w:style>
  <w:style w:type="paragraph" w:styleId="ac">
    <w:name w:val="header"/>
    <w:basedOn w:val="a"/>
    <w:link w:val="ad"/>
    <w:uiPriority w:val="99"/>
    <w:rsid w:val="00E76A49"/>
    <w:pPr>
      <w:tabs>
        <w:tab w:val="center" w:pos="4819"/>
        <w:tab w:val="right" w:pos="9639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E76A49"/>
    <w:rPr>
      <w:sz w:val="24"/>
      <w:lang w:val="x-none" w:eastAsia="ru-RU"/>
    </w:rPr>
  </w:style>
  <w:style w:type="character" w:customStyle="1" w:styleId="cs5efed22f1">
    <w:name w:val="cs5efed22f1"/>
    <w:uiPriority w:val="99"/>
    <w:rsid w:val="00E47C57"/>
    <w:rPr>
      <w:rFonts w:ascii="Times New Roman" w:hAnsi="Times New Roman"/>
      <w:b/>
      <w:i/>
      <w:color w:val="000000"/>
      <w:sz w:val="24"/>
    </w:rPr>
  </w:style>
  <w:style w:type="paragraph" w:customStyle="1" w:styleId="ae">
    <w:name w:val="Знак Знак"/>
    <w:basedOn w:val="a"/>
    <w:uiPriority w:val="99"/>
    <w:rsid w:val="00E47C57"/>
    <w:rPr>
      <w:rFonts w:ascii="Verdana" w:hAnsi="Verdana" w:cs="Verdana"/>
      <w:sz w:val="20"/>
      <w:lang w:val="en-US" w:eastAsia="en-US"/>
    </w:rPr>
  </w:style>
  <w:style w:type="character" w:customStyle="1" w:styleId="hps">
    <w:name w:val="hps"/>
    <w:uiPriority w:val="99"/>
    <w:rsid w:val="00E47C57"/>
  </w:style>
  <w:style w:type="paragraph" w:customStyle="1" w:styleId="21">
    <w:name w:val="Основной текст 21"/>
    <w:basedOn w:val="a"/>
    <w:uiPriority w:val="99"/>
    <w:rsid w:val="00582BAF"/>
    <w:pPr>
      <w:suppressAutoHyphens/>
      <w:spacing w:after="120" w:line="480" w:lineRule="auto"/>
    </w:pPr>
    <w:rPr>
      <w:szCs w:val="24"/>
      <w:lang w:val="en-GB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11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ru.wikipedia.org/wiki/Mentha_piperi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861</Words>
  <Characters>4911</Characters>
  <Application>Microsoft Office Word</Application>
  <DocSecurity>0</DocSecurity>
  <Lines>40</Lines>
  <Paragraphs>11</Paragraphs>
  <ScaleCrop>false</ScaleCrop>
  <Company>MoBIL GROUP</Company>
  <LinksUpToDate>false</LinksUpToDate>
  <CharactersWithSpaces>5761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BAV</dc:creator>
  <cp:keywords/>
  <dc:description/>
  <cp:lastModifiedBy>Vasyl</cp:lastModifiedBy>
  <cp:revision>9</cp:revision>
  <cp:lastPrinted>2026-02-20T07:51:00Z</cp:lastPrinted>
  <dcterms:created xsi:type="dcterms:W3CDTF">2026-02-12T07:56:00Z</dcterms:created>
  <dcterms:modified xsi:type="dcterms:W3CDTF">2026-02-20T13:50:00Z</dcterms:modified>
</cp:coreProperties>
</file>