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2DF" w:rsidRPr="00D437AB" w:rsidRDefault="008E22DF" w:rsidP="008E22DF">
      <w:pPr>
        <w:pStyle w:val="23"/>
        <w:tabs>
          <w:tab w:val="left" w:pos="1215"/>
          <w:tab w:val="right" w:pos="10321"/>
        </w:tabs>
        <w:spacing w:line="276" w:lineRule="auto"/>
        <w:ind w:firstLine="567"/>
        <w:jc w:val="right"/>
        <w:rPr>
          <w:rFonts w:ascii="Times New Roman" w:hAnsi="Times New Roman"/>
          <w:sz w:val="24"/>
          <w:szCs w:val="24"/>
          <w:lang w:val="uk-UA"/>
        </w:rPr>
      </w:pPr>
      <w:r w:rsidRPr="00D437AB">
        <w:rPr>
          <w:rFonts w:ascii="Times New Roman" w:hAnsi="Times New Roman"/>
          <w:sz w:val="24"/>
          <w:szCs w:val="24"/>
          <w:lang w:val="uk-UA"/>
        </w:rPr>
        <w:t>Додаток 1</w:t>
      </w:r>
    </w:p>
    <w:p w:rsidR="008E22DF" w:rsidRDefault="008E22DF" w:rsidP="008E22DF">
      <w:pPr>
        <w:spacing w:after="0"/>
        <w:ind w:firstLine="567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r w:rsidRPr="00D437AB">
        <w:rPr>
          <w:rFonts w:ascii="Times New Roman" w:eastAsia="Times New Roman" w:hAnsi="Times New Roman"/>
          <w:sz w:val="24"/>
          <w:szCs w:val="24"/>
          <w:lang w:val="uk-UA"/>
        </w:rPr>
        <w:t>до реєстраційного посвідчення AB-01008-01-10</w:t>
      </w:r>
    </w:p>
    <w:p w:rsidR="008E22DF" w:rsidRDefault="008E22DF" w:rsidP="008E22DF">
      <w:pPr>
        <w:spacing w:after="0"/>
        <w:ind w:firstLine="567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8E22DF" w:rsidRPr="008E22DF" w:rsidRDefault="008E22DF" w:rsidP="008E22DF">
      <w:pPr>
        <w:spacing w:after="0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/>
        </w:rPr>
      </w:pPr>
      <w:r w:rsidRPr="008E22DF">
        <w:rPr>
          <w:rFonts w:ascii="Times New Roman" w:eastAsia="Times New Roman" w:hAnsi="Times New Roman"/>
          <w:b/>
          <w:bCs/>
          <w:sz w:val="24"/>
          <w:szCs w:val="24"/>
          <w:lang w:val="uk-UA"/>
        </w:rPr>
        <w:t>Коротка характеристика препарату</w:t>
      </w:r>
    </w:p>
    <w:p w:rsidR="008E22DF" w:rsidRPr="00D437AB" w:rsidRDefault="008E22DF" w:rsidP="008E22DF">
      <w:pPr>
        <w:spacing w:after="0"/>
        <w:ind w:firstLine="567"/>
        <w:jc w:val="center"/>
        <w:rPr>
          <w:lang w:val="uk-UA" w:eastAsia="ar-SA"/>
        </w:rPr>
      </w:pPr>
    </w:p>
    <w:p w:rsidR="008E22DF" w:rsidRPr="00D437AB" w:rsidRDefault="008E22DF" w:rsidP="008E22DF">
      <w:pPr>
        <w:suppressAutoHyphens/>
        <w:spacing w:after="0" w:line="23" w:lineRule="atLeast"/>
        <w:ind w:firstLine="567"/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  <w:t>1. Назва</w:t>
      </w:r>
    </w:p>
    <w:p w:rsidR="008E22DF" w:rsidRPr="00D437AB" w:rsidRDefault="008E22DF" w:rsidP="008E22DF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  <w:t>Бровафом новий</w:t>
      </w:r>
    </w:p>
    <w:p w:rsidR="008E22DF" w:rsidRPr="00D437AB" w:rsidRDefault="008E22DF" w:rsidP="008E22DF">
      <w:pPr>
        <w:suppressAutoHyphens/>
        <w:spacing w:after="0" w:line="23" w:lineRule="atLeast"/>
        <w:ind w:firstLine="567"/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  <w:t xml:space="preserve">2. Склад </w:t>
      </w:r>
    </w:p>
    <w:p w:rsidR="008E22DF" w:rsidRPr="00D437AB" w:rsidRDefault="008E22DF" w:rsidP="008E22DF">
      <w:pPr>
        <w:suppressAutoHyphens/>
        <w:spacing w:after="0" w:line="23" w:lineRule="atLeast"/>
        <w:ind w:firstLine="567"/>
        <w:jc w:val="both"/>
        <w:rPr>
          <w:rFonts w:ascii="Times New Roman" w:hAnsi="Times New Roman"/>
          <w:kern w:val="1"/>
          <w:sz w:val="24"/>
          <w:szCs w:val="24"/>
          <w:lang w:val="uk-UA" w:eastAsia="ar-SA"/>
        </w:rPr>
      </w:pPr>
      <w:r w:rsidRPr="00D437AB">
        <w:rPr>
          <w:rFonts w:ascii="Times New Roman" w:hAnsi="Times New Roman"/>
          <w:kern w:val="1"/>
          <w:sz w:val="24"/>
          <w:szCs w:val="24"/>
          <w:lang w:val="uk-UA" w:eastAsia="ar-SA"/>
        </w:rPr>
        <w:t>1 г препарату містить діючі речовини:</w:t>
      </w:r>
    </w:p>
    <w:p w:rsidR="008E22DF" w:rsidRPr="00F51F03" w:rsidRDefault="008E22DF" w:rsidP="008E22DF">
      <w:pPr>
        <w:suppressAutoHyphens/>
        <w:spacing w:after="0" w:line="23" w:lineRule="atLeast"/>
        <w:ind w:firstLine="567"/>
        <w:jc w:val="both"/>
        <w:rPr>
          <w:rFonts w:ascii="Times New Roman" w:hAnsi="Times New Roman"/>
          <w:kern w:val="1"/>
          <w:sz w:val="24"/>
          <w:szCs w:val="24"/>
          <w:lang w:val="uk-UA" w:eastAsia="ar-SA"/>
        </w:rPr>
      </w:pPr>
      <w:r w:rsidRPr="00F51F03">
        <w:rPr>
          <w:rFonts w:ascii="Times New Roman" w:hAnsi="Times New Roman"/>
          <w:kern w:val="1"/>
          <w:sz w:val="24"/>
          <w:szCs w:val="24"/>
          <w:lang w:val="uk-UA" w:eastAsia="ar-SA"/>
        </w:rPr>
        <w:t>колістин</w:t>
      </w:r>
      <w:r w:rsidR="000B14AF" w:rsidRPr="00F51F03">
        <w:rPr>
          <w:rFonts w:ascii="Times New Roman" w:hAnsi="Times New Roman"/>
          <w:kern w:val="1"/>
          <w:sz w:val="24"/>
          <w:szCs w:val="24"/>
          <w:lang w:val="uk-UA" w:eastAsia="ar-SA"/>
        </w:rPr>
        <w:t>у</w:t>
      </w:r>
      <w:r w:rsidRPr="00F51F03">
        <w:rPr>
          <w:rFonts w:ascii="Times New Roman" w:hAnsi="Times New Roman"/>
          <w:kern w:val="1"/>
          <w:sz w:val="24"/>
          <w:szCs w:val="24"/>
          <w:lang w:val="uk-UA" w:eastAsia="ar-SA"/>
        </w:rPr>
        <w:t xml:space="preserve"> сульфат                        ‒ 500 000 МО;</w:t>
      </w:r>
    </w:p>
    <w:p w:rsidR="008E22DF" w:rsidRPr="00D437AB" w:rsidRDefault="008E22DF" w:rsidP="008E22DF">
      <w:pPr>
        <w:suppressAutoHyphens/>
        <w:spacing w:after="0" w:line="23" w:lineRule="atLeast"/>
        <w:ind w:firstLine="567"/>
        <w:jc w:val="both"/>
        <w:rPr>
          <w:rFonts w:ascii="Times New Roman" w:hAnsi="Times New Roman"/>
          <w:kern w:val="1"/>
          <w:sz w:val="24"/>
          <w:szCs w:val="24"/>
          <w:lang w:val="uk-UA" w:eastAsia="ar-SA"/>
        </w:rPr>
      </w:pPr>
      <w:r w:rsidRPr="00F51F03">
        <w:rPr>
          <w:rFonts w:ascii="Times New Roman" w:hAnsi="Times New Roman"/>
          <w:kern w:val="1"/>
          <w:sz w:val="24"/>
          <w:szCs w:val="24"/>
          <w:lang w:val="uk-UA" w:eastAsia="ar-SA"/>
        </w:rPr>
        <w:t>окситетрациклін</w:t>
      </w:r>
      <w:r w:rsidR="000B14AF" w:rsidRPr="00F51F03">
        <w:rPr>
          <w:rFonts w:ascii="Times New Roman" w:hAnsi="Times New Roman"/>
          <w:kern w:val="1"/>
          <w:sz w:val="24"/>
          <w:szCs w:val="24"/>
          <w:lang w:val="uk-UA" w:eastAsia="ar-SA"/>
        </w:rPr>
        <w:t>у</w:t>
      </w:r>
      <w:r w:rsidRPr="00F51F03">
        <w:rPr>
          <w:rFonts w:ascii="Times New Roman" w:hAnsi="Times New Roman"/>
          <w:kern w:val="1"/>
          <w:sz w:val="24"/>
          <w:szCs w:val="24"/>
          <w:lang w:val="uk-UA" w:eastAsia="ar-SA"/>
        </w:rPr>
        <w:t xml:space="preserve"> гідрохлорид</w:t>
      </w:r>
      <w:r w:rsidRPr="00D437AB">
        <w:rPr>
          <w:rFonts w:ascii="Times New Roman" w:hAnsi="Times New Roman"/>
          <w:kern w:val="1"/>
          <w:sz w:val="24"/>
          <w:szCs w:val="24"/>
          <w:lang w:val="uk-UA" w:eastAsia="ar-SA"/>
        </w:rPr>
        <w:t xml:space="preserve">    – 35,0 мг;</w:t>
      </w:r>
    </w:p>
    <w:p w:rsidR="008E22DF" w:rsidRPr="00D437AB" w:rsidRDefault="008E22DF" w:rsidP="008E22DF">
      <w:pPr>
        <w:suppressAutoHyphens/>
        <w:spacing w:after="0" w:line="23" w:lineRule="atLeast"/>
        <w:ind w:firstLine="567"/>
        <w:jc w:val="both"/>
        <w:rPr>
          <w:rFonts w:ascii="Times New Roman" w:hAnsi="Times New Roman"/>
          <w:kern w:val="1"/>
          <w:sz w:val="24"/>
          <w:szCs w:val="24"/>
          <w:lang w:val="uk-UA" w:eastAsia="ar-SA"/>
        </w:rPr>
      </w:pPr>
      <w:r w:rsidRPr="00D437AB">
        <w:rPr>
          <w:rFonts w:ascii="Times New Roman" w:hAnsi="Times New Roman"/>
          <w:kern w:val="1"/>
          <w:sz w:val="24"/>
          <w:szCs w:val="24"/>
          <w:lang w:val="uk-UA" w:eastAsia="ar-SA"/>
        </w:rPr>
        <w:t>триметоприм</w:t>
      </w:r>
      <w:r w:rsidRPr="00D437AB">
        <w:rPr>
          <w:rFonts w:ascii="Times New Roman" w:hAnsi="Times New Roman"/>
          <w:kern w:val="1"/>
          <w:sz w:val="24"/>
          <w:szCs w:val="24"/>
          <w:lang w:val="uk-UA" w:eastAsia="ar-SA"/>
        </w:rPr>
        <w:tab/>
      </w:r>
      <w:r w:rsidRPr="00D437AB">
        <w:rPr>
          <w:rFonts w:ascii="Times New Roman" w:hAnsi="Times New Roman"/>
          <w:kern w:val="1"/>
          <w:sz w:val="24"/>
          <w:szCs w:val="24"/>
          <w:lang w:val="uk-UA" w:eastAsia="ar-SA"/>
        </w:rPr>
        <w:tab/>
      </w:r>
      <w:r w:rsidRPr="00D437AB">
        <w:rPr>
          <w:rFonts w:ascii="Times New Roman" w:hAnsi="Times New Roman"/>
          <w:kern w:val="1"/>
          <w:sz w:val="24"/>
          <w:szCs w:val="24"/>
          <w:lang w:val="uk-UA" w:eastAsia="ar-SA"/>
        </w:rPr>
        <w:tab/>
        <w:t xml:space="preserve">  </w:t>
      </w:r>
      <w:r w:rsidR="00313BFE">
        <w:rPr>
          <w:rFonts w:ascii="Times New Roman" w:hAnsi="Times New Roman"/>
          <w:kern w:val="1"/>
          <w:sz w:val="24"/>
          <w:szCs w:val="24"/>
          <w:lang w:val="uk-UA" w:eastAsia="ar-SA"/>
        </w:rPr>
        <w:t xml:space="preserve"> </w:t>
      </w:r>
      <w:r w:rsidRPr="00D437AB">
        <w:rPr>
          <w:rFonts w:ascii="Times New Roman" w:hAnsi="Times New Roman"/>
          <w:kern w:val="1"/>
          <w:sz w:val="24"/>
          <w:szCs w:val="24"/>
          <w:lang w:val="uk-UA" w:eastAsia="ar-SA"/>
        </w:rPr>
        <w:t xml:space="preserve">  </w:t>
      </w:r>
      <w:r w:rsidR="00F51F03">
        <w:rPr>
          <w:rFonts w:ascii="Times New Roman" w:hAnsi="Times New Roman"/>
          <w:kern w:val="1"/>
          <w:sz w:val="24"/>
          <w:szCs w:val="24"/>
          <w:lang w:val="uk-UA" w:eastAsia="ar-SA"/>
        </w:rPr>
        <w:t xml:space="preserve">  </w:t>
      </w:r>
      <w:r w:rsidRPr="00D437AB">
        <w:rPr>
          <w:rFonts w:ascii="Times New Roman" w:hAnsi="Times New Roman"/>
          <w:kern w:val="1"/>
          <w:sz w:val="24"/>
          <w:szCs w:val="24"/>
          <w:lang w:val="uk-UA" w:eastAsia="ar-SA"/>
        </w:rPr>
        <w:t>– 27,0 мг.</w:t>
      </w:r>
    </w:p>
    <w:p w:rsidR="008E22DF" w:rsidRPr="00D437AB" w:rsidRDefault="008E22DF" w:rsidP="008E22DF">
      <w:pPr>
        <w:suppressAutoHyphens/>
        <w:spacing w:after="0" w:line="23" w:lineRule="atLeast"/>
        <w:ind w:firstLine="567"/>
        <w:jc w:val="both"/>
        <w:rPr>
          <w:rFonts w:ascii="Times New Roman" w:hAnsi="Times New Roman"/>
          <w:kern w:val="1"/>
          <w:sz w:val="24"/>
          <w:szCs w:val="24"/>
          <w:lang w:val="uk-UA" w:eastAsia="ar-SA"/>
        </w:rPr>
      </w:pPr>
      <w:r w:rsidRPr="00D437AB">
        <w:rPr>
          <w:rFonts w:ascii="Times New Roman" w:hAnsi="Times New Roman"/>
          <w:kern w:val="1"/>
          <w:sz w:val="24"/>
          <w:szCs w:val="24"/>
          <w:lang w:val="uk-UA" w:eastAsia="ar-SA"/>
        </w:rPr>
        <w:t>Допоміжна речовина: мальтодекстрин.</w:t>
      </w:r>
    </w:p>
    <w:p w:rsidR="008E22DF" w:rsidRPr="00D437AB" w:rsidRDefault="008E22DF" w:rsidP="008E22DF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  <w:t>3. Фармацевтична форма</w:t>
      </w:r>
    </w:p>
    <w:p w:rsidR="008E22DF" w:rsidRPr="00D437AB" w:rsidRDefault="008E22DF" w:rsidP="008E22DF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  <w:t>Порошок для перорального застосування.</w:t>
      </w:r>
    </w:p>
    <w:p w:rsidR="008E22DF" w:rsidRPr="00D437AB" w:rsidRDefault="008E22DF" w:rsidP="008E22DF">
      <w:pPr>
        <w:suppressAutoHyphens/>
        <w:spacing w:after="0" w:line="23" w:lineRule="atLeast"/>
        <w:ind w:firstLine="567"/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  <w:t>4. Фармакологічні властивості</w:t>
      </w:r>
    </w:p>
    <w:p w:rsidR="00BA6C55" w:rsidRPr="00B44F9C" w:rsidRDefault="00BA6C55" w:rsidP="00BA6C55">
      <w:pPr>
        <w:pStyle w:val="100"/>
        <w:spacing w:line="23" w:lineRule="atLeast"/>
        <w:rPr>
          <w:b/>
          <w:bCs/>
          <w:i/>
          <w:iCs/>
        </w:rPr>
      </w:pPr>
      <w:r w:rsidRPr="00B44F9C">
        <w:rPr>
          <w:b/>
          <w:bCs/>
          <w:i/>
          <w:iCs/>
        </w:rPr>
        <w:t>ATCvet класифікаційний код: QJ01 — Антибактеріальні ветеринарні препарати для системного застосування. QJ01RA95 — Поліміксини, комбінації з іншими протимікробними препаратами.</w:t>
      </w:r>
    </w:p>
    <w:p w:rsidR="00BA6C55" w:rsidRPr="00D437AB" w:rsidRDefault="00BA6C55" w:rsidP="00BA6C55">
      <w:pPr>
        <w:pStyle w:val="100"/>
        <w:spacing w:line="23" w:lineRule="atLeast"/>
        <w:rPr>
          <w:color w:val="auto"/>
        </w:rPr>
      </w:pPr>
      <w:r w:rsidRPr="00D437AB">
        <w:t>Комплексний препарат із синергічною дією компонентів, що забезпечує широкий спектр антимікробної активності.</w:t>
      </w:r>
    </w:p>
    <w:p w:rsidR="00BA6C55" w:rsidRPr="00D437AB" w:rsidRDefault="00BA6C55" w:rsidP="00BA6C5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D437AB">
        <w:rPr>
          <w:rFonts w:ascii="Times New Roman" w:hAnsi="Times New Roman"/>
          <w:sz w:val="24"/>
          <w:szCs w:val="24"/>
          <w:lang w:val="uk-UA"/>
        </w:rPr>
        <w:t>Окситетрациклін — бактеріостатичний антибіотик широкого с</w:t>
      </w:r>
      <w:r>
        <w:rPr>
          <w:rFonts w:ascii="Times New Roman" w:hAnsi="Times New Roman"/>
          <w:sz w:val="24"/>
          <w:szCs w:val="24"/>
          <w:lang w:val="uk-UA"/>
        </w:rPr>
        <w:t>пектра дії проти грампозитивних</w:t>
      </w:r>
      <w:r w:rsidRPr="00D437AB">
        <w:rPr>
          <w:rFonts w:ascii="Times New Roman" w:hAnsi="Times New Roman"/>
          <w:sz w:val="24"/>
          <w:szCs w:val="24"/>
          <w:lang w:val="uk-UA"/>
        </w:rPr>
        <w:t xml:space="preserve"> (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Streptococcus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spp., Clostridium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spp., Corynebacterium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spp., Erysipelothrix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</w:t>
      </w:r>
      <w:r>
        <w:rPr>
          <w:rFonts w:ascii="Times New Roman" w:hAnsi="Times New Roman"/>
          <w:sz w:val="24"/>
          <w:szCs w:val="24"/>
          <w:lang w:val="uk-UA"/>
        </w:rPr>
        <w:t>.) та</w:t>
      </w:r>
      <w:r w:rsidRPr="00D437AB">
        <w:rPr>
          <w:rFonts w:ascii="Times New Roman" w:hAnsi="Times New Roman"/>
          <w:sz w:val="24"/>
          <w:szCs w:val="24"/>
          <w:lang w:val="uk-UA"/>
        </w:rPr>
        <w:t xml:space="preserve"> грамнегативних (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Brucella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spp., Haemophilus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spp., E. coli, Pasteurella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spp., Klebsiella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spp., Fusobacterium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spp., Salmonella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</w:t>
      </w:r>
      <w:r>
        <w:rPr>
          <w:rFonts w:ascii="Times New Roman" w:hAnsi="Times New Roman"/>
          <w:sz w:val="24"/>
          <w:szCs w:val="24"/>
          <w:lang w:val="uk-UA"/>
        </w:rPr>
        <w:t>.)</w:t>
      </w:r>
      <w:r w:rsidRPr="00D437AB">
        <w:rPr>
          <w:rFonts w:ascii="Times New Roman" w:hAnsi="Times New Roman"/>
          <w:sz w:val="24"/>
          <w:szCs w:val="24"/>
          <w:lang w:val="uk-UA"/>
        </w:rPr>
        <w:t xml:space="preserve"> мікроорганізмів</w:t>
      </w:r>
      <w:r>
        <w:rPr>
          <w:rFonts w:ascii="Times New Roman" w:hAnsi="Times New Roman"/>
          <w:sz w:val="24"/>
          <w:szCs w:val="24"/>
          <w:lang w:val="uk-UA"/>
        </w:rPr>
        <w:t>,</w:t>
      </w:r>
      <w:r w:rsidRPr="00D437AB">
        <w:rPr>
          <w:rFonts w:ascii="Times New Roman" w:hAnsi="Times New Roman"/>
          <w:sz w:val="24"/>
          <w:szCs w:val="24"/>
          <w:lang w:val="uk-UA"/>
        </w:rPr>
        <w:t xml:space="preserve"> мікоплазм (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Mycoplasma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spp.</w:t>
      </w:r>
      <w:r w:rsidRPr="00D437AB">
        <w:rPr>
          <w:rFonts w:ascii="Times New Roman" w:hAnsi="Times New Roman"/>
          <w:sz w:val="24"/>
          <w:szCs w:val="24"/>
          <w:lang w:val="uk-UA"/>
        </w:rPr>
        <w:t>), рикетсій (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Rickettsia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spp.</w:t>
      </w:r>
      <w:r w:rsidRPr="00D437AB">
        <w:rPr>
          <w:rFonts w:ascii="Times New Roman" w:hAnsi="Times New Roman"/>
          <w:sz w:val="24"/>
          <w:szCs w:val="24"/>
          <w:lang w:val="uk-UA"/>
        </w:rPr>
        <w:t>), хламідій (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Chlamydia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spp.</w:t>
      </w:r>
      <w:r w:rsidRPr="00D437AB">
        <w:rPr>
          <w:rFonts w:ascii="Times New Roman" w:hAnsi="Times New Roman"/>
          <w:sz w:val="24"/>
          <w:szCs w:val="24"/>
          <w:lang w:val="uk-UA"/>
        </w:rPr>
        <w:t xml:space="preserve">). Порушує синтез білка при взаємодії з рибосомами, зменшує проникність цитоплазматичної мембрани чутливих мікроорганізмів. </w:t>
      </w:r>
    </w:p>
    <w:p w:rsidR="00BA6C55" w:rsidRPr="00D437AB" w:rsidRDefault="00BA6C55" w:rsidP="00BA6C5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D437AB">
        <w:rPr>
          <w:rFonts w:ascii="Times New Roman" w:hAnsi="Times New Roman"/>
          <w:sz w:val="24"/>
          <w:szCs w:val="24"/>
          <w:lang w:val="uk-UA"/>
        </w:rPr>
        <w:t>Колістин — антибіотик із групи поліміксинів, діє бактерицидно на грамнегативні мікроорганізми (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Е. coli, Salmonella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spp., Pasteurella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spp., Haemophilus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spp., Bordetella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spp.</w:t>
      </w:r>
      <w:r w:rsidRPr="00D437AB">
        <w:rPr>
          <w:rFonts w:ascii="Times New Roman" w:hAnsi="Times New Roman"/>
          <w:sz w:val="24"/>
          <w:szCs w:val="24"/>
          <w:lang w:val="uk-UA"/>
        </w:rPr>
        <w:t>). Механізм дії полягає у пошкодженні цитоплазматичної мембрани мікроорганізмів. Колістин взаємодіє з фосфоліпідами, руйнуючи структуру клітинної мембрани. Зв'язує фосфоліпід А клітинних мембран і нейтралізує дію бактеріального ендотоксину.</w:t>
      </w:r>
    </w:p>
    <w:p w:rsidR="00BA6C55" w:rsidRPr="00B874AE" w:rsidRDefault="00BA6C55" w:rsidP="00BA6C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D437AB">
        <w:rPr>
          <w:rFonts w:ascii="Times New Roman" w:hAnsi="Times New Roman"/>
          <w:sz w:val="24"/>
          <w:szCs w:val="24"/>
          <w:lang w:val="uk-UA"/>
        </w:rPr>
        <w:t>Триметоприм діє бактеріостатично проти грампозитивних мікроорганізмів (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Staphylococcus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spp., Streptococcus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spp., Clostridium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spp., Corynebacterium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 xml:space="preserve">spp. </w:t>
      </w:r>
      <w:r w:rsidRPr="00D437AB">
        <w:rPr>
          <w:rFonts w:ascii="Times New Roman" w:hAnsi="Times New Roman"/>
          <w:sz w:val="24"/>
          <w:szCs w:val="24"/>
          <w:lang w:val="uk-UA"/>
        </w:rPr>
        <w:t>тощо), грамнегативних мікроорганізмів (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Е. coli, Salmonella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spp., Klebsiella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spp., Proteus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spp., Pasteurella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>spp., Bordetella</w:t>
      </w:r>
      <w:r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Pr="00D437AB">
        <w:rPr>
          <w:rFonts w:ascii="Times New Roman" w:hAnsi="Times New Roman"/>
          <w:i/>
          <w:iCs/>
          <w:sz w:val="24"/>
          <w:szCs w:val="24"/>
          <w:lang w:val="uk-UA"/>
        </w:rPr>
        <w:t xml:space="preserve">spp. </w:t>
      </w:r>
      <w:r w:rsidRPr="00D437AB">
        <w:rPr>
          <w:rFonts w:ascii="Times New Roman" w:hAnsi="Times New Roman"/>
          <w:sz w:val="24"/>
          <w:szCs w:val="24"/>
          <w:lang w:val="uk-UA"/>
        </w:rPr>
        <w:t>тощо</w:t>
      </w:r>
      <w:r w:rsidRPr="00B874AE">
        <w:rPr>
          <w:rFonts w:ascii="Times New Roman" w:hAnsi="Times New Roman"/>
          <w:sz w:val="24"/>
          <w:szCs w:val="24"/>
          <w:lang w:val="uk-UA"/>
        </w:rPr>
        <w:t>). Він інгібує бактеріальну редуктазу, що перетворює дегідрофолієву кислоту на тетрагідрофолієву (яка необхідна для синтезу пуринів і нуклеїнових кислот).</w:t>
      </w:r>
    </w:p>
    <w:p w:rsidR="00BA6C55" w:rsidRPr="00B874AE" w:rsidRDefault="00BA6C55" w:rsidP="00BA6C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B874AE">
        <w:rPr>
          <w:rFonts w:ascii="Times New Roman" w:hAnsi="Times New Roman"/>
          <w:sz w:val="24"/>
          <w:szCs w:val="24"/>
          <w:lang w:val="uk-UA"/>
        </w:rPr>
        <w:t>Окситетрациклін після перорального застосування поступово абсорбується. Максимальна концентрація його в крові досягається через 30–60 хвилин і утримується на терапевтичному рівні 48 годин. Період напіввиведення окситетрацикліну у собак становить 4–6 годин, у великої рогатої худоби — 4,3–9,7 годин, у свиней — 6,7 годин, у овець — 3,6 години. Він проникає майже в усі органи і тканини, але найбільший його рівень спостерігається в легенях, печінці, жовчі, репродуктивних органах і нирках. Концентрація окситетрацикліну в легенях, травному каналі, м’язах та селезінці така сама, як у плазмі крові. Окситетрациклін виявляється в цереброспинальній рідині, але його концентрація не досягає терапевтичної. Він проходить через гематоенцефалічний бар’єр і плаценту. Метаб</w:t>
      </w:r>
      <w:bookmarkStart w:id="0" w:name="_GoBack"/>
      <w:bookmarkEnd w:id="0"/>
      <w:r w:rsidRPr="00B874AE">
        <w:rPr>
          <w:rFonts w:ascii="Times New Roman" w:hAnsi="Times New Roman"/>
          <w:sz w:val="24"/>
          <w:szCs w:val="24"/>
          <w:lang w:val="uk-UA"/>
        </w:rPr>
        <w:t>олізується окситетрациклін у незначній мірі. Виводиться він переважно з сечею і жовчю, у лактуючих тварин — з молоком.</w:t>
      </w:r>
    </w:p>
    <w:p w:rsidR="00BA6C55" w:rsidRDefault="00BA6C55" w:rsidP="00BA6C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B874AE">
        <w:rPr>
          <w:rFonts w:ascii="Times New Roman" w:hAnsi="Times New Roman"/>
          <w:sz w:val="24"/>
          <w:szCs w:val="24"/>
          <w:lang w:val="uk-UA"/>
        </w:rPr>
        <w:t xml:space="preserve">Завдяки поліпептидній структурі колістин майже не всмоктується з травного каналу, що забезпечує його високу ефективність при лікуванні захворювань органів травного каналу. Концентрація колістину в сироватці крові та тканинах є </w:t>
      </w:r>
      <w:r w:rsidRPr="00A357F1">
        <w:rPr>
          <w:rFonts w:ascii="Times New Roman" w:hAnsi="Times New Roman"/>
          <w:sz w:val="24"/>
          <w:szCs w:val="24"/>
          <w:lang w:val="uk-UA"/>
        </w:rPr>
        <w:t>низькою, тоді як у просвіті травного</w:t>
      </w:r>
      <w:r w:rsidRPr="00D437AB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BA6C55" w:rsidRDefault="00BA6C55" w:rsidP="00BA6C5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434CB" w:rsidRDefault="00B434CB" w:rsidP="00BA6C55">
      <w:pPr>
        <w:pStyle w:val="23"/>
        <w:tabs>
          <w:tab w:val="left" w:pos="1215"/>
          <w:tab w:val="right" w:pos="10321"/>
        </w:tabs>
        <w:spacing w:line="276" w:lineRule="auto"/>
        <w:ind w:firstLine="567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BA6C55" w:rsidRPr="00D437AB" w:rsidRDefault="00BA6C55" w:rsidP="00BA6C55">
      <w:pPr>
        <w:pStyle w:val="23"/>
        <w:tabs>
          <w:tab w:val="left" w:pos="1215"/>
          <w:tab w:val="right" w:pos="10321"/>
        </w:tabs>
        <w:spacing w:line="276" w:lineRule="auto"/>
        <w:ind w:firstLine="567"/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Продовження </w:t>
      </w:r>
      <w:r w:rsidR="001F1336">
        <w:rPr>
          <w:rFonts w:ascii="Times New Roman" w:hAnsi="Times New Roman"/>
          <w:sz w:val="24"/>
          <w:szCs w:val="24"/>
          <w:lang w:val="uk-UA"/>
        </w:rPr>
        <w:t>д</w:t>
      </w:r>
      <w:r w:rsidR="001F1336" w:rsidRPr="00D437AB">
        <w:rPr>
          <w:rFonts w:ascii="Times New Roman" w:hAnsi="Times New Roman"/>
          <w:sz w:val="24"/>
          <w:szCs w:val="24"/>
          <w:lang w:val="uk-UA"/>
        </w:rPr>
        <w:t>одатку</w:t>
      </w:r>
      <w:r w:rsidRPr="00D437AB">
        <w:rPr>
          <w:rFonts w:ascii="Times New Roman" w:hAnsi="Times New Roman"/>
          <w:sz w:val="24"/>
          <w:szCs w:val="24"/>
          <w:lang w:val="uk-UA"/>
        </w:rPr>
        <w:t xml:space="preserve"> 1</w:t>
      </w:r>
    </w:p>
    <w:p w:rsidR="00BA6C55" w:rsidRDefault="00BA6C55" w:rsidP="00BA6C55">
      <w:pPr>
        <w:spacing w:after="0"/>
        <w:ind w:firstLine="567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r w:rsidRPr="00D437AB">
        <w:rPr>
          <w:rFonts w:ascii="Times New Roman" w:eastAsia="Times New Roman" w:hAnsi="Times New Roman"/>
          <w:sz w:val="24"/>
          <w:szCs w:val="24"/>
          <w:lang w:val="uk-UA"/>
        </w:rPr>
        <w:t>до реєстраційного посвідчення AB-01008-01-10</w:t>
      </w:r>
    </w:p>
    <w:p w:rsidR="00BA6C55" w:rsidRDefault="00BA6C55" w:rsidP="00BA6C5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A6C55" w:rsidRPr="00B874AE" w:rsidRDefault="00BA6C55" w:rsidP="00B874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437AB">
        <w:rPr>
          <w:rFonts w:ascii="Times New Roman" w:hAnsi="Times New Roman"/>
          <w:sz w:val="24"/>
          <w:szCs w:val="24"/>
          <w:lang w:val="uk-UA"/>
        </w:rPr>
        <w:t xml:space="preserve">каналу стабільно підтримується </w:t>
      </w:r>
      <w:r w:rsidRPr="00B874AE">
        <w:rPr>
          <w:rFonts w:ascii="Times New Roman" w:hAnsi="Times New Roman"/>
          <w:sz w:val="24"/>
          <w:szCs w:val="24"/>
          <w:lang w:val="uk-UA"/>
        </w:rPr>
        <w:t>висока його концентрація. Виводиться з організму переважно з фекаліями та в незначній кількості нирками із сечею у вигляді активних метаболітів (після застосування високих доз).</w:t>
      </w:r>
    </w:p>
    <w:p w:rsidR="00BA6C55" w:rsidRPr="00B874AE" w:rsidRDefault="00BA6C55" w:rsidP="00BA6C5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B874AE">
        <w:rPr>
          <w:rFonts w:ascii="Times New Roman" w:hAnsi="Times New Roman"/>
          <w:sz w:val="24"/>
          <w:szCs w:val="24"/>
          <w:lang w:val="uk-UA"/>
        </w:rPr>
        <w:t>Триметоприм абсорбується з травного каналу швидко і майже повністю (90-100%). Зв’язується з білками плазми на 45%. C</w:t>
      </w:r>
      <w:r w:rsidRPr="00B874AE">
        <w:rPr>
          <w:rFonts w:ascii="Times New Roman" w:hAnsi="Times New Roman"/>
          <w:sz w:val="24"/>
          <w:szCs w:val="24"/>
          <w:vertAlign w:val="subscript"/>
          <w:lang w:val="uk-UA"/>
        </w:rPr>
        <w:t xml:space="preserve">max </w:t>
      </w:r>
      <w:r w:rsidRPr="00B874AE">
        <w:rPr>
          <w:rFonts w:ascii="Times New Roman" w:hAnsi="Times New Roman"/>
          <w:sz w:val="24"/>
          <w:szCs w:val="24"/>
          <w:lang w:val="uk-UA"/>
        </w:rPr>
        <w:t>триметоприму після одноразової дози досягається через 1–4 години і становить приблизно 1 мкг/мл. Швидко розподіляється в тканинах і рідинах організму, включаючи нирки, печінку, селезінку, мокроту, слину і сперму, виявляється також у жовчі, кістковому і губчатому мозку, але не в компактному шарі кісток. Концентрація триметоприму в спинномозковій рідині становить 30–50% від концентрації в сироватці крові. Концентрація його в тканині і секреті передміхурової залози в 2–3 рази вища, ніж у сироватці крові. Висока концентрація триметоприму спостерігається в секреті бронхіальних залоз, передміхуровій залозі та жовчі.</w:t>
      </w:r>
    </w:p>
    <w:p w:rsidR="00BA6C55" w:rsidRPr="00D437AB" w:rsidRDefault="00BA6C55" w:rsidP="00BA6C5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B874AE">
        <w:rPr>
          <w:rFonts w:ascii="Times New Roman" w:hAnsi="Times New Roman"/>
          <w:sz w:val="24"/>
          <w:szCs w:val="24"/>
          <w:lang w:val="uk-UA"/>
        </w:rPr>
        <w:t xml:space="preserve">Триметоприм проходить через плацентарний бар’єр, проникає в молоко. Період напіврозпаду його в плазмі крові становить 8–10 годин. Метаболізується триметоприм у печінці до неактивних метаболітів на 10–20%. Нирками виводиться 50–60% триметоприму протягом 24 годин, 66,8% протягом 72 годин в основному шляхом клубочкової фільтрації і </w:t>
      </w:r>
      <w:r w:rsidRPr="00D437AB">
        <w:rPr>
          <w:rFonts w:ascii="Times New Roman" w:hAnsi="Times New Roman"/>
          <w:sz w:val="24"/>
          <w:szCs w:val="24"/>
          <w:lang w:val="uk-UA"/>
        </w:rPr>
        <w:t xml:space="preserve">канальцевої секреції, причому 80–90% — у незміненому вигляді, решта — у вигляді неактивних метаболітів. Невелика кількість </w:t>
      </w:r>
      <w:r>
        <w:rPr>
          <w:rFonts w:ascii="Times New Roman" w:hAnsi="Times New Roman"/>
          <w:sz w:val="24"/>
          <w:szCs w:val="24"/>
          <w:lang w:val="uk-UA"/>
        </w:rPr>
        <w:t xml:space="preserve">триметоприму </w:t>
      </w:r>
      <w:r w:rsidRPr="00D437AB">
        <w:rPr>
          <w:rFonts w:ascii="Times New Roman" w:hAnsi="Times New Roman"/>
          <w:sz w:val="24"/>
          <w:szCs w:val="24"/>
          <w:lang w:val="uk-UA"/>
        </w:rPr>
        <w:t xml:space="preserve">(4%) виводиться з жовчю. Виведення посилюється </w:t>
      </w:r>
      <w:r>
        <w:rPr>
          <w:rFonts w:ascii="Times New Roman" w:hAnsi="Times New Roman"/>
          <w:sz w:val="24"/>
          <w:szCs w:val="24"/>
          <w:lang w:val="uk-UA"/>
        </w:rPr>
        <w:t>за</w:t>
      </w:r>
      <w:r w:rsidRPr="00D437AB">
        <w:rPr>
          <w:rFonts w:ascii="Times New Roman" w:hAnsi="Times New Roman"/>
          <w:sz w:val="24"/>
          <w:szCs w:val="24"/>
          <w:lang w:val="uk-UA"/>
        </w:rPr>
        <w:t xml:space="preserve"> кисл</w:t>
      </w:r>
      <w:r>
        <w:rPr>
          <w:rFonts w:ascii="Times New Roman" w:hAnsi="Times New Roman"/>
          <w:sz w:val="24"/>
          <w:szCs w:val="24"/>
          <w:lang w:val="uk-UA"/>
        </w:rPr>
        <w:t>ої</w:t>
      </w:r>
      <w:r w:rsidRPr="00D437AB">
        <w:rPr>
          <w:rFonts w:ascii="Times New Roman" w:hAnsi="Times New Roman"/>
          <w:sz w:val="24"/>
          <w:szCs w:val="24"/>
          <w:lang w:val="uk-UA"/>
        </w:rPr>
        <w:t xml:space="preserve"> реакції сечі і слабшає </w:t>
      </w:r>
      <w:r>
        <w:rPr>
          <w:rFonts w:ascii="Times New Roman" w:hAnsi="Times New Roman"/>
          <w:sz w:val="24"/>
          <w:szCs w:val="24"/>
          <w:lang w:val="uk-UA"/>
        </w:rPr>
        <w:t>за</w:t>
      </w:r>
      <w:r w:rsidRPr="00D437AB">
        <w:rPr>
          <w:rFonts w:ascii="Times New Roman" w:hAnsi="Times New Roman"/>
          <w:sz w:val="24"/>
          <w:szCs w:val="24"/>
          <w:lang w:val="uk-UA"/>
        </w:rPr>
        <w:t xml:space="preserve"> лужн</w:t>
      </w:r>
      <w:r>
        <w:rPr>
          <w:rFonts w:ascii="Times New Roman" w:hAnsi="Times New Roman"/>
          <w:sz w:val="24"/>
          <w:szCs w:val="24"/>
          <w:lang w:val="uk-UA"/>
        </w:rPr>
        <w:t>ої</w:t>
      </w:r>
      <w:r w:rsidRPr="00D437AB">
        <w:rPr>
          <w:rFonts w:ascii="Times New Roman" w:hAnsi="Times New Roman"/>
          <w:sz w:val="24"/>
          <w:szCs w:val="24"/>
          <w:lang w:val="uk-UA"/>
        </w:rPr>
        <w:t>. Оскільки триметоприм і його метаболіти виводяться майже повністю нирками шляхом як клубочкової фільтрації, так і канальцевої секреції, їхня концентрація в сечі значно вища, ніж у крові.</w:t>
      </w:r>
    </w:p>
    <w:p w:rsidR="00BA6C55" w:rsidRPr="00D437AB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  <w:t>5. Клінічні особливості</w:t>
      </w:r>
    </w:p>
    <w:p w:rsidR="00BA6C55" w:rsidRPr="00D437AB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  <w:t>5.1 Вид тварин</w:t>
      </w:r>
    </w:p>
    <w:p w:rsidR="00BA6C55" w:rsidRPr="00D437AB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  <w:t xml:space="preserve">Свині, </w:t>
      </w:r>
      <w:r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  <w:t>велика рогата худоба (</w:t>
      </w:r>
      <w:r w:rsidRPr="00D437AB"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  <w:t>телята віком до 6 тижнів),</w:t>
      </w:r>
      <w:r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  <w:t xml:space="preserve"> вівці ( ягнята віком до 6 тижнів)</w:t>
      </w:r>
      <w:r w:rsidRPr="00D437AB"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  <w:t xml:space="preserve"> кролі, свійська птиця (кури-бройлери,</w:t>
      </w:r>
      <w:r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  <w:t xml:space="preserve"> гуси, індики,</w:t>
      </w:r>
      <w:r w:rsidRPr="00D437AB"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  <w:t xml:space="preserve"> качки).</w:t>
      </w:r>
    </w:p>
    <w:p w:rsidR="00BA6C55" w:rsidRPr="00D437AB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  <w:t>5.2 Показання до застосування</w:t>
      </w:r>
    </w:p>
    <w:p w:rsidR="00BA6C55" w:rsidRPr="00A14A0D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bookmarkStart w:id="1" w:name="_Hlk221396276"/>
      <w:r w:rsidRPr="00A14A0D">
        <w:rPr>
          <w:rFonts w:ascii="Times New Roman" w:hAnsi="Times New Roman"/>
          <w:color w:val="000000"/>
          <w:sz w:val="24"/>
          <w:szCs w:val="24"/>
          <w:lang w:val="uk-UA"/>
        </w:rPr>
        <w:t>Свині: лікування, тварин, хворих на дизентерію, колібактеріоз, пастерельоз,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A14A0D">
        <w:rPr>
          <w:rFonts w:ascii="Times New Roman" w:hAnsi="Times New Roman"/>
          <w:color w:val="000000"/>
          <w:sz w:val="24"/>
          <w:szCs w:val="24"/>
          <w:lang w:val="uk-UA"/>
        </w:rPr>
        <w:t>сальмонельоз, а також за захворювань травного каналу та органів дихання, що спричинені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A14A0D">
        <w:rPr>
          <w:rFonts w:ascii="Times New Roman" w:hAnsi="Times New Roman"/>
          <w:color w:val="000000"/>
          <w:sz w:val="24"/>
          <w:szCs w:val="24"/>
          <w:lang w:val="uk-UA"/>
        </w:rPr>
        <w:t>мікроорганізмами, чутливими до колістину, окситетрацикліну та триметоприму.</w:t>
      </w:r>
    </w:p>
    <w:p w:rsidR="00BA6C55" w:rsidRPr="00A14A0D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14A0D">
        <w:rPr>
          <w:rFonts w:ascii="Times New Roman" w:hAnsi="Times New Roman"/>
          <w:color w:val="000000"/>
          <w:sz w:val="24"/>
          <w:szCs w:val="24"/>
          <w:lang w:val="uk-UA"/>
        </w:rPr>
        <w:t>Телята та ягнята віком до 6 тижнів, кролі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: лі</w:t>
      </w:r>
      <w:r w:rsidRPr="00A14A0D">
        <w:rPr>
          <w:rFonts w:ascii="Times New Roman" w:hAnsi="Times New Roman"/>
          <w:color w:val="000000"/>
          <w:sz w:val="24"/>
          <w:szCs w:val="24"/>
          <w:lang w:val="uk-UA"/>
        </w:rPr>
        <w:t>кування тварин, хворих на ентерит, а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A14A0D">
        <w:rPr>
          <w:rFonts w:ascii="Times New Roman" w:hAnsi="Times New Roman"/>
          <w:color w:val="000000"/>
          <w:sz w:val="24"/>
          <w:szCs w:val="24"/>
          <w:lang w:val="uk-UA"/>
        </w:rPr>
        <w:t>також за захворювань органів дихання, що спричинені мікроорганізмами, чутливими до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A14A0D">
        <w:rPr>
          <w:rFonts w:ascii="Times New Roman" w:hAnsi="Times New Roman"/>
          <w:color w:val="000000"/>
          <w:sz w:val="24"/>
          <w:szCs w:val="24"/>
          <w:lang w:val="uk-UA"/>
        </w:rPr>
        <w:t>колістину, окситетрацикліну та триметоприму.</w:t>
      </w:r>
    </w:p>
    <w:p w:rsidR="00BA6C55" w:rsidRPr="008B312A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14A0D">
        <w:rPr>
          <w:rFonts w:ascii="Times New Roman" w:hAnsi="Times New Roman"/>
          <w:color w:val="000000"/>
          <w:sz w:val="24"/>
          <w:szCs w:val="24"/>
          <w:lang w:val="uk-UA"/>
        </w:rPr>
        <w:t>Свійська птиця (</w:t>
      </w:r>
      <w:r w:rsidRPr="00D437AB"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  <w:t>кури-бройлери,</w:t>
      </w:r>
      <w:r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  <w:t xml:space="preserve"> гуси, індики,</w:t>
      </w:r>
      <w:r w:rsidRPr="00D437AB"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  <w:t xml:space="preserve"> качки</w:t>
      </w:r>
      <w:r w:rsidRPr="00A14A0D">
        <w:rPr>
          <w:rFonts w:ascii="Times New Roman" w:hAnsi="Times New Roman"/>
          <w:color w:val="000000"/>
          <w:sz w:val="24"/>
          <w:szCs w:val="24"/>
          <w:lang w:val="uk-UA"/>
        </w:rPr>
        <w:t>): лікування птиці, хворої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A14A0D">
        <w:rPr>
          <w:rFonts w:ascii="Times New Roman" w:hAnsi="Times New Roman"/>
          <w:color w:val="000000"/>
          <w:sz w:val="24"/>
          <w:szCs w:val="24"/>
          <w:lang w:val="uk-UA"/>
        </w:rPr>
        <w:t>на мікоплазмоз, колібактеріоз, пастерельоз, а також за захворювань органів дихання, що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A14A0D">
        <w:rPr>
          <w:rFonts w:ascii="Times New Roman" w:hAnsi="Times New Roman"/>
          <w:color w:val="000000"/>
          <w:sz w:val="24"/>
          <w:szCs w:val="24"/>
          <w:lang w:val="uk-UA"/>
        </w:rPr>
        <w:t>спричинені мікроорганізмами, чутливими до колістину, окситетрацикліну та триметоприму.</w:t>
      </w:r>
    </w:p>
    <w:bookmarkEnd w:id="1"/>
    <w:p w:rsidR="00BA6C55" w:rsidRPr="00D437AB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  <w:t>5.3 Протипоказання</w:t>
      </w:r>
    </w:p>
    <w:p w:rsidR="00BA6C55" w:rsidRPr="00334B68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" w:name="_Hlk221396395"/>
      <w:r w:rsidRPr="00334B68">
        <w:rPr>
          <w:rFonts w:ascii="Times New Roman" w:hAnsi="Times New Roman"/>
          <w:sz w:val="24"/>
          <w:szCs w:val="24"/>
          <w:lang w:val="uk-UA"/>
        </w:rPr>
        <w:t>Не застосовувати тваринам із підвищеною чутливістю до діючих речовин препарату.</w:t>
      </w:r>
    </w:p>
    <w:p w:rsidR="00BA6C55" w:rsidRPr="00334B68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34B68">
        <w:rPr>
          <w:rFonts w:ascii="Times New Roman" w:hAnsi="Times New Roman"/>
          <w:sz w:val="24"/>
          <w:szCs w:val="24"/>
          <w:lang w:val="uk-UA"/>
        </w:rPr>
        <w:t>Не застосовувати тваринам із важкими порушеннями функції печінки та нирок, а також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34B68">
        <w:rPr>
          <w:rFonts w:ascii="Times New Roman" w:hAnsi="Times New Roman"/>
          <w:sz w:val="24"/>
          <w:szCs w:val="24"/>
          <w:lang w:val="uk-UA"/>
        </w:rPr>
        <w:t>жуйним тваринам із функціонально розвиненими передшлунками.</w:t>
      </w:r>
    </w:p>
    <w:p w:rsidR="00BA6C55" w:rsidRPr="00334B68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34B68">
        <w:rPr>
          <w:rFonts w:ascii="Times New Roman" w:hAnsi="Times New Roman"/>
          <w:sz w:val="24"/>
          <w:szCs w:val="24"/>
          <w:lang w:val="uk-UA"/>
        </w:rPr>
        <w:t>Не застосовувати свиноматкам під час лактації та в останній триместр супоросності.</w:t>
      </w:r>
    </w:p>
    <w:p w:rsidR="00BA6C55" w:rsidRPr="00334B68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34B68">
        <w:rPr>
          <w:rFonts w:ascii="Times New Roman" w:hAnsi="Times New Roman"/>
          <w:sz w:val="24"/>
          <w:szCs w:val="24"/>
          <w:lang w:val="uk-UA"/>
        </w:rPr>
        <w:t xml:space="preserve">Не застосовувати </w:t>
      </w:r>
      <w:r w:rsidR="005F5C6F">
        <w:rPr>
          <w:rFonts w:ascii="Times New Roman" w:hAnsi="Times New Roman"/>
          <w:sz w:val="24"/>
          <w:szCs w:val="24"/>
          <w:lang w:val="uk-UA"/>
        </w:rPr>
        <w:t>свійській птиці</w:t>
      </w:r>
      <w:r w:rsidRPr="00334B68">
        <w:rPr>
          <w:rFonts w:ascii="Times New Roman" w:hAnsi="Times New Roman"/>
          <w:sz w:val="24"/>
          <w:szCs w:val="24"/>
          <w:lang w:val="uk-UA"/>
        </w:rPr>
        <w:t>, яйця як</w:t>
      </w:r>
      <w:r w:rsidR="005F5C6F">
        <w:rPr>
          <w:rFonts w:ascii="Times New Roman" w:hAnsi="Times New Roman"/>
          <w:sz w:val="24"/>
          <w:szCs w:val="24"/>
          <w:lang w:val="uk-UA"/>
        </w:rPr>
        <w:t>ої</w:t>
      </w:r>
      <w:r w:rsidRPr="00334B68">
        <w:rPr>
          <w:rFonts w:ascii="Times New Roman" w:hAnsi="Times New Roman"/>
          <w:sz w:val="24"/>
          <w:szCs w:val="24"/>
          <w:lang w:val="uk-UA"/>
        </w:rPr>
        <w:t xml:space="preserve"> вживають в їжу люди.</w:t>
      </w:r>
    </w:p>
    <w:p w:rsidR="00BA6C55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34B68">
        <w:rPr>
          <w:rFonts w:ascii="Times New Roman" w:hAnsi="Times New Roman"/>
          <w:sz w:val="24"/>
          <w:szCs w:val="24"/>
          <w:lang w:val="uk-UA"/>
        </w:rPr>
        <w:t xml:space="preserve">Не застосовувати </w:t>
      </w:r>
      <w:r>
        <w:rPr>
          <w:rFonts w:ascii="Times New Roman" w:hAnsi="Times New Roman"/>
          <w:sz w:val="24"/>
          <w:szCs w:val="24"/>
          <w:lang w:val="uk-UA"/>
        </w:rPr>
        <w:t xml:space="preserve">одночасно з </w:t>
      </w:r>
      <w:r w:rsidRPr="00334B68">
        <w:rPr>
          <w:rFonts w:ascii="Times New Roman" w:hAnsi="Times New Roman"/>
          <w:sz w:val="24"/>
          <w:szCs w:val="24"/>
          <w:lang w:val="uk-UA"/>
        </w:rPr>
        <w:t>гідрокортизоном,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34B68">
        <w:rPr>
          <w:rFonts w:ascii="Times New Roman" w:hAnsi="Times New Roman"/>
          <w:sz w:val="24"/>
          <w:szCs w:val="24"/>
          <w:lang w:val="uk-UA"/>
        </w:rPr>
        <w:t>гепарином, дициленом,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34B68">
        <w:rPr>
          <w:rFonts w:ascii="Times New Roman" w:hAnsi="Times New Roman"/>
          <w:sz w:val="24"/>
          <w:szCs w:val="24"/>
          <w:lang w:val="uk-UA"/>
        </w:rPr>
        <w:t>цефалоспоринами, амфотерицинами та аміноглікозидами.</w:t>
      </w:r>
    </w:p>
    <w:p w:rsidR="00BA6C55" w:rsidRPr="00334B68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34B68">
        <w:rPr>
          <w:rFonts w:ascii="Times New Roman" w:hAnsi="Times New Roman"/>
          <w:sz w:val="24"/>
          <w:szCs w:val="24"/>
          <w:lang w:val="uk-UA"/>
        </w:rPr>
        <w:t>Не застосовувати</w:t>
      </w:r>
      <w:r>
        <w:rPr>
          <w:rFonts w:ascii="Times New Roman" w:hAnsi="Times New Roman"/>
          <w:sz w:val="24"/>
          <w:szCs w:val="24"/>
          <w:lang w:val="uk-UA"/>
        </w:rPr>
        <w:t xml:space="preserve"> з профілактичною метою.</w:t>
      </w:r>
    </w:p>
    <w:bookmarkEnd w:id="2"/>
    <w:p w:rsidR="00BA6C55" w:rsidRPr="00D437AB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  <w:t>5.4 Побічна дія</w:t>
      </w:r>
    </w:p>
    <w:p w:rsidR="00BA6C55" w:rsidRPr="00D437AB" w:rsidRDefault="00BA6C55" w:rsidP="00BA6C55">
      <w:pPr>
        <w:pStyle w:val="100"/>
        <w:spacing w:line="23" w:lineRule="atLeast"/>
      </w:pPr>
      <w:r>
        <w:t>За тривалого</w:t>
      </w:r>
      <w:r w:rsidRPr="00D437AB">
        <w:t xml:space="preserve"> використанн</w:t>
      </w:r>
      <w:r>
        <w:t>я</w:t>
      </w:r>
      <w:r w:rsidRPr="00D437AB">
        <w:t xml:space="preserve"> препарату можливі алергічні реакції (шкірні висипи, набряки, лихоманка, еозинофілія).</w:t>
      </w:r>
    </w:p>
    <w:p w:rsidR="00BA6C55" w:rsidRPr="00D437AB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  <w:t>5.5 Особливі застереження при використанні</w:t>
      </w:r>
    </w:p>
    <w:p w:rsidR="00BA6C55" w:rsidRPr="00FD2A1A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FD2A1A">
        <w:rPr>
          <w:rFonts w:ascii="Times New Roman" w:hAnsi="Times New Roman"/>
          <w:color w:val="000000"/>
          <w:sz w:val="24"/>
          <w:szCs w:val="24"/>
          <w:lang w:val="uk-UA"/>
        </w:rPr>
        <w:t>Застосування препарату повинно базуватись на визначенні чутливості мікроорганізмів-</w:t>
      </w:r>
    </w:p>
    <w:p w:rsidR="00BA6C55" w:rsidRPr="00FD2A1A" w:rsidRDefault="00BA6C55" w:rsidP="00BA6C55">
      <w:pPr>
        <w:suppressAutoHyphens/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FD2A1A">
        <w:rPr>
          <w:rFonts w:ascii="Times New Roman" w:hAnsi="Times New Roman"/>
          <w:color w:val="000000"/>
          <w:sz w:val="24"/>
          <w:szCs w:val="24"/>
          <w:lang w:val="uk-UA"/>
        </w:rPr>
        <w:t>збудників захворювання до діючих речовин препарату.</w:t>
      </w:r>
    </w:p>
    <w:p w:rsidR="00BA6C55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BA6C55" w:rsidRPr="00D437AB" w:rsidRDefault="00BA6C55" w:rsidP="00BA6C55">
      <w:pPr>
        <w:pStyle w:val="23"/>
        <w:tabs>
          <w:tab w:val="left" w:pos="1215"/>
          <w:tab w:val="right" w:pos="10321"/>
        </w:tabs>
        <w:spacing w:line="276" w:lineRule="auto"/>
        <w:ind w:firstLine="567"/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Продовження д</w:t>
      </w:r>
      <w:r w:rsidRPr="00D437AB">
        <w:rPr>
          <w:rFonts w:ascii="Times New Roman" w:hAnsi="Times New Roman"/>
          <w:sz w:val="24"/>
          <w:szCs w:val="24"/>
          <w:lang w:val="uk-UA"/>
        </w:rPr>
        <w:t>одаток</w:t>
      </w:r>
      <w:r>
        <w:rPr>
          <w:rFonts w:ascii="Times New Roman" w:hAnsi="Times New Roman"/>
          <w:sz w:val="24"/>
          <w:szCs w:val="24"/>
          <w:lang w:val="uk-UA"/>
        </w:rPr>
        <w:t>у</w:t>
      </w:r>
      <w:r w:rsidRPr="00D437AB">
        <w:rPr>
          <w:rFonts w:ascii="Times New Roman" w:hAnsi="Times New Roman"/>
          <w:sz w:val="24"/>
          <w:szCs w:val="24"/>
          <w:lang w:val="uk-UA"/>
        </w:rPr>
        <w:t xml:space="preserve"> 1</w:t>
      </w:r>
    </w:p>
    <w:p w:rsidR="00BA6C55" w:rsidRDefault="00BA6C55" w:rsidP="00BA6C55">
      <w:pPr>
        <w:pStyle w:val="100"/>
        <w:spacing w:line="23" w:lineRule="atLeast"/>
        <w:jc w:val="right"/>
        <w:rPr>
          <w:rFonts w:eastAsia="Times New Roman"/>
        </w:rPr>
      </w:pPr>
      <w:r w:rsidRPr="00D437AB">
        <w:rPr>
          <w:rFonts w:eastAsia="Times New Roman"/>
        </w:rPr>
        <w:t>до реєстраційного посвідчення AB-01008-01-10</w:t>
      </w:r>
    </w:p>
    <w:p w:rsidR="00BA6C55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BA6C55" w:rsidRPr="00FD2A1A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FD2A1A">
        <w:rPr>
          <w:rFonts w:ascii="Times New Roman" w:hAnsi="Times New Roman"/>
          <w:color w:val="000000"/>
          <w:sz w:val="24"/>
          <w:szCs w:val="24"/>
          <w:lang w:val="uk-UA"/>
        </w:rPr>
        <w:t>У гуманній медицині колістин призначають для лікування інфекцій, які спричинені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FD2A1A">
        <w:rPr>
          <w:rFonts w:ascii="Times New Roman" w:hAnsi="Times New Roman"/>
          <w:color w:val="000000"/>
          <w:sz w:val="24"/>
          <w:szCs w:val="24"/>
          <w:lang w:val="uk-UA"/>
        </w:rPr>
        <w:t>мульт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и</w:t>
      </w:r>
      <w:r w:rsidRPr="00FD2A1A">
        <w:rPr>
          <w:rFonts w:ascii="Times New Roman" w:hAnsi="Times New Roman"/>
          <w:color w:val="000000"/>
          <w:sz w:val="24"/>
          <w:szCs w:val="24"/>
          <w:lang w:val="uk-UA"/>
        </w:rPr>
        <w:t>резистентними бактеріями. Застосування препарату з порушенням інструкцій,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FD2A1A">
        <w:rPr>
          <w:rFonts w:ascii="Times New Roman" w:hAnsi="Times New Roman"/>
          <w:color w:val="000000"/>
          <w:sz w:val="24"/>
          <w:szCs w:val="24"/>
          <w:lang w:val="uk-UA"/>
        </w:rPr>
        <w:t>наведених в цій короткій характеристиці препарату, може привести до збільшення кількості</w:t>
      </w:r>
    </w:p>
    <w:p w:rsidR="00BA6C55" w:rsidRPr="00FD2A1A" w:rsidRDefault="00BA6C55" w:rsidP="00BA6C55">
      <w:pPr>
        <w:suppressAutoHyphens/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FD2A1A">
        <w:rPr>
          <w:rFonts w:ascii="Times New Roman" w:hAnsi="Times New Roman"/>
          <w:color w:val="000000"/>
          <w:sz w:val="24"/>
          <w:szCs w:val="24"/>
          <w:lang w:val="uk-UA"/>
        </w:rPr>
        <w:t>бактерій, резистентних до колістину, окситетрацикліну та триметоприму, що зменшує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FD2A1A">
        <w:rPr>
          <w:rFonts w:ascii="Times New Roman" w:hAnsi="Times New Roman"/>
          <w:color w:val="000000"/>
          <w:sz w:val="24"/>
          <w:szCs w:val="24"/>
          <w:lang w:val="uk-UA"/>
        </w:rPr>
        <w:t>ефективність лікування іншими протимікробними препаратами через наявність перехресної</w:t>
      </w:r>
    </w:p>
    <w:p w:rsidR="00BA6C55" w:rsidRDefault="00BA6C55" w:rsidP="00BA6C55">
      <w:pPr>
        <w:suppressAutoHyphens/>
        <w:spacing w:after="0" w:line="23" w:lineRule="atLeast"/>
        <w:jc w:val="both"/>
        <w:rPr>
          <w:rFonts w:ascii="Times New Roman" w:eastAsia="Times New Roman" w:hAnsi="Times New Roman"/>
          <w:b/>
          <w:color w:val="000000"/>
          <w:kern w:val="1"/>
          <w:sz w:val="24"/>
          <w:szCs w:val="24"/>
          <w:lang w:val="uk-UA" w:eastAsia="ar-S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резистентності</w:t>
      </w:r>
      <w:r w:rsidRPr="00FD2A1A">
        <w:rPr>
          <w:rFonts w:ascii="Times New Roman" w:hAnsi="Times New Roman"/>
          <w:color w:val="000000"/>
          <w:sz w:val="24"/>
          <w:szCs w:val="24"/>
          <w:lang w:val="uk-UA"/>
        </w:rPr>
        <w:t>.</w:t>
      </w:r>
      <w:r w:rsidRPr="00FD2A1A">
        <w:rPr>
          <w:rFonts w:ascii="Times New Roman" w:eastAsia="Times New Roman" w:hAnsi="Times New Roman"/>
          <w:b/>
          <w:color w:val="000000"/>
          <w:kern w:val="1"/>
          <w:sz w:val="24"/>
          <w:szCs w:val="24"/>
          <w:lang w:val="uk-UA" w:eastAsia="ar-SA"/>
        </w:rPr>
        <w:t xml:space="preserve"> </w:t>
      </w:r>
    </w:p>
    <w:p w:rsidR="00BA6C55" w:rsidRPr="00D437AB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  <w:t>5.6 Використання під час вагітності, лактації, несучості</w:t>
      </w:r>
    </w:p>
    <w:p w:rsidR="00BA6C55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  <w:t xml:space="preserve">Не застосовувати під час лактації та в останній третині вагітності. </w:t>
      </w:r>
    </w:p>
    <w:p w:rsidR="00BA6C55" w:rsidRPr="00FD2A1A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334B68">
        <w:rPr>
          <w:rFonts w:ascii="Times New Roman" w:hAnsi="Times New Roman"/>
          <w:sz w:val="24"/>
          <w:szCs w:val="24"/>
          <w:lang w:val="uk-UA"/>
        </w:rPr>
        <w:t xml:space="preserve">Не застосовувати курям-несучкам, яйця яких </w:t>
      </w:r>
      <w:r>
        <w:rPr>
          <w:rFonts w:ascii="Times New Roman" w:hAnsi="Times New Roman"/>
          <w:sz w:val="24"/>
          <w:szCs w:val="24"/>
          <w:lang w:val="uk-UA"/>
        </w:rPr>
        <w:t>використовують</w:t>
      </w:r>
      <w:r w:rsidRPr="00334B68">
        <w:rPr>
          <w:rFonts w:ascii="Times New Roman" w:hAnsi="Times New Roman"/>
          <w:sz w:val="24"/>
          <w:szCs w:val="24"/>
          <w:lang w:val="uk-UA"/>
        </w:rPr>
        <w:t xml:space="preserve"> в їжу люд</w:t>
      </w:r>
      <w:r>
        <w:rPr>
          <w:rFonts w:ascii="Times New Roman" w:hAnsi="Times New Roman"/>
          <w:sz w:val="24"/>
          <w:szCs w:val="24"/>
          <w:lang w:val="uk-UA"/>
        </w:rPr>
        <w:t>ям</w:t>
      </w:r>
      <w:r w:rsidRPr="00334B68">
        <w:rPr>
          <w:rFonts w:ascii="Times New Roman" w:hAnsi="Times New Roman"/>
          <w:sz w:val="24"/>
          <w:szCs w:val="24"/>
          <w:lang w:val="uk-UA"/>
        </w:rPr>
        <w:t>.</w:t>
      </w:r>
    </w:p>
    <w:p w:rsidR="00BA6C55" w:rsidRPr="00D437AB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  <w:t>5.7 Взаємодія з іншими засобами та інші форми взаємодії</w:t>
      </w:r>
    </w:p>
    <w:p w:rsidR="00BA6C55" w:rsidRPr="00D437AB" w:rsidRDefault="00BA6C55" w:rsidP="00BA6C55">
      <w:pPr>
        <w:pStyle w:val="100"/>
        <w:spacing w:line="23" w:lineRule="atLeast"/>
      </w:pPr>
      <w:r w:rsidRPr="00D437AB">
        <w:t>Препарат несумісний з хінолінами, пеніцилінами, гідрокортизоном, гепарином, дициленом, цефалоспоринами, препаратами амфотерицину та амiноглiкозидами.</w:t>
      </w:r>
    </w:p>
    <w:p w:rsidR="00BA6C55" w:rsidRPr="00D437AB" w:rsidRDefault="00BA6C55" w:rsidP="00BA6C55">
      <w:pPr>
        <w:pStyle w:val="100"/>
        <w:spacing w:line="23" w:lineRule="atLeast"/>
      </w:pPr>
      <w:r>
        <w:t>За</w:t>
      </w:r>
      <w:r w:rsidRPr="00D437AB">
        <w:t xml:space="preserve"> одночасно</w:t>
      </w:r>
      <w:r>
        <w:t>го застосування</w:t>
      </w:r>
      <w:r w:rsidRPr="00D437AB">
        <w:t xml:space="preserve"> з препаратами, що містять у складі дво- та тривалентні катіони, такі як Mg</w:t>
      </w:r>
      <w:r w:rsidRPr="00D437AB">
        <w:rPr>
          <w:vertAlign w:val="superscript"/>
        </w:rPr>
        <w:t>2+</w:t>
      </w:r>
      <w:r w:rsidRPr="00D437AB">
        <w:t>, Al</w:t>
      </w:r>
      <w:r w:rsidRPr="00D437AB">
        <w:rPr>
          <w:vertAlign w:val="superscript"/>
        </w:rPr>
        <w:t>3+</w:t>
      </w:r>
      <w:r w:rsidRPr="00D437AB">
        <w:t>, Ca</w:t>
      </w:r>
      <w:r w:rsidRPr="00D437AB">
        <w:rPr>
          <w:vertAlign w:val="superscript"/>
        </w:rPr>
        <w:t>2+</w:t>
      </w:r>
      <w:r w:rsidRPr="00D437AB">
        <w:t>, Zn</w:t>
      </w:r>
      <w:r w:rsidRPr="00D437AB">
        <w:rPr>
          <w:vertAlign w:val="superscript"/>
        </w:rPr>
        <w:t>2+</w:t>
      </w:r>
      <w:r w:rsidRPr="00D437AB">
        <w:t>, Bi</w:t>
      </w:r>
      <w:r w:rsidRPr="00D437AB">
        <w:rPr>
          <w:vertAlign w:val="superscript"/>
        </w:rPr>
        <w:t>2+</w:t>
      </w:r>
      <w:r w:rsidRPr="00D437AB">
        <w:t>, Fe</w:t>
      </w:r>
      <w:r w:rsidRPr="00D437AB">
        <w:rPr>
          <w:vertAlign w:val="superscript"/>
        </w:rPr>
        <w:t>3+</w:t>
      </w:r>
      <w:r w:rsidRPr="00D437AB">
        <w:t>, останні можуть зв’язуватися з окситетрацикліном та перешкоджати його абсорбції.</w:t>
      </w:r>
    </w:p>
    <w:p w:rsidR="00BA6C55" w:rsidRPr="006873F6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  <w:t>5.8 Дози і способи введення тваринам різного віку</w:t>
      </w:r>
    </w:p>
    <w:p w:rsidR="00BA6C55" w:rsidRPr="00D437AB" w:rsidRDefault="00BA6C55" w:rsidP="00BA6C55">
      <w:pPr>
        <w:pStyle w:val="100"/>
        <w:spacing w:line="23" w:lineRule="atLeast"/>
      </w:pPr>
      <w:bookmarkStart w:id="3" w:name="_Hlk221396318"/>
      <w:r w:rsidRPr="00D437AB">
        <w:t>Препарат застосовують перорально у таких дозах:</w:t>
      </w:r>
    </w:p>
    <w:p w:rsidR="00BA6C55" w:rsidRPr="00A01D55" w:rsidRDefault="00BA6C55" w:rsidP="00BA6C55">
      <w:pPr>
        <w:pStyle w:val="100"/>
        <w:spacing w:line="23" w:lineRule="atLeast"/>
      </w:pPr>
      <w:r w:rsidRPr="00A01D55">
        <w:t>поросята (груповий метод) - 1 г</w:t>
      </w:r>
      <w:r>
        <w:t xml:space="preserve"> </w:t>
      </w:r>
      <w:r w:rsidRPr="00A01D55">
        <w:t>препарату на 10 кг маси тіла тварини (що еквівалентно 500 000 МО колістину сульфату, 35 мг окситетрацикліну гідрохлориду, 27 мг триметоприму</w:t>
      </w:r>
      <w:r>
        <w:t xml:space="preserve"> </w:t>
      </w:r>
      <w:r w:rsidRPr="00AA5BED">
        <w:t>на 10 кг маси тіла тварини</w:t>
      </w:r>
      <w:r w:rsidRPr="00A01D55">
        <w:t>), 2 рази на добу з питною водою або замінником молока. Курс лікування - 5-7 діб;</w:t>
      </w:r>
    </w:p>
    <w:p w:rsidR="00BA6C55" w:rsidRPr="00AA5BED" w:rsidRDefault="00BA6C55" w:rsidP="00BA6C55">
      <w:pPr>
        <w:pStyle w:val="100"/>
        <w:spacing w:line="23" w:lineRule="atLeast"/>
      </w:pPr>
      <w:r w:rsidRPr="00AA5BED">
        <w:t>телята, ягнята віком до 6 тижнів (індивідуально) - 1 г препарату на 10 кг маси тіла (що еквівалентно 500 000 МО колістину сульфату, 35 мг окситетрацикліну гідрохлориду, 27 мг триметоприму на 10 кг маси тіла тварини) 2 рази на добу, з питною водою або замінником молока. Курс лікування - 5-7 діб;</w:t>
      </w:r>
    </w:p>
    <w:p w:rsidR="00BA6C55" w:rsidRPr="00447D0F" w:rsidRDefault="00BA6C55" w:rsidP="00BA6C55">
      <w:pPr>
        <w:pStyle w:val="100"/>
        <w:spacing w:line="23" w:lineRule="atLeast"/>
        <w:rPr>
          <w:color w:val="auto"/>
        </w:rPr>
      </w:pPr>
      <w:r w:rsidRPr="006A3099">
        <w:t>кролі, свійська птиця (</w:t>
      </w:r>
      <w:r w:rsidRPr="00D437AB">
        <w:rPr>
          <w:rFonts w:eastAsia="Times New Roman"/>
          <w:kern w:val="1"/>
          <w:lang w:eastAsia="ar-SA"/>
        </w:rPr>
        <w:t>кури-бройлери,</w:t>
      </w:r>
      <w:r>
        <w:rPr>
          <w:rFonts w:eastAsia="Times New Roman"/>
          <w:kern w:val="1"/>
          <w:lang w:eastAsia="ar-SA"/>
        </w:rPr>
        <w:t xml:space="preserve"> гуси, індики,</w:t>
      </w:r>
      <w:r w:rsidRPr="00D437AB">
        <w:rPr>
          <w:rFonts w:eastAsia="Times New Roman"/>
          <w:kern w:val="1"/>
          <w:lang w:eastAsia="ar-SA"/>
        </w:rPr>
        <w:t xml:space="preserve"> качки</w:t>
      </w:r>
      <w:r w:rsidRPr="006A3099">
        <w:t xml:space="preserve">) </w:t>
      </w:r>
      <w:r>
        <w:t xml:space="preserve">– </w:t>
      </w:r>
      <w:r w:rsidRPr="006A3099">
        <w:t xml:space="preserve">2 г препарату на 10 кг маси тіла (що еквівалентно 1 000 000 МО колістину сульфату, 70 мг окситетрацикліну гудрохлориду, 54 мг триметоприму на 10 кг маси тіла </w:t>
      </w:r>
      <w:r w:rsidRPr="00447D0F">
        <w:rPr>
          <w:color w:val="auto"/>
        </w:rPr>
        <w:t>тварини) з питною водою. Випоювати протягом доби. Курс лікування – 5 діб.</w:t>
      </w:r>
    </w:p>
    <w:bookmarkEnd w:id="3"/>
    <w:p w:rsidR="00BA6C55" w:rsidRPr="00447D0F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</w:pPr>
      <w:r w:rsidRPr="00447D0F"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  <w:t>5.9 Передозування (симптоми, невідкладні заходи, антидоти)</w:t>
      </w:r>
    </w:p>
    <w:p w:rsidR="00BA6C55" w:rsidRPr="00447D0F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</w:pPr>
      <w:r w:rsidRPr="00447D0F"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  <w:t xml:space="preserve">Діючі речовини препарату належать до малотоксичних сполук, але за підвищеної чутливості організму, надмірному збільшенні дозування або довготривалому курсі лікування вони також можуть призвести до побічних явищ, головним чином, у системі кровотворення і нирках. </w:t>
      </w:r>
    </w:p>
    <w:p w:rsidR="00BA6C55" w:rsidRPr="00D437AB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</w:pPr>
      <w:r w:rsidRPr="00447D0F"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  <w:t xml:space="preserve">За виявлення перших проявів побічної дії необхідно зменшити дозу препарату або зовсім його відмінити. Якщо токсичні прояви виражені сильніше, слід давати лужне пиття та сечогінні засоби. За змін у картині крові (агранулоцитозі, лейкопенії тощо) доцільно призначати нуклеїнову кислоту, препарати заліза, а також корми, </w:t>
      </w:r>
      <w:r w:rsidRPr="00D437AB"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  <w:t>багаті білками та вітамінами.</w:t>
      </w:r>
    </w:p>
    <w:p w:rsidR="00BA6C55" w:rsidRPr="00D437AB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  <w:t>5.10 Спеціальні застереження</w:t>
      </w:r>
    </w:p>
    <w:p w:rsidR="008E22DF" w:rsidRPr="00D437AB" w:rsidRDefault="00BA6C55" w:rsidP="00BA6C55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</w:pPr>
      <w:r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  <w:t>Відсутні.</w:t>
      </w:r>
    </w:p>
    <w:p w:rsidR="008E22DF" w:rsidRPr="00D437AB" w:rsidRDefault="008E22DF" w:rsidP="008E22DF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  <w:t>5.11 Період виведення (каренції)</w:t>
      </w:r>
    </w:p>
    <w:p w:rsidR="008E22DF" w:rsidRPr="00D437AB" w:rsidRDefault="008E22DF" w:rsidP="008E22DF">
      <w:pPr>
        <w:pStyle w:val="100"/>
        <w:spacing w:line="23" w:lineRule="atLeast"/>
        <w:rPr>
          <w:color w:val="auto"/>
        </w:rPr>
      </w:pPr>
      <w:r w:rsidRPr="00E32B16">
        <w:t xml:space="preserve">Після </w:t>
      </w:r>
      <w:r w:rsidR="00447D0F" w:rsidRPr="00E32B16">
        <w:t xml:space="preserve">останнього застосування препарату забій </w:t>
      </w:r>
      <w:r w:rsidR="00731B08" w:rsidRPr="00E32B16">
        <w:t>курей</w:t>
      </w:r>
      <w:r w:rsidR="00913ED5">
        <w:t>-бройлерів</w:t>
      </w:r>
      <w:r w:rsidR="00731B08" w:rsidRPr="00E32B16">
        <w:t xml:space="preserve"> на м'ясо дозволяється через 9 діб, </w:t>
      </w:r>
      <w:r w:rsidR="00447D0F" w:rsidRPr="00E32B16">
        <w:t>телят, ягнят свиней, кролів</w:t>
      </w:r>
      <w:r w:rsidR="00731B08" w:rsidRPr="00E32B16">
        <w:t>, свійської птиці (індики, гуси, качки) –</w:t>
      </w:r>
      <w:r w:rsidR="00447D0F" w:rsidRPr="00E32B16">
        <w:t xml:space="preserve"> через 10 діб.</w:t>
      </w:r>
      <w:r w:rsidR="00447D0F">
        <w:t xml:space="preserve"> </w:t>
      </w:r>
      <w:r w:rsidRPr="00D437AB">
        <w:t>М’ясо, отримане раніше вказаного терміну, утилізують або згодовують непродуктивним тваринам залежно від висновку лікаря ветеринарної медицини.</w:t>
      </w:r>
    </w:p>
    <w:p w:rsidR="008E22DF" w:rsidRPr="00D437AB" w:rsidRDefault="008E22DF" w:rsidP="008E22DF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b/>
          <w:bCs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b/>
          <w:bCs/>
          <w:kern w:val="1"/>
          <w:sz w:val="24"/>
          <w:szCs w:val="24"/>
          <w:lang w:val="uk-UA" w:eastAsia="ar-SA"/>
        </w:rPr>
        <w:t>5.12 Спеціальні застереження для осіб і обслуговуючого персоналу</w:t>
      </w:r>
    </w:p>
    <w:p w:rsidR="008E22DF" w:rsidRPr="00D437AB" w:rsidRDefault="008E22DF" w:rsidP="008E22DF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bCs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bCs/>
          <w:kern w:val="1"/>
          <w:sz w:val="24"/>
          <w:szCs w:val="24"/>
          <w:lang w:val="uk-UA" w:eastAsia="ar-SA"/>
        </w:rPr>
        <w:t>Дотримуватися правил роботи з ветеринарними препаратами.</w:t>
      </w:r>
    </w:p>
    <w:p w:rsidR="008E22DF" w:rsidRPr="00D437AB" w:rsidRDefault="008E22DF" w:rsidP="008E22DF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  <w:t>6. Фармацевтичні особливості</w:t>
      </w:r>
    </w:p>
    <w:p w:rsidR="008E22DF" w:rsidRPr="00D437AB" w:rsidRDefault="008E22DF" w:rsidP="008E22DF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b/>
          <w:bCs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b/>
          <w:bCs/>
          <w:kern w:val="1"/>
          <w:sz w:val="24"/>
          <w:szCs w:val="24"/>
          <w:lang w:val="uk-UA" w:eastAsia="ar-SA"/>
        </w:rPr>
        <w:t>6.1 Форми несумісності (основні)</w:t>
      </w:r>
    </w:p>
    <w:p w:rsidR="00CD1D60" w:rsidRDefault="00CD1D60" w:rsidP="0050466B">
      <w:pPr>
        <w:pStyle w:val="23"/>
        <w:tabs>
          <w:tab w:val="left" w:pos="1215"/>
          <w:tab w:val="right" w:pos="10321"/>
        </w:tabs>
        <w:spacing w:line="276" w:lineRule="auto"/>
        <w:ind w:firstLine="567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50466B" w:rsidRPr="00D437AB" w:rsidRDefault="0050466B" w:rsidP="0050466B">
      <w:pPr>
        <w:pStyle w:val="23"/>
        <w:tabs>
          <w:tab w:val="left" w:pos="1215"/>
          <w:tab w:val="right" w:pos="10321"/>
        </w:tabs>
        <w:spacing w:line="276" w:lineRule="auto"/>
        <w:ind w:firstLine="567"/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Продовження д</w:t>
      </w:r>
      <w:r w:rsidRPr="00D437AB">
        <w:rPr>
          <w:rFonts w:ascii="Times New Roman" w:hAnsi="Times New Roman"/>
          <w:sz w:val="24"/>
          <w:szCs w:val="24"/>
          <w:lang w:val="uk-UA"/>
        </w:rPr>
        <w:t>одаток</w:t>
      </w:r>
      <w:r>
        <w:rPr>
          <w:rFonts w:ascii="Times New Roman" w:hAnsi="Times New Roman"/>
          <w:sz w:val="24"/>
          <w:szCs w:val="24"/>
          <w:lang w:val="uk-UA"/>
        </w:rPr>
        <w:t>у</w:t>
      </w:r>
      <w:r w:rsidRPr="00D437AB">
        <w:rPr>
          <w:rFonts w:ascii="Times New Roman" w:hAnsi="Times New Roman"/>
          <w:sz w:val="24"/>
          <w:szCs w:val="24"/>
          <w:lang w:val="uk-UA"/>
        </w:rPr>
        <w:t xml:space="preserve"> 1</w:t>
      </w:r>
    </w:p>
    <w:p w:rsidR="0050466B" w:rsidRDefault="0050466B" w:rsidP="0050466B">
      <w:pPr>
        <w:pStyle w:val="100"/>
        <w:spacing w:line="23" w:lineRule="atLeast"/>
        <w:jc w:val="right"/>
        <w:rPr>
          <w:rFonts w:eastAsia="Times New Roman"/>
        </w:rPr>
      </w:pPr>
      <w:r w:rsidRPr="00D437AB">
        <w:rPr>
          <w:rFonts w:eastAsia="Times New Roman"/>
        </w:rPr>
        <w:t>до реєстраційного посвідчення AB-01008-01-10</w:t>
      </w:r>
    </w:p>
    <w:p w:rsidR="00CD1D60" w:rsidRPr="00D437AB" w:rsidRDefault="00CD1D60" w:rsidP="00CD1D60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  <w:t>Препарат несумісний із гідрокортизоном, гепарином, дициленом, цефалоспоринами, препаратами амфотерицину та аміноглікозидами.</w:t>
      </w:r>
    </w:p>
    <w:p w:rsidR="008E22DF" w:rsidRPr="00D437AB" w:rsidRDefault="008E22DF" w:rsidP="008E22DF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  <w:t>6.2 Термін придатності</w:t>
      </w:r>
    </w:p>
    <w:p w:rsidR="008E22DF" w:rsidRPr="00D437AB" w:rsidRDefault="008E22DF" w:rsidP="008E22DF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  <w:t>3 роки.</w:t>
      </w:r>
    </w:p>
    <w:p w:rsidR="008E22DF" w:rsidRPr="00D437AB" w:rsidRDefault="00D2099E" w:rsidP="008E22DF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</w:pPr>
      <w:bookmarkStart w:id="4" w:name="_Hlk221396906"/>
      <w:r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  <w:t>Препарат після змішування з кормом або розчинення у воді зберіганню не підлягає.</w:t>
      </w:r>
    </w:p>
    <w:bookmarkEnd w:id="4"/>
    <w:p w:rsidR="008E22DF" w:rsidRPr="00D437AB" w:rsidRDefault="008E22DF" w:rsidP="008E22DF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  <w:t>6.3 Особливі заходи зберігання</w:t>
      </w:r>
    </w:p>
    <w:p w:rsidR="008E22DF" w:rsidRPr="00D437AB" w:rsidRDefault="008E22DF" w:rsidP="008E22DF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kern w:val="1"/>
          <w:sz w:val="24"/>
          <w:szCs w:val="24"/>
          <w:lang w:val="uk-UA" w:eastAsia="ar-SA"/>
        </w:rPr>
        <w:t>Сухе темне, недоступне для дітей місце за температури від 8 до 25 ºС.</w:t>
      </w:r>
    </w:p>
    <w:p w:rsidR="008E22DF" w:rsidRPr="00D437AB" w:rsidRDefault="008E22DF" w:rsidP="008E22DF">
      <w:pPr>
        <w:suppressAutoHyphens/>
        <w:spacing w:after="0" w:line="23" w:lineRule="atLeast"/>
        <w:ind w:firstLine="567"/>
        <w:jc w:val="both"/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</w:pPr>
      <w:r w:rsidRPr="00D437AB">
        <w:rPr>
          <w:rFonts w:ascii="Times New Roman" w:eastAsia="Times New Roman" w:hAnsi="Times New Roman"/>
          <w:b/>
          <w:kern w:val="1"/>
          <w:sz w:val="24"/>
          <w:szCs w:val="24"/>
          <w:lang w:val="uk-UA" w:eastAsia="ar-SA"/>
        </w:rPr>
        <w:t>6.4 Природа і склад контейнера первинного упакування</w:t>
      </w:r>
    </w:p>
    <w:p w:rsidR="008E22DF" w:rsidRDefault="008E22DF" w:rsidP="008E22DF">
      <w:pPr>
        <w:pStyle w:val="11"/>
        <w:spacing w:before="0" w:after="0" w:line="23" w:lineRule="atLeast"/>
        <w:rPr>
          <w:lang w:eastAsia="uk-UA"/>
        </w:rPr>
      </w:pPr>
      <w:r>
        <w:t>Пакети або контейнери із полімерних матеріалів по 10, 20, 100</w:t>
      </w:r>
      <w:r w:rsidR="00D2099E">
        <w:t xml:space="preserve"> або </w:t>
      </w:r>
      <w:r>
        <w:t>1000 г.</w:t>
      </w:r>
    </w:p>
    <w:p w:rsidR="008E22DF" w:rsidRPr="00D437AB" w:rsidRDefault="008E22DF" w:rsidP="008E22DF">
      <w:pPr>
        <w:spacing w:after="0" w:line="23" w:lineRule="atLeast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D437AB">
        <w:rPr>
          <w:rFonts w:ascii="Times New Roman" w:eastAsia="Times New Roman" w:hAnsi="Times New Roman"/>
          <w:b/>
          <w:snapToGrid w:val="0"/>
          <w:sz w:val="24"/>
          <w:szCs w:val="24"/>
          <w:lang w:val="uk-UA"/>
        </w:rPr>
        <w:t>6.5. Особливі заходи безпеки при поводженні з невикористаним засобом або його залишками</w:t>
      </w:r>
    </w:p>
    <w:p w:rsidR="008E22DF" w:rsidRPr="00D437AB" w:rsidRDefault="008E22DF" w:rsidP="008E22DF">
      <w:pPr>
        <w:spacing w:after="0" w:line="23" w:lineRule="atLeast"/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val="uk-UA"/>
        </w:rPr>
      </w:pPr>
      <w:r w:rsidRPr="00D437AB">
        <w:rPr>
          <w:rFonts w:ascii="Times New Roman" w:eastAsia="Times New Roman" w:hAnsi="Times New Roman"/>
          <w:spacing w:val="-1"/>
          <w:sz w:val="24"/>
          <w:szCs w:val="24"/>
          <w:lang w:val="uk-UA"/>
        </w:rPr>
        <w:t>Порожню упаковку та залишки невикористаного препарату потрібно утилізувати згідно з чинним законодавством.</w:t>
      </w:r>
    </w:p>
    <w:p w:rsidR="008E22DF" w:rsidRPr="00D437AB" w:rsidRDefault="008E22DF" w:rsidP="008E22DF">
      <w:pPr>
        <w:spacing w:after="0" w:line="23" w:lineRule="atLeast"/>
        <w:ind w:firstLine="567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D437AB">
        <w:rPr>
          <w:rFonts w:ascii="Times New Roman" w:eastAsia="Times New Roman" w:hAnsi="Times New Roman"/>
          <w:b/>
          <w:sz w:val="24"/>
          <w:szCs w:val="24"/>
          <w:lang w:val="uk-UA"/>
        </w:rPr>
        <w:t>7. Назва та місцезнаходження власника реєстраційного посвідчення</w:t>
      </w:r>
    </w:p>
    <w:p w:rsidR="008E22DF" w:rsidRPr="00D437AB" w:rsidRDefault="008E22DF" w:rsidP="008E22DF">
      <w:pPr>
        <w:spacing w:after="0" w:line="23" w:lineRule="atLeast"/>
        <w:ind w:firstLine="567"/>
        <w:rPr>
          <w:rFonts w:ascii="Times New Roman" w:eastAsia="Times New Roman" w:hAnsi="Times New Roman"/>
          <w:sz w:val="24"/>
          <w:szCs w:val="24"/>
          <w:lang w:val="uk-UA"/>
        </w:rPr>
      </w:pPr>
      <w:r w:rsidRPr="00D437AB">
        <w:rPr>
          <w:rFonts w:ascii="Times New Roman" w:eastAsia="Times New Roman" w:hAnsi="Times New Roman"/>
          <w:sz w:val="24"/>
          <w:szCs w:val="24"/>
          <w:lang w:val="uk-UA"/>
        </w:rPr>
        <w:t xml:space="preserve">ТОВ "БРОВАФАРМА" </w:t>
      </w:r>
    </w:p>
    <w:p w:rsidR="00345722" w:rsidRPr="00D2099E" w:rsidRDefault="008E22DF" w:rsidP="00D2099E">
      <w:pPr>
        <w:spacing w:after="0" w:line="23" w:lineRule="atLeast"/>
        <w:ind w:firstLine="567"/>
        <w:rPr>
          <w:rFonts w:ascii="Times New Roman" w:eastAsia="Times New Roman" w:hAnsi="Times New Roman"/>
          <w:sz w:val="24"/>
          <w:szCs w:val="24"/>
          <w:lang w:val="uk-UA"/>
        </w:rPr>
      </w:pPr>
      <w:r w:rsidRPr="00D437AB">
        <w:rPr>
          <w:rFonts w:ascii="Times New Roman" w:eastAsia="Times New Roman" w:hAnsi="Times New Roman"/>
          <w:sz w:val="24"/>
          <w:szCs w:val="24"/>
          <w:lang w:val="uk-UA"/>
        </w:rPr>
        <w:t>б–р Незалежності 18-а, м. Бровари, Київська обл., 07400, Україна</w:t>
      </w:r>
    </w:p>
    <w:p w:rsidR="008E22DF" w:rsidRPr="00D437AB" w:rsidRDefault="008E22DF" w:rsidP="008E22DF">
      <w:pPr>
        <w:spacing w:after="0" w:line="23" w:lineRule="atLeast"/>
        <w:ind w:firstLine="567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D437AB">
        <w:rPr>
          <w:rFonts w:ascii="Times New Roman" w:eastAsia="Times New Roman" w:hAnsi="Times New Roman"/>
          <w:b/>
          <w:sz w:val="24"/>
          <w:szCs w:val="24"/>
          <w:lang w:val="uk-UA"/>
        </w:rPr>
        <w:t>8. Назва та місцезнаходження виробника (виробників)</w:t>
      </w:r>
    </w:p>
    <w:p w:rsidR="008E22DF" w:rsidRPr="00D437AB" w:rsidRDefault="008E22DF" w:rsidP="008E22DF">
      <w:pPr>
        <w:spacing w:after="0" w:line="23" w:lineRule="atLeast"/>
        <w:ind w:firstLine="567"/>
        <w:rPr>
          <w:rFonts w:ascii="Times New Roman" w:eastAsia="Times New Roman" w:hAnsi="Times New Roman"/>
          <w:sz w:val="24"/>
          <w:szCs w:val="24"/>
          <w:lang w:val="uk-UA"/>
        </w:rPr>
      </w:pPr>
      <w:r w:rsidRPr="00D437AB">
        <w:rPr>
          <w:rFonts w:ascii="Times New Roman" w:eastAsia="Times New Roman" w:hAnsi="Times New Roman"/>
          <w:sz w:val="24"/>
          <w:szCs w:val="24"/>
          <w:lang w:val="uk-UA"/>
        </w:rPr>
        <w:t xml:space="preserve">ТОВ "БРОВАФАРМА" </w:t>
      </w:r>
    </w:p>
    <w:p w:rsidR="008E22DF" w:rsidRPr="00D437AB" w:rsidRDefault="008E22DF" w:rsidP="008E22DF">
      <w:pPr>
        <w:spacing w:after="0" w:line="23" w:lineRule="atLeast"/>
        <w:ind w:firstLine="567"/>
        <w:rPr>
          <w:rFonts w:ascii="Times New Roman" w:eastAsia="Times New Roman" w:hAnsi="Times New Roman"/>
          <w:sz w:val="24"/>
          <w:szCs w:val="24"/>
          <w:lang w:val="uk-UA"/>
        </w:rPr>
      </w:pPr>
      <w:r w:rsidRPr="00D437AB">
        <w:rPr>
          <w:rFonts w:ascii="Times New Roman" w:eastAsia="Times New Roman" w:hAnsi="Times New Roman"/>
          <w:sz w:val="24"/>
          <w:szCs w:val="24"/>
          <w:lang w:val="uk-UA"/>
        </w:rPr>
        <w:t>б–р Незалежності 18-а, м. Бровари, Київська обл., 07400, Україна</w:t>
      </w:r>
    </w:p>
    <w:p w:rsidR="008E22DF" w:rsidRPr="00D437AB" w:rsidRDefault="008E22DF" w:rsidP="008E22DF">
      <w:pPr>
        <w:spacing w:after="0" w:line="23" w:lineRule="atLeast"/>
        <w:ind w:firstLine="567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D437AB">
        <w:rPr>
          <w:rFonts w:ascii="Times New Roman" w:eastAsia="Times New Roman" w:hAnsi="Times New Roman"/>
          <w:b/>
          <w:sz w:val="24"/>
          <w:szCs w:val="24"/>
          <w:lang w:val="uk-UA"/>
        </w:rPr>
        <w:t>9. Додаткова інформація</w:t>
      </w:r>
    </w:p>
    <w:p w:rsidR="00894ACE" w:rsidRDefault="00894ACE"/>
    <w:sectPr w:rsidR="00894ACE" w:rsidSect="00FD2A1A">
      <w:footerReference w:type="default" r:id="rId6"/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2C0" w:rsidRDefault="002B32C0" w:rsidP="002B32C0">
      <w:pPr>
        <w:spacing w:after="0" w:line="240" w:lineRule="auto"/>
      </w:pPr>
      <w:r>
        <w:separator/>
      </w:r>
    </w:p>
  </w:endnote>
  <w:endnote w:type="continuationSeparator" w:id="0">
    <w:p w:rsidR="002B32C0" w:rsidRDefault="002B32C0" w:rsidP="002B3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7343324"/>
      <w:docPartObj>
        <w:docPartGallery w:val="Page Numbers (Bottom of Page)"/>
        <w:docPartUnique/>
      </w:docPartObj>
    </w:sdtPr>
    <w:sdtContent>
      <w:p w:rsidR="002B32C0" w:rsidRDefault="002B32C0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B32C0" w:rsidRDefault="002B32C0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2C0" w:rsidRDefault="002B32C0" w:rsidP="002B32C0">
      <w:pPr>
        <w:spacing w:after="0" w:line="240" w:lineRule="auto"/>
      </w:pPr>
      <w:r>
        <w:separator/>
      </w:r>
    </w:p>
  </w:footnote>
  <w:footnote w:type="continuationSeparator" w:id="0">
    <w:p w:rsidR="002B32C0" w:rsidRDefault="002B32C0" w:rsidP="002B32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0175"/>
    <w:rsid w:val="000327E9"/>
    <w:rsid w:val="0003473E"/>
    <w:rsid w:val="000B0175"/>
    <w:rsid w:val="000B14AF"/>
    <w:rsid w:val="00111B8C"/>
    <w:rsid w:val="00180CE2"/>
    <w:rsid w:val="001860EA"/>
    <w:rsid w:val="001A28AA"/>
    <w:rsid w:val="001F1336"/>
    <w:rsid w:val="002B32C0"/>
    <w:rsid w:val="002D3268"/>
    <w:rsid w:val="00313BFE"/>
    <w:rsid w:val="00323EA1"/>
    <w:rsid w:val="00334B68"/>
    <w:rsid w:val="00345722"/>
    <w:rsid w:val="00366247"/>
    <w:rsid w:val="00385D38"/>
    <w:rsid w:val="003B6044"/>
    <w:rsid w:val="00447D0F"/>
    <w:rsid w:val="0050466B"/>
    <w:rsid w:val="0050716C"/>
    <w:rsid w:val="005113D3"/>
    <w:rsid w:val="005540E0"/>
    <w:rsid w:val="005C6E14"/>
    <w:rsid w:val="005F5C6F"/>
    <w:rsid w:val="00624553"/>
    <w:rsid w:val="006873F6"/>
    <w:rsid w:val="006A3099"/>
    <w:rsid w:val="00731B08"/>
    <w:rsid w:val="00881BBB"/>
    <w:rsid w:val="00894ACE"/>
    <w:rsid w:val="008B3D8F"/>
    <w:rsid w:val="008E22DF"/>
    <w:rsid w:val="00900B8D"/>
    <w:rsid w:val="00913AAF"/>
    <w:rsid w:val="00913ED5"/>
    <w:rsid w:val="00960751"/>
    <w:rsid w:val="00981B47"/>
    <w:rsid w:val="009A1102"/>
    <w:rsid w:val="009C0537"/>
    <w:rsid w:val="00A01D55"/>
    <w:rsid w:val="00A14A0D"/>
    <w:rsid w:val="00AA5392"/>
    <w:rsid w:val="00AA5BED"/>
    <w:rsid w:val="00AD3288"/>
    <w:rsid w:val="00B434CB"/>
    <w:rsid w:val="00B44F9C"/>
    <w:rsid w:val="00B874AE"/>
    <w:rsid w:val="00BA6C55"/>
    <w:rsid w:val="00BC4D66"/>
    <w:rsid w:val="00C46FA9"/>
    <w:rsid w:val="00CD1D60"/>
    <w:rsid w:val="00D2099E"/>
    <w:rsid w:val="00E32B16"/>
    <w:rsid w:val="00E90DBD"/>
    <w:rsid w:val="00F244DE"/>
    <w:rsid w:val="00F51F03"/>
    <w:rsid w:val="00FD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B02CBF1-F2BC-4CFF-B5CF-6CD90E85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45722"/>
    <w:pPr>
      <w:spacing w:after="200" w:line="276" w:lineRule="auto"/>
    </w:pPr>
    <w:rPr>
      <w:rFonts w:ascii="Calibri" w:eastAsia="Calibri" w:hAnsi="Calibri" w:cs="Times New Roman"/>
      <w:kern w:val="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0B017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0B017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017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017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017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uk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0175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0175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0175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0175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01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0B01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B01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B017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B017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B017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B017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B017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B017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B01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character" w:customStyle="1" w:styleId="a4">
    <w:name w:val="Название Знак"/>
    <w:basedOn w:val="a0"/>
    <w:link w:val="a3"/>
    <w:uiPriority w:val="10"/>
    <w:rsid w:val="000B01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B017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/>
    </w:rPr>
  </w:style>
  <w:style w:type="character" w:customStyle="1" w:styleId="a6">
    <w:name w:val="Подзаголовок Знак"/>
    <w:basedOn w:val="a0"/>
    <w:link w:val="a5"/>
    <w:uiPriority w:val="11"/>
    <w:rsid w:val="000B01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B017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/>
    </w:rPr>
  </w:style>
  <w:style w:type="character" w:customStyle="1" w:styleId="22">
    <w:name w:val="Цитата 2 Знак"/>
    <w:basedOn w:val="a0"/>
    <w:link w:val="21"/>
    <w:uiPriority w:val="29"/>
    <w:rsid w:val="000B017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B01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/>
    </w:rPr>
  </w:style>
  <w:style w:type="character" w:styleId="a8">
    <w:name w:val="Intense Emphasis"/>
    <w:basedOn w:val="a0"/>
    <w:uiPriority w:val="21"/>
    <w:qFormat/>
    <w:rsid w:val="000B017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B01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uk-UA"/>
    </w:rPr>
  </w:style>
  <w:style w:type="character" w:customStyle="1" w:styleId="aa">
    <w:name w:val="Выделенная цитата Знак"/>
    <w:basedOn w:val="a0"/>
    <w:link w:val="a9"/>
    <w:uiPriority w:val="30"/>
    <w:rsid w:val="000B017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B0175"/>
    <w:rPr>
      <w:b/>
      <w:bCs/>
      <w:smallCaps/>
      <w:color w:val="0F4761" w:themeColor="accent1" w:themeShade="BF"/>
      <w:spacing w:val="5"/>
    </w:rPr>
  </w:style>
  <w:style w:type="paragraph" w:customStyle="1" w:styleId="23">
    <w:name w:val="Знак Знак Знак Знак Знак Знак2"/>
    <w:basedOn w:val="a"/>
    <w:rsid w:val="008E22D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1 стиль"/>
    <w:basedOn w:val="a"/>
    <w:link w:val="12"/>
    <w:qFormat/>
    <w:rsid w:val="008E22DF"/>
    <w:pPr>
      <w:spacing w:before="120" w:after="120" w:line="240" w:lineRule="auto"/>
      <w:ind w:firstLine="709"/>
      <w:jc w:val="both"/>
    </w:pPr>
    <w:rPr>
      <w:rFonts w:ascii="Times New Roman" w:hAnsi="Times New Roman"/>
      <w:sz w:val="24"/>
      <w:szCs w:val="24"/>
      <w:lang w:val="uk-UA" w:eastAsia="ru-RU"/>
    </w:rPr>
  </w:style>
  <w:style w:type="character" w:customStyle="1" w:styleId="12">
    <w:name w:val="1 стиль Знак"/>
    <w:link w:val="11"/>
    <w:rsid w:val="008E22DF"/>
    <w:rPr>
      <w:rFonts w:ascii="Times New Roman" w:eastAsia="Calibri" w:hAnsi="Times New Roman" w:cs="Times New Roman"/>
      <w:kern w:val="0"/>
      <w:sz w:val="24"/>
      <w:szCs w:val="24"/>
      <w:lang w:eastAsia="ru-RU"/>
    </w:rPr>
  </w:style>
  <w:style w:type="paragraph" w:customStyle="1" w:styleId="100">
    <w:name w:val="10"/>
    <w:basedOn w:val="a"/>
    <w:link w:val="101"/>
    <w:qFormat/>
    <w:rsid w:val="008E22DF"/>
    <w:pPr>
      <w:spacing w:after="0" w:line="240" w:lineRule="auto"/>
      <w:ind w:firstLine="567"/>
      <w:jc w:val="both"/>
    </w:pPr>
    <w:rPr>
      <w:rFonts w:ascii="Times New Roman" w:hAnsi="Times New Roman"/>
      <w:color w:val="000000"/>
      <w:sz w:val="24"/>
      <w:szCs w:val="24"/>
      <w:lang w:val="uk-UA"/>
    </w:rPr>
  </w:style>
  <w:style w:type="character" w:customStyle="1" w:styleId="101">
    <w:name w:val="10 Знак"/>
    <w:basedOn w:val="a0"/>
    <w:link w:val="100"/>
    <w:rsid w:val="008E22DF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customStyle="1" w:styleId="ac">
    <w:name w:val="Знак Знак"/>
    <w:basedOn w:val="a"/>
    <w:rsid w:val="00A01D5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d">
    <w:name w:val="annotation reference"/>
    <w:basedOn w:val="a0"/>
    <w:uiPriority w:val="99"/>
    <w:semiHidden/>
    <w:unhideWhenUsed/>
    <w:rsid w:val="00AA539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A539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A5392"/>
    <w:rPr>
      <w:rFonts w:ascii="Calibri" w:eastAsia="Calibri" w:hAnsi="Calibri" w:cs="Times New Roman"/>
      <w:kern w:val="0"/>
      <w:sz w:val="20"/>
      <w:szCs w:val="20"/>
      <w:lang w:val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A539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A5392"/>
    <w:rPr>
      <w:rFonts w:ascii="Calibri" w:eastAsia="Calibri" w:hAnsi="Calibri" w:cs="Times New Roman"/>
      <w:b/>
      <w:bCs/>
      <w:kern w:val="0"/>
      <w:sz w:val="20"/>
      <w:szCs w:val="20"/>
      <w:lang w:val="ru-RU"/>
    </w:rPr>
  </w:style>
  <w:style w:type="paragraph" w:styleId="af2">
    <w:name w:val="Balloon Text"/>
    <w:basedOn w:val="a"/>
    <w:link w:val="af3"/>
    <w:uiPriority w:val="99"/>
    <w:semiHidden/>
    <w:unhideWhenUsed/>
    <w:rsid w:val="00AA5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A5392"/>
    <w:rPr>
      <w:rFonts w:ascii="Tahoma" w:eastAsia="Calibri" w:hAnsi="Tahoma" w:cs="Tahoma"/>
      <w:kern w:val="0"/>
      <w:sz w:val="16"/>
      <w:szCs w:val="16"/>
      <w:lang w:val="ru-RU"/>
    </w:rPr>
  </w:style>
  <w:style w:type="paragraph" w:styleId="af4">
    <w:name w:val="header"/>
    <w:basedOn w:val="a"/>
    <w:link w:val="af5"/>
    <w:uiPriority w:val="99"/>
    <w:unhideWhenUsed/>
    <w:rsid w:val="002B32C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B32C0"/>
    <w:rPr>
      <w:rFonts w:ascii="Calibri" w:eastAsia="Calibri" w:hAnsi="Calibri" w:cs="Times New Roman"/>
      <w:kern w:val="0"/>
      <w:lang w:val="ru-RU"/>
    </w:rPr>
  </w:style>
  <w:style w:type="paragraph" w:styleId="af6">
    <w:name w:val="footer"/>
    <w:basedOn w:val="a"/>
    <w:link w:val="af7"/>
    <w:uiPriority w:val="99"/>
    <w:unhideWhenUsed/>
    <w:rsid w:val="002B32C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B32C0"/>
    <w:rPr>
      <w:rFonts w:ascii="Calibri" w:eastAsia="Calibri" w:hAnsi="Calibri" w:cs="Times New Roman"/>
      <w:kern w:val="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1664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Тетяна Халус</dc:creator>
  <cp:lastModifiedBy>Vasyl</cp:lastModifiedBy>
  <cp:revision>13</cp:revision>
  <dcterms:created xsi:type="dcterms:W3CDTF">2026-02-18T08:55:00Z</dcterms:created>
  <dcterms:modified xsi:type="dcterms:W3CDTF">2026-02-20T13:54:00Z</dcterms:modified>
</cp:coreProperties>
</file>