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87E" w14:textId="77777777" w:rsidR="003D1372" w:rsidRPr="008D2E00" w:rsidRDefault="003D1372" w:rsidP="003D1372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Додаток 1</w:t>
      </w:r>
    </w:p>
    <w:p w14:paraId="404BC274" w14:textId="77777777" w:rsidR="003D1372" w:rsidRPr="008D2E00" w:rsidRDefault="003D1372" w:rsidP="003D1372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до реєстраційного посвідчення АВ-</w:t>
      </w:r>
      <w:r w:rsidRPr="008D2E00">
        <w:rPr>
          <w:rFonts w:ascii="Times New Roman" w:eastAsia="Times New Roman" w:hAnsi="Times New Roman"/>
          <w:sz w:val="24"/>
          <w:szCs w:val="24"/>
          <w:lang w:eastAsia="ru-RU"/>
        </w:rPr>
        <w:t>06256-01-16</w:t>
      </w:r>
    </w:p>
    <w:p w14:paraId="356FBD53" w14:textId="77777777" w:rsidR="003D1372" w:rsidRPr="008D2E00" w:rsidRDefault="003D1372" w:rsidP="003D1372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ABEE32F" w14:textId="77777777" w:rsidR="003D1372" w:rsidRPr="008D2E00" w:rsidRDefault="003D1372" w:rsidP="003D1372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Коротка характеристика препарату</w:t>
      </w:r>
    </w:p>
    <w:p w14:paraId="281E473C" w14:textId="77777777" w:rsidR="003D1372" w:rsidRPr="008D2E00" w:rsidRDefault="003D1372" w:rsidP="003D1372">
      <w:pPr>
        <w:tabs>
          <w:tab w:val="left" w:pos="567"/>
          <w:tab w:val="left" w:pos="2148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1. Назва</w:t>
      </w:r>
    </w:p>
    <w:p w14:paraId="2C9F9560" w14:textId="77777777" w:rsidR="003D1372" w:rsidRPr="008D2E00" w:rsidRDefault="003D1372" w:rsidP="003D1372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ДАЕ-віт</w:t>
      </w:r>
    </w:p>
    <w:p w14:paraId="01324FC8" w14:textId="77777777" w:rsidR="003D1372" w:rsidRPr="008D2E00" w:rsidRDefault="003D1372" w:rsidP="003D1372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2. Склад</w:t>
      </w:r>
    </w:p>
    <w:p w14:paraId="022B5F36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1 мл препарату містить діючі речовини:</w:t>
      </w:r>
    </w:p>
    <w:p w14:paraId="54F04CE5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567"/>
        <w:rPr>
          <w:rFonts w:ascii="Times New Roman" w:eastAsia="Times New Roman" w:hAnsi="Times New Roman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вітамін А </w:t>
      </w: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 xml:space="preserve">— </w:t>
      </w: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100 000 МО</w:t>
      </w: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>;</w:t>
      </w:r>
    </w:p>
    <w:p w14:paraId="21C2CDF6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567"/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вітамін D</w:t>
      </w:r>
      <w:r w:rsidRPr="008D2E00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uk" w:eastAsia="uk-UA"/>
        </w:rPr>
        <w:t>3</w:t>
      </w: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 xml:space="preserve"> — </w:t>
      </w: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40 000 МО</w:t>
      </w: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>;</w:t>
      </w:r>
    </w:p>
    <w:p w14:paraId="49641CA6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567"/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вітамін Е</w:t>
      </w: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 xml:space="preserve"> — </w:t>
      </w: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20,0 мг.</w:t>
      </w:r>
    </w:p>
    <w:p w14:paraId="20ABF4AF" w14:textId="77777777" w:rsidR="003D1372" w:rsidRPr="008D2E00" w:rsidRDefault="003D1372" w:rsidP="003D137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Допоміжні речовини: спирт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бензиловий</w:t>
      </w:r>
      <w:proofErr w:type="spellEnd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,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бутилгідрокситолуол</w:t>
      </w:r>
      <w:proofErr w:type="spellEnd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,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бутилгідроксіанізол</w:t>
      </w:r>
      <w:proofErr w:type="spellEnd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,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динатрію</w:t>
      </w:r>
      <w:proofErr w:type="spellEnd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едетат</w:t>
      </w:r>
      <w:proofErr w:type="spellEnd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 xml:space="preserve">, полісорбат-60, вода </w:t>
      </w:r>
      <w:proofErr w:type="spellStart"/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високоочищена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7FD69205" w14:textId="77777777" w:rsidR="003D1372" w:rsidRPr="008D2E00" w:rsidRDefault="003D1372" w:rsidP="003D1372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3. Фармацевтична (лікарська) форма</w:t>
      </w:r>
    </w:p>
    <w:p w14:paraId="65ACCFB6" w14:textId="77777777" w:rsidR="003D1372" w:rsidRPr="008D2E00" w:rsidRDefault="003D1372" w:rsidP="003D1372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Емульсія для ін’єкцій</w:t>
      </w:r>
      <w:r w:rsidRPr="008D2E00">
        <w:rPr>
          <w:rFonts w:ascii="Times New Roman" w:eastAsia="Times New Roman" w:hAnsi="Times New Roman"/>
          <w:bCs/>
          <w:sz w:val="24"/>
          <w:szCs w:val="24"/>
          <w:lang w:val="uk-UA"/>
        </w:rPr>
        <w:t>.</w:t>
      </w:r>
    </w:p>
    <w:p w14:paraId="31A969BC" w14:textId="77777777" w:rsidR="003D1372" w:rsidRPr="008D2E00" w:rsidRDefault="003D1372" w:rsidP="003D1372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4. Фармакологічні властивості</w:t>
      </w:r>
    </w:p>
    <w:p w14:paraId="4B4A2B5C" w14:textId="77777777" w:rsidR="003D1372" w:rsidRPr="00971D8B" w:rsidRDefault="003D1372" w:rsidP="003D1372">
      <w:pPr>
        <w:spacing w:after="0" w:line="360" w:lineRule="auto"/>
        <w:ind w:firstLine="567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</w:pPr>
      <w:proofErr w:type="spellStart"/>
      <w:r w:rsidRPr="00971D8B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АТСvet</w:t>
      </w:r>
      <w:proofErr w:type="spellEnd"/>
      <w:r w:rsidRPr="00971D8B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 xml:space="preserve"> класифікаційний код: QA11СВ </w:t>
      </w:r>
      <w:r w:rsidRPr="00971D8B">
        <w:rPr>
          <w:rFonts w:ascii="Times New Roman" w:eastAsia="Times New Roman" w:hAnsi="Times New Roman"/>
          <w:i/>
          <w:iCs/>
          <w:sz w:val="24"/>
          <w:szCs w:val="24"/>
          <w:lang w:val="uk-UA" w:eastAsia="uk-UA"/>
        </w:rPr>
        <w:t xml:space="preserve">— </w:t>
      </w:r>
      <w:r w:rsidRPr="00971D8B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uk-UA"/>
        </w:rPr>
        <w:t>Вітаміни А і D, включно з комбінаціями обидвох.</w:t>
      </w:r>
      <w:r w:rsidRPr="00971D8B">
        <w:rPr>
          <w:rFonts w:ascii="Arial" w:eastAsia="Arial" w:hAnsi="Arial" w:cs="Arial"/>
          <w:i/>
          <w:iCs/>
          <w:color w:val="000000"/>
          <w:sz w:val="24"/>
          <w:szCs w:val="24"/>
          <w:lang w:val="uk-UA" w:eastAsia="uk-UA"/>
        </w:rPr>
        <w:t xml:space="preserve"> </w:t>
      </w:r>
    </w:p>
    <w:p w14:paraId="776E4EFF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Комбінований препарат, що містить жиророзчинні вітаміни А, D₃ та Е у фізіологічно обґрунтованому співвідношенні. Комплексна дія препарату спрямована на нормалізацію обміну речовин, профілактику та лікування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гіповітамінозів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і патологічних станів, що розвиваються на їх тлі.</w:t>
      </w:r>
    </w:p>
    <w:p w14:paraId="5DD98006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Вітамін А бере участь в окисно-відновних процесах і регуляції обміну речовин, зокрема впливає на вуглеводний і жировий метаболізм. Є структурним компонентом ліпідного шару клітинних мембран, підтримує їхню цілісність, еластичність і регулює проникність. Забезпечує нормальний перебіг процесів диференціації епітелію, перешкоджає надмірній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кератинізації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 сприяє оптимальному засвоєнню кисню в тканинах. Відіграє ключову роль у підтриманні функцій органів зору, шкіри, дихальної та травної систем, а також репродуктивних органів. Стимулює сперматогенез та оогенез, розвиток ембріонів, синтез статевих гормонів і формування статевої зрілості.</w:t>
      </w:r>
    </w:p>
    <w:p w14:paraId="7C115BE4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Вітамін D</w:t>
      </w:r>
      <w:r w:rsidRPr="00971D8B">
        <w:rPr>
          <w:rFonts w:ascii="Times New Roman" w:eastAsia="Times New Roman" w:hAnsi="Times New Roman"/>
          <w:sz w:val="24"/>
          <w:szCs w:val="24"/>
          <w:vertAlign w:val="subscript"/>
          <w:lang w:val="uk-UA" w:eastAsia="uk-UA"/>
        </w:rPr>
        <w:t>3</w:t>
      </w: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є ключовим регулятором обміну кальцію та фосфору в організмі. Забезпечує їх ефективне всмоктування в кишечнику, підтримує фізіологічний рівень у крові та сприяє належній мінералізації кісткової тканини, що має вирішальне значення для формування і розвитку скелета.</w:t>
      </w:r>
    </w:p>
    <w:p w14:paraId="40FF2161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lastRenderedPageBreak/>
        <w:t>Підтримує оптимальне співвідношення кальцію і фосфору в організмі, бере участь у підтриманні мінерального гомеостазу, а при дефіциті кальцію в крові сприяє мобілізації його резервів із кісткової тканини.</w:t>
      </w:r>
    </w:p>
    <w:p w14:paraId="16B06147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Вітамін Е чинить виражену антиоксидантну дію, захищає клітинні мембрани від окисного пошкодження, сприяє стабілізації обміну жирів і білків, підтримує цілісність еритроцитів та попереджає їх гемоліз. Сприяє нормальному функціонуванню епітелію слизових оболонок, у тому числі репродуктивної системи, травного каналу та кон’юнктиви. У самців підтримує фізіологічний перебіг сперматогенезу та зменшує ймовірність утворення морфологічно змінених сперматозоїдів. У самок сприяє підвищенню запліднюваності та нормальному розвитку ембріона.</w:t>
      </w:r>
    </w:p>
    <w:p w14:paraId="0790AEDF" w14:textId="77777777" w:rsidR="003D1372" w:rsidRPr="00971D8B" w:rsidRDefault="003D1372" w:rsidP="003D1372">
      <w:pPr>
        <w:tabs>
          <w:tab w:val="left" w:pos="-426"/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Комбінація вітамінів А, D</w:t>
      </w:r>
      <w:r w:rsidRPr="00971D8B">
        <w:rPr>
          <w:rFonts w:ascii="Times New Roman" w:eastAsia="Times New Roman" w:hAnsi="Times New Roman"/>
          <w:sz w:val="24"/>
          <w:szCs w:val="24"/>
          <w:vertAlign w:val="subscript"/>
          <w:lang w:val="uk-UA" w:eastAsia="uk-UA"/>
        </w:rPr>
        <w:t>3</w:t>
      </w: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і Е підвищує природну резистентність організму, покращує загальний стан тварин, а також є ефективною для профілактики порушень мінерального обміну, зокрема рахіту й остеомаляції.</w:t>
      </w:r>
    </w:p>
    <w:p w14:paraId="54915ED4" w14:textId="77777777" w:rsidR="003D1372" w:rsidRPr="00971D8B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971D8B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 Клінічні особливості</w:t>
      </w:r>
    </w:p>
    <w:p w14:paraId="67EFBF3C" w14:textId="77777777" w:rsidR="003D1372" w:rsidRPr="00971D8B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971D8B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5.1 Вид тварин</w:t>
      </w:r>
    </w:p>
    <w:p w14:paraId="738840ED" w14:textId="77777777" w:rsidR="003D1372" w:rsidRPr="00971D8B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ru-RU"/>
        </w:rPr>
        <w:t>Велика рогата худоба, коні, свині, вівці, кози, собаки, кролі.</w:t>
      </w:r>
    </w:p>
    <w:p w14:paraId="4D2FC606" w14:textId="77777777" w:rsidR="003D1372" w:rsidRPr="00971D8B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971D8B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5.2 Показання до застосування</w:t>
      </w:r>
    </w:p>
    <w:p w14:paraId="3CCCACD2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Профілактика та лікування сільськогосподарських і дрібних домашніх тварин при:</w:t>
      </w:r>
    </w:p>
    <w:p w14:paraId="130EC98F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–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гіповітамінозах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 і D, у тому числі рахіті;</w:t>
      </w:r>
    </w:p>
    <w:p w14:paraId="3957418D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– аліментарній та вторинній остеодистрофії;</w:t>
      </w:r>
    </w:p>
    <w:p w14:paraId="637A8674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– післяродовій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гіпокальціємії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гіпофосфатемії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, перед- і післяродовому залежуванні;</w:t>
      </w:r>
    </w:p>
    <w:p w14:paraId="6E84EDE0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– затриманні посліду,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субінволюції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матки, порушеннях репродуктивної функції;</w:t>
      </w:r>
    </w:p>
    <w:p w14:paraId="7CA68D21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– переломах кісток, аліментарній дистрофії;</w:t>
      </w:r>
    </w:p>
    <w:p w14:paraId="1C81146A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–</w:t>
      </w: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ab/>
        <w:t xml:space="preserve">захворюваннях, що супроводжуються порушенням всмоктування та обміну вітамінів A, D, кальцію і фосфору (гастроентерит, гепатит,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гепатодистрофія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кетоз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гломерулонефрит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), а також при дефіциті мікроелементів (марганцю, кобальту) чи надлишку стронцію.</w:t>
      </w:r>
    </w:p>
    <w:p w14:paraId="1EF8EFDD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Рекомендовано у періоди підвищеної потреби в поживних речовинах — при стресах (транспортування, ветеринарні обробки, зміна раціону, теплове навантаження), під час високої продуктивності, вагітності (друга половина) та лактації, при зниженні приростів, погіршенні заплідненості, інкубаційних якостей яєць і міцності їхньої шкаралупи.</w:t>
      </w:r>
    </w:p>
    <w:p w14:paraId="4F16C474" w14:textId="77777777" w:rsidR="003D1372" w:rsidRPr="008D2E00" w:rsidRDefault="003D1372" w:rsidP="003D1372">
      <w:pPr>
        <w:shd w:val="clear" w:color="auto" w:fill="FFFFFF"/>
        <w:spacing w:after="0" w:line="360" w:lineRule="auto"/>
        <w:ind w:right="10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Препарат може застосовуватись у комплексній терапії як допоміжний засіб для підвищення загальної резистентності організму, підтримки імунних реакцій та зниження негативного впливу токсичних чинників</w:t>
      </w:r>
      <w:r w:rsidRPr="008D2E00">
        <w:rPr>
          <w:rFonts w:ascii="Times New Roman" w:eastAsia="Times New Roman" w:hAnsi="Times New Roman"/>
          <w:color w:val="000000"/>
          <w:spacing w:val="-4"/>
          <w:sz w:val="24"/>
          <w:szCs w:val="24"/>
          <w:lang w:val="uk-UA" w:eastAsia="ru-RU"/>
        </w:rPr>
        <w:t>.</w:t>
      </w:r>
    </w:p>
    <w:p w14:paraId="377B87CF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5.3 Протипоказання</w:t>
      </w:r>
    </w:p>
    <w:p w14:paraId="1915D8BC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Препарат не застосовувати одночасно з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кортикостероїдними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гормонами, глікозидами та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тетрациклінами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7628512D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lastRenderedPageBreak/>
        <w:t>5.4 Побічна дія</w:t>
      </w:r>
    </w:p>
    <w:p w14:paraId="03BF23FC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Даних немає.</w:t>
      </w:r>
    </w:p>
    <w:p w14:paraId="56D43F1B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5.5 Особливі застереження при використанні</w:t>
      </w:r>
    </w:p>
    <w:p w14:paraId="2785D05E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Не вводити в одне і те ж місце більше, ніж 10 мл препарату.</w:t>
      </w:r>
    </w:p>
    <w:p w14:paraId="53976CA8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5.6 Використання під час вагітності, лактації, несучості</w:t>
      </w:r>
    </w:p>
    <w:p w14:paraId="73303FF2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iCs/>
          <w:sz w:val="24"/>
          <w:szCs w:val="24"/>
          <w:lang w:val="uk-UA" w:eastAsia="ru-RU"/>
        </w:rPr>
        <w:t xml:space="preserve">Застосовують, переважно, у другій половині вагітності. </w:t>
      </w:r>
    </w:p>
    <w:p w14:paraId="1D121BBB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iCs/>
          <w:sz w:val="24"/>
          <w:szCs w:val="24"/>
          <w:lang w:val="uk-UA" w:eastAsia="ru-RU"/>
        </w:rPr>
        <w:t>Під час лактації та несучості — без обмежень.</w:t>
      </w:r>
    </w:p>
    <w:p w14:paraId="5ABE8F4D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5.7 Взаємодія з іншими засобами та інші форми взаємодії</w:t>
      </w:r>
    </w:p>
    <w:p w14:paraId="5B8C69EB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Препарат не застосовувати одночасно з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кортикостероїдними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гормонами, глікозидами та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тетрациклінами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34C83A42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5.8 Дози і способи введення тваринам різного віку</w:t>
      </w:r>
    </w:p>
    <w:p w14:paraId="006FC04F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Перед застосуванням емульсію збовтують.</w:t>
      </w:r>
    </w:p>
    <w:p w14:paraId="5A31515E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Для профілактики препарат вводять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внутрішньом’язово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або підшкірно 1 раз на 7 діб, курс для корів — 5–6 ін’єкцій, для інших тварин — 3–5 ін’єкцій. Для лікування вводять </w:t>
      </w:r>
      <w:proofErr w:type="spellStart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внутрішньом’язово</w:t>
      </w:r>
      <w:proofErr w:type="spellEnd"/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1 раз на 5 діб, курс — 5–8 ін’єкцій до повного одужання. У подальшому за необхідності використовують у профілактичних дозах.</w:t>
      </w:r>
    </w:p>
    <w:p w14:paraId="310B659B" w14:textId="77777777" w:rsidR="003D1372" w:rsidRPr="00971D8B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Дози препарату, розраховані за вмістом вітаміну D</w:t>
      </w:r>
      <w:r w:rsidRPr="00971D8B">
        <w:rPr>
          <w:rFonts w:ascii="Times New Roman" w:eastAsia="Times New Roman" w:hAnsi="Times New Roman"/>
          <w:sz w:val="24"/>
          <w:szCs w:val="24"/>
          <w:vertAlign w:val="subscript"/>
          <w:lang w:val="uk-UA" w:eastAsia="uk-UA"/>
        </w:rPr>
        <w:t>3</w:t>
      </w:r>
      <w:r w:rsidRPr="00971D8B">
        <w:rPr>
          <w:rFonts w:ascii="Times New Roman" w:eastAsia="Times New Roman" w:hAnsi="Times New Roman"/>
          <w:sz w:val="24"/>
          <w:szCs w:val="24"/>
          <w:lang w:val="uk-UA" w:eastAsia="uk-UA"/>
        </w:rPr>
        <w:t>, для різних видів тварин вказані в таблиці.</w:t>
      </w:r>
    </w:p>
    <w:tbl>
      <w:tblPr>
        <w:tblW w:w="9900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670"/>
        <w:gridCol w:w="2552"/>
      </w:tblGrid>
      <w:tr w:rsidR="003D1372" w:rsidRPr="00971D8B" w14:paraId="0FF00522" w14:textId="77777777" w:rsidTr="00F16EFA">
        <w:trPr>
          <w:trHeight w:val="322"/>
        </w:trPr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5C42D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  <w:t>Вид тварин</w:t>
            </w:r>
          </w:p>
        </w:tc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3B629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  <w:t>Доза, мл/тварину</w:t>
            </w:r>
          </w:p>
        </w:tc>
      </w:tr>
      <w:tr w:rsidR="003D1372" w:rsidRPr="00971D8B" w14:paraId="2C8266F3" w14:textId="77777777" w:rsidTr="00F16EFA">
        <w:trPr>
          <w:trHeight w:val="270"/>
        </w:trPr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1B2B6" w14:textId="77777777" w:rsidR="003D1372" w:rsidRPr="00971D8B" w:rsidRDefault="003D1372" w:rsidP="00F16EFA">
            <w:pPr>
              <w:spacing w:after="0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19CEE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  <w:t>профілактика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DFB67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b/>
                <w:bCs/>
                <w:color w:val="222222"/>
                <w:kern w:val="2"/>
                <w:sz w:val="24"/>
                <w:szCs w:val="24"/>
                <w:lang w:val="uk-UA" w:eastAsia="uk-UA"/>
              </w:rPr>
              <w:t>лікування</w:t>
            </w:r>
          </w:p>
        </w:tc>
      </w:tr>
      <w:tr w:rsidR="003D1372" w:rsidRPr="00971D8B" w14:paraId="5358B457" w14:textId="77777777" w:rsidTr="00F16EFA">
        <w:trPr>
          <w:trHeight w:val="245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44B86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Корови сухостійні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225F4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1,8–2,0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6C60C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2,5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4,0</w:t>
            </w:r>
          </w:p>
        </w:tc>
      </w:tr>
      <w:tr w:rsidR="003D1372" w:rsidRPr="00971D8B" w14:paraId="52AEBAA2" w14:textId="77777777" w:rsidTr="00F16EFA">
        <w:trPr>
          <w:trHeight w:val="262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B62B9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Корови дійні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70304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3,0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B5F95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3,5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5,0</w:t>
            </w:r>
          </w:p>
        </w:tc>
      </w:tr>
      <w:tr w:rsidR="003D1372" w:rsidRPr="00971D8B" w14:paraId="1C3317C5" w14:textId="77777777" w:rsidTr="00F16EFA">
        <w:trPr>
          <w:trHeight w:val="510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ABB16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Молодняк великої рогатої худоби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7F37D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1,0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1,2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br/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(на 100 кг маси тіла)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4DA9B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1,5–2,0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br/>
              <w:t>(на 100 кг маси тіла)</w:t>
            </w:r>
          </w:p>
        </w:tc>
      </w:tr>
      <w:tr w:rsidR="003D1372" w:rsidRPr="00971D8B" w14:paraId="2846DC0E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3A187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Бугаї-виробники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8A464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2,0–2,5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br/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(на 1000 кг маси тіла)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75CFC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5,0–6,0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br/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(на 1000 кг маси тіла)</w:t>
            </w:r>
          </w:p>
        </w:tc>
      </w:tr>
      <w:tr w:rsidR="003D1372" w:rsidRPr="00971D8B" w14:paraId="12DCD348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4DAE1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Кобили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жеребні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DC2C1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1,0–1,2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537DC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2,0</w:t>
            </w:r>
          </w:p>
        </w:tc>
      </w:tr>
      <w:tr w:rsidR="003D1372" w:rsidRPr="00971D8B" w14:paraId="5F832000" w14:textId="77777777" w:rsidTr="00F16EFA">
        <w:trPr>
          <w:trHeight w:val="262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23B43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Кобили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лактуючі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84578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DD50D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2,3–3,5</w:t>
            </w:r>
          </w:p>
        </w:tc>
      </w:tr>
      <w:tr w:rsidR="003D1372" w:rsidRPr="00971D8B" w14:paraId="2C092B7A" w14:textId="77777777" w:rsidTr="00F16EFA">
        <w:trPr>
          <w:trHeight w:val="201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F7664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Лошата в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і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ком 6–12 міс.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DC4BB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0EAB7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highlight w:val="yellow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1,0–1,5</w:t>
            </w:r>
          </w:p>
        </w:tc>
      </w:tr>
      <w:tr w:rsidR="003D1372" w:rsidRPr="00971D8B" w14:paraId="2FE480C7" w14:textId="77777777" w:rsidTr="00F16EFA">
        <w:trPr>
          <w:trHeight w:val="191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5AC40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Коні 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віком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 1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2 рок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E17A5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E13A6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highlight w:val="yellow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1,5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2,0</w:t>
            </w:r>
          </w:p>
        </w:tc>
      </w:tr>
      <w:tr w:rsidR="003D1372" w:rsidRPr="00971D8B" w14:paraId="3689315F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D11FB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Свиноматки в другій половині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супоросності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7B329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highlight w:val="yellow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0,4–0,5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0F1CD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highlight w:val="yellow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1,0–1,5</w:t>
            </w:r>
          </w:p>
        </w:tc>
      </w:tr>
      <w:tr w:rsidR="003D1372" w:rsidRPr="00971D8B" w14:paraId="214ACEF1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D291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Свиноматки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лактуючі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5E257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highlight w:val="yellow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0,5–0,6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8D908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1,5–2,8</w:t>
            </w:r>
          </w:p>
        </w:tc>
      </w:tr>
      <w:tr w:rsidR="003D1372" w:rsidRPr="00971D8B" w14:paraId="6EF74B03" w14:textId="77777777" w:rsidTr="00F16EFA">
        <w:trPr>
          <w:trHeight w:val="262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1AE85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Поросята з масою тіла 10–50 кг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0FC48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0,15–0,20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B3970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0,4–0,5</w:t>
            </w:r>
          </w:p>
        </w:tc>
      </w:tr>
      <w:tr w:rsidR="003D1372" w:rsidRPr="00971D8B" w14:paraId="3434002F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9D51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Вівцематки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кітні</w:t>
            </w:r>
            <w:proofErr w:type="spellEnd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0DD35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2F740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0,4–0,5</w:t>
            </w:r>
          </w:p>
        </w:tc>
      </w:tr>
      <w:tr w:rsidR="003D1372" w:rsidRPr="00971D8B" w14:paraId="46DC903E" w14:textId="77777777" w:rsidTr="00F16EFA">
        <w:trPr>
          <w:trHeight w:val="262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7CBD0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Вівцематки </w:t>
            </w:r>
            <w:proofErr w:type="spellStart"/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лактуючі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2C201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9793A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0,5–1,0</w:t>
            </w:r>
          </w:p>
        </w:tc>
      </w:tr>
      <w:tr w:rsidR="003D1372" w:rsidRPr="00971D8B" w14:paraId="23B33191" w14:textId="77777777" w:rsidTr="00F16EFA">
        <w:trPr>
          <w:trHeight w:val="248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68333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Ягнята, козенята в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і</w:t>
            </w: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>ком 4–6 міс.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40BDA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7793F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0,25</w:t>
            </w:r>
          </w:p>
        </w:tc>
      </w:tr>
      <w:tr w:rsidR="003D1372" w:rsidRPr="00971D8B" w14:paraId="43D02AE2" w14:textId="77777777" w:rsidTr="00F16EFA">
        <w:trPr>
          <w:trHeight w:val="325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14CB0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val="uk-UA" w:eastAsia="uk-UA"/>
              </w:rPr>
              <w:t xml:space="preserve">Кози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7BA93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0,15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D93E9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0,4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0,5</w:t>
            </w:r>
          </w:p>
        </w:tc>
      </w:tr>
      <w:tr w:rsidR="003D1372" w:rsidRPr="00971D8B" w14:paraId="573FF7FB" w14:textId="77777777" w:rsidTr="00F16EFA">
        <w:trPr>
          <w:trHeight w:val="121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A06C1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Кролі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1EE1C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87366" w14:textId="77777777" w:rsidR="003D1372" w:rsidRPr="00971D8B" w:rsidRDefault="003D1372" w:rsidP="00F16EFA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</w:t>
            </w:r>
          </w:p>
        </w:tc>
      </w:tr>
      <w:tr w:rsidR="003D1372" w:rsidRPr="00971D8B" w14:paraId="17DB8F07" w14:textId="77777777" w:rsidTr="00F16EFA">
        <w:trPr>
          <w:trHeight w:val="255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92F8D" w14:textId="77777777" w:rsidR="003D1372" w:rsidRPr="00971D8B" w:rsidRDefault="003D1372" w:rsidP="00F16EFA">
            <w:pPr>
              <w:spacing w:after="0" w:line="240" w:lineRule="auto"/>
              <w:ind w:left="30" w:right="30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Собаки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2061E" w14:textId="77777777" w:rsidR="003D1372" w:rsidRPr="00971D8B" w:rsidRDefault="003D1372" w:rsidP="00F16EFA">
            <w:pPr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0,1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19B31" w14:textId="77777777" w:rsidR="003D1372" w:rsidRPr="00971D8B" w:rsidRDefault="003D1372" w:rsidP="00F16EFA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</w:pP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0,2</w:t>
            </w:r>
            <w:r w:rsidRPr="00971D8B">
              <w:rPr>
                <w:rFonts w:ascii="Times New Roman" w:eastAsia="Times New Roman" w:hAnsi="Times New Roman"/>
                <w:kern w:val="2"/>
                <w:sz w:val="24"/>
                <w:szCs w:val="24"/>
                <w:lang w:val="uk-UA" w:eastAsia="uk-UA"/>
              </w:rPr>
              <w:t>–</w:t>
            </w:r>
            <w:r w:rsidRPr="00971D8B">
              <w:rPr>
                <w:rFonts w:ascii="Times New Roman" w:eastAsia="Times New Roman" w:hAnsi="Times New Roman"/>
                <w:color w:val="222222"/>
                <w:kern w:val="2"/>
                <w:sz w:val="24"/>
                <w:szCs w:val="24"/>
                <w:lang w:val="uk-UA" w:eastAsia="uk-UA"/>
              </w:rPr>
              <w:t>1,0</w:t>
            </w:r>
          </w:p>
        </w:tc>
      </w:tr>
    </w:tbl>
    <w:p w14:paraId="5D0ACC6B" w14:textId="77777777" w:rsidR="003D1372" w:rsidRPr="008D2E00" w:rsidRDefault="003D1372" w:rsidP="003D1372">
      <w:pPr>
        <w:widowControl w:val="0"/>
        <w:spacing w:before="240"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5.9 Передозування (симптоми, невідкладні заходи, антидоти)</w:t>
      </w:r>
    </w:p>
    <w:p w14:paraId="02510CA7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Даних немає.</w:t>
      </w:r>
    </w:p>
    <w:p w14:paraId="7A5F05BB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lastRenderedPageBreak/>
        <w:t>5.10 Спеціальні застереження</w:t>
      </w:r>
    </w:p>
    <w:p w14:paraId="2A6BD771" w14:textId="77777777" w:rsidR="003D1372" w:rsidRPr="008D2E00" w:rsidRDefault="003D1372" w:rsidP="003D1372">
      <w:pPr>
        <w:spacing w:after="0" w:line="360" w:lineRule="auto"/>
        <w:ind w:right="-180"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При застосуванні препарату раціони тварин необхідно збалансувати за вмістом кальцію, фосфору, цинку, кобальту, міді та марганцю.</w:t>
      </w:r>
    </w:p>
    <w:p w14:paraId="0634C1E0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5.11 Період виведення (</w:t>
      </w:r>
      <w:proofErr w:type="spellStart"/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каренції</w:t>
      </w:r>
      <w:proofErr w:type="spellEnd"/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)</w:t>
      </w:r>
    </w:p>
    <w:p w14:paraId="30FE6E37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Відсутній.</w:t>
      </w:r>
    </w:p>
    <w:p w14:paraId="2BD70488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5.12 Спеціальні застереження для осіб і обслуговуючого персоналу</w:t>
      </w:r>
    </w:p>
    <w:p w14:paraId="72D592FF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Відсутні.</w:t>
      </w:r>
    </w:p>
    <w:p w14:paraId="06752651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 Фармацевтичні особливості</w:t>
      </w:r>
    </w:p>
    <w:p w14:paraId="574BB7A2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6.1 Форми несумісності (основні)</w:t>
      </w:r>
    </w:p>
    <w:p w14:paraId="0ED0A343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Препарат не застосовувати одночасно з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кортикостероїдними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гормонами, глікозидами та </w:t>
      </w:r>
      <w:proofErr w:type="spellStart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тетрациклінами</w:t>
      </w:r>
      <w:proofErr w:type="spellEnd"/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7513F9E8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6.2 Термін придатності</w:t>
      </w:r>
    </w:p>
    <w:p w14:paraId="1A673ECE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180" w:firstLine="567"/>
        <w:jc w:val="both"/>
        <w:rPr>
          <w:rFonts w:ascii="Times New Roman" w:eastAsia="Times New Roman" w:hAnsi="Times New Roman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>2 роки.</w:t>
      </w:r>
    </w:p>
    <w:p w14:paraId="05E132B1" w14:textId="77777777" w:rsidR="003D1372" w:rsidRPr="008D2E00" w:rsidRDefault="003D1372" w:rsidP="003D1372">
      <w:pPr>
        <w:tabs>
          <w:tab w:val="right" w:pos="9354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" w:eastAsia="uk-UA"/>
        </w:rPr>
        <w:t>Після відкриття флакона препарат використати протягом 30 діб</w:t>
      </w: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2B625937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6.3 Особливі заходи зберігання</w:t>
      </w:r>
    </w:p>
    <w:p w14:paraId="77054D32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pacing w:val="3"/>
          <w:sz w:val="24"/>
          <w:szCs w:val="24"/>
          <w:lang w:val="uk-UA" w:eastAsia="ru-RU"/>
        </w:rPr>
        <w:t>В упакуванні виробника, у сухому, темному, недоступному для дітей місці за температури від 4 до 15 °С.</w:t>
      </w:r>
    </w:p>
    <w:p w14:paraId="216F7C8A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>6.4 Природа і склад контейнера первинного пакування</w:t>
      </w:r>
    </w:p>
    <w:p w14:paraId="4D0979E5" w14:textId="77777777" w:rsidR="003D1372" w:rsidRPr="008D2E00" w:rsidRDefault="003D1372" w:rsidP="003D137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sz w:val="24"/>
          <w:szCs w:val="24"/>
          <w:lang w:val="uk-UA" w:eastAsia="ru-RU"/>
        </w:rPr>
        <w:t>Флакони із темного скла з гумовими корками під алюмінієвою обкаткою по 20, 100 мл.</w:t>
      </w:r>
    </w:p>
    <w:p w14:paraId="7F963621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6.5 Особливі заходи безпеки при поводженні з невикористаним препаратом або із його залишками</w:t>
      </w:r>
    </w:p>
    <w:p w14:paraId="40A79E6D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/>
        </w:rPr>
      </w:pPr>
      <w:r w:rsidRPr="008D2E00">
        <w:rPr>
          <w:rFonts w:ascii="Times New Roman" w:eastAsia="Times New Roman" w:hAnsi="Times New Roman"/>
          <w:snapToGrid w:val="0"/>
          <w:sz w:val="24"/>
          <w:szCs w:val="24"/>
          <w:lang w:val="uk-UA"/>
        </w:rPr>
        <w:t>Невикористаний препарат або його залишки утилізують згідно з чинними вимогами.</w:t>
      </w:r>
    </w:p>
    <w:p w14:paraId="7975A0F9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7. Назва і місцезнаходження власника реєстраційного посвідчення</w:t>
      </w:r>
    </w:p>
    <w:p w14:paraId="30AD6772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ТОВ «БРОВАФАРМА»</w:t>
      </w:r>
    </w:p>
    <w:p w14:paraId="076644FA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б-р Незалежності, 18-а, м. Бровари, Київська обл., 07400, Україна</w:t>
      </w:r>
    </w:p>
    <w:p w14:paraId="7970E603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napToGrid w:val="0"/>
          <w:sz w:val="24"/>
          <w:szCs w:val="24"/>
          <w:lang w:val="uk-UA" w:eastAsia="ru-RU"/>
        </w:rPr>
        <w:t xml:space="preserve">8. </w:t>
      </w:r>
      <w:r w:rsidRPr="008D2E0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Назва і місцезнаходження виробника</w:t>
      </w:r>
    </w:p>
    <w:p w14:paraId="7B34EDF5" w14:textId="77777777" w:rsidR="003D1372" w:rsidRPr="008D2E00" w:rsidRDefault="003D1372" w:rsidP="003D13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ТОВ «БРОВАФАРМА»</w:t>
      </w:r>
    </w:p>
    <w:p w14:paraId="3899CD5C" w14:textId="77777777" w:rsidR="003D1372" w:rsidRPr="008D2E00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color w:val="000000"/>
          <w:sz w:val="24"/>
          <w:szCs w:val="24"/>
          <w:lang w:val="uk" w:eastAsia="uk-UA"/>
        </w:rPr>
        <w:t>б-р Незалежності, 18-а, м. Бровари, Київська обл., 07400, Україна</w:t>
      </w:r>
    </w:p>
    <w:p w14:paraId="7F6817E9" w14:textId="77777777" w:rsidR="003D1372" w:rsidRPr="00254F9C" w:rsidRDefault="003D1372" w:rsidP="003D137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8D2E0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Додаткова інформація</w:t>
      </w:r>
    </w:p>
    <w:p w14:paraId="377074CF" w14:textId="77777777" w:rsidR="00B00E9C" w:rsidRDefault="00B00E9C"/>
    <w:sectPr w:rsidR="00B00E9C" w:rsidSect="003D137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9C"/>
    <w:rsid w:val="003D1372"/>
    <w:rsid w:val="00B00E9C"/>
    <w:rsid w:val="00FD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C7FC5-8BC2-4EA0-ABA1-58A355C5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37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00E9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E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E9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E9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E9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E9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0E9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E9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E9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E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0E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0E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0E9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0E9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0E9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0E9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0E9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0E9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0E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00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0E9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00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0E9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uk-UA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00E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0E9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uk-UA"/>
      <w14:ligatures w14:val="standardContextual"/>
    </w:rPr>
  </w:style>
  <w:style w:type="character" w:styleId="aa">
    <w:name w:val="Intense Emphasis"/>
    <w:basedOn w:val="a0"/>
    <w:uiPriority w:val="21"/>
    <w:qFormat/>
    <w:rsid w:val="00B00E9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0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00E9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0E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4510</Words>
  <Characters>2572</Characters>
  <Application>Microsoft Office Word</Application>
  <DocSecurity>0</DocSecurity>
  <Lines>21</Lines>
  <Paragraphs>14</Paragraphs>
  <ScaleCrop>false</ScaleCrop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Кублова</dc:creator>
  <cp:keywords/>
  <dc:description/>
  <cp:lastModifiedBy>Анастасия Кублова</cp:lastModifiedBy>
  <cp:revision>2</cp:revision>
  <dcterms:created xsi:type="dcterms:W3CDTF">2026-02-12T13:13:00Z</dcterms:created>
  <dcterms:modified xsi:type="dcterms:W3CDTF">2026-02-12T13:14:00Z</dcterms:modified>
</cp:coreProperties>
</file>