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472C5" w14:textId="77777777" w:rsidR="00FA0BBA" w:rsidRPr="00872B4B" w:rsidRDefault="00FA0BBA" w:rsidP="00FA0BBA">
      <w:pPr>
        <w:spacing w:after="0"/>
        <w:jc w:val="right"/>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Додаток 1</w:t>
      </w:r>
    </w:p>
    <w:p w14:paraId="1EB3C4E9" w14:textId="77777777" w:rsidR="00FA0BBA" w:rsidRPr="00872B4B" w:rsidRDefault="00FA0BBA" w:rsidP="00FA0BBA">
      <w:pPr>
        <w:spacing w:after="0"/>
        <w:jc w:val="right"/>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до реєстраційного посвідчення АВ-05282-01-14</w:t>
      </w:r>
    </w:p>
    <w:p w14:paraId="7195F436" w14:textId="77777777" w:rsidR="00FA0BBA" w:rsidRPr="00872B4B" w:rsidRDefault="00FA0BBA" w:rsidP="00FA0BBA">
      <w:pPr>
        <w:spacing w:after="240"/>
        <w:ind w:firstLine="567"/>
        <w:jc w:val="right"/>
        <w:rPr>
          <w:rFonts w:ascii="Times New Roman" w:eastAsia="Times New Roman" w:hAnsi="Times New Roman"/>
          <w:sz w:val="24"/>
          <w:szCs w:val="24"/>
          <w:lang w:val="uk-UA" w:eastAsia="ru-RU"/>
        </w:rPr>
      </w:pPr>
    </w:p>
    <w:p w14:paraId="25A269FB" w14:textId="77777777" w:rsidR="00A368EF" w:rsidRPr="00872B4B" w:rsidRDefault="00A368EF" w:rsidP="00A368EF">
      <w:pPr>
        <w:spacing w:after="240"/>
        <w:ind w:firstLine="567"/>
        <w:jc w:val="right"/>
        <w:rPr>
          <w:rFonts w:ascii="Times New Roman" w:eastAsia="Times New Roman" w:hAnsi="Times New Roman"/>
          <w:sz w:val="24"/>
          <w:szCs w:val="24"/>
          <w:lang w:val="uk-UA" w:eastAsia="ru-RU"/>
        </w:rPr>
      </w:pPr>
    </w:p>
    <w:p w14:paraId="62C89547" w14:textId="77777777" w:rsidR="00A368EF" w:rsidRPr="00872B4B" w:rsidRDefault="00A368EF" w:rsidP="00A368EF">
      <w:pPr>
        <w:spacing w:before="240" w:after="240"/>
        <w:ind w:firstLine="567"/>
        <w:jc w:val="center"/>
        <w:rPr>
          <w:rFonts w:ascii="Times New Roman" w:eastAsia="Times New Roman" w:hAnsi="Times New Roman"/>
          <w:b/>
          <w:sz w:val="24"/>
          <w:szCs w:val="24"/>
          <w:lang w:val="uk-UA" w:eastAsia="ru-RU"/>
        </w:rPr>
      </w:pPr>
      <w:r w:rsidRPr="00872B4B">
        <w:rPr>
          <w:rFonts w:ascii="Times New Roman" w:eastAsia="Times New Roman" w:hAnsi="Times New Roman"/>
          <w:b/>
          <w:sz w:val="24"/>
          <w:szCs w:val="24"/>
          <w:lang w:val="uk-UA" w:eastAsia="ru-RU"/>
        </w:rPr>
        <w:t>Коротка характеристика препарату</w:t>
      </w:r>
      <w:bookmarkStart w:id="0" w:name="_GoBack"/>
      <w:bookmarkEnd w:id="0"/>
    </w:p>
    <w:p w14:paraId="4413AF7E" w14:textId="77777777" w:rsidR="00A368EF" w:rsidRPr="00872B4B" w:rsidRDefault="00A368EF" w:rsidP="00A368EF">
      <w:pPr>
        <w:tabs>
          <w:tab w:val="left" w:pos="567"/>
          <w:tab w:val="left" w:pos="2148"/>
        </w:tabs>
        <w:spacing w:after="0"/>
        <w:ind w:firstLine="567"/>
        <w:jc w:val="both"/>
        <w:rPr>
          <w:rFonts w:ascii="Times New Roman" w:eastAsia="Times New Roman" w:hAnsi="Times New Roman"/>
          <w:b/>
          <w:sz w:val="24"/>
          <w:szCs w:val="24"/>
          <w:lang w:val="uk-UA" w:eastAsia="ru-RU"/>
        </w:rPr>
      </w:pPr>
      <w:bookmarkStart w:id="1" w:name="_Hlk221876888"/>
      <w:r w:rsidRPr="00872B4B">
        <w:rPr>
          <w:rFonts w:ascii="Times New Roman" w:eastAsia="Times New Roman" w:hAnsi="Times New Roman"/>
          <w:b/>
          <w:sz w:val="24"/>
          <w:szCs w:val="24"/>
          <w:lang w:val="uk-UA" w:eastAsia="ru-RU"/>
        </w:rPr>
        <w:t>1. Назва</w:t>
      </w:r>
    </w:p>
    <w:p w14:paraId="4240416D" w14:textId="77777777" w:rsidR="00A368EF" w:rsidRPr="00872B4B" w:rsidRDefault="00A368EF" w:rsidP="00A368EF">
      <w:pPr>
        <w:tabs>
          <w:tab w:val="left" w:pos="567"/>
        </w:tabs>
        <w:spacing w:after="0"/>
        <w:ind w:firstLine="567"/>
        <w:jc w:val="both"/>
        <w:rPr>
          <w:rFonts w:ascii="Times New Roman" w:eastAsia="Times New Roman" w:hAnsi="Times New Roman"/>
          <w:bCs/>
          <w:sz w:val="24"/>
          <w:szCs w:val="24"/>
          <w:lang w:val="uk-UA" w:eastAsia="ru-RU"/>
        </w:rPr>
      </w:pPr>
      <w:r w:rsidRPr="00872B4B">
        <w:rPr>
          <w:rFonts w:ascii="Times New Roman" w:eastAsia="Times New Roman" w:hAnsi="Times New Roman"/>
          <w:sz w:val="24"/>
          <w:szCs w:val="24"/>
          <w:lang w:val="uk-UA" w:eastAsia="ru-RU"/>
        </w:rPr>
        <w:t>Лідокаїну гідрохлорид.</w:t>
      </w:r>
    </w:p>
    <w:p w14:paraId="361AC578" w14:textId="77777777" w:rsidR="00A368EF" w:rsidRPr="00872B4B" w:rsidRDefault="00A368EF" w:rsidP="00A368EF">
      <w:pPr>
        <w:tabs>
          <w:tab w:val="left" w:pos="567"/>
        </w:tabs>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2. Склад</w:t>
      </w:r>
    </w:p>
    <w:p w14:paraId="3C166263" w14:textId="77777777" w:rsidR="00A368EF" w:rsidRPr="00872B4B" w:rsidRDefault="00A368EF" w:rsidP="00A368EF">
      <w:pPr>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1 мл препарату містить діючу речовину (мг):</w:t>
      </w:r>
    </w:p>
    <w:p w14:paraId="41C948FB" w14:textId="77777777" w:rsidR="00A368EF" w:rsidRPr="00872B4B" w:rsidRDefault="00A368EF" w:rsidP="00A368EF">
      <w:pPr>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лідокаїну гідрохлорид – 20,0.</w:t>
      </w:r>
    </w:p>
    <w:p w14:paraId="620196EE" w14:textId="77777777" w:rsidR="00A368EF" w:rsidRPr="00872B4B" w:rsidRDefault="00A368EF" w:rsidP="00A368EF">
      <w:pPr>
        <w:spacing w:after="0"/>
        <w:ind w:firstLine="567"/>
        <w:jc w:val="both"/>
        <w:rPr>
          <w:rFonts w:ascii="Times New Roman" w:eastAsia="Times New Roman" w:hAnsi="Times New Roman"/>
          <w:bCs/>
          <w:sz w:val="24"/>
          <w:szCs w:val="24"/>
          <w:lang w:val="uk-UA"/>
        </w:rPr>
      </w:pPr>
      <w:r w:rsidRPr="00872B4B">
        <w:rPr>
          <w:rFonts w:ascii="Times New Roman" w:eastAsia="Times New Roman" w:hAnsi="Times New Roman"/>
          <w:sz w:val="24"/>
          <w:szCs w:val="24"/>
          <w:lang w:val="uk-UA" w:eastAsia="ru-RU"/>
        </w:rPr>
        <w:t>Допоміжні речовини: натрію хлорид для інфузій, вода високоочищена.</w:t>
      </w:r>
    </w:p>
    <w:p w14:paraId="720808D1" w14:textId="77777777" w:rsidR="00A368EF" w:rsidRPr="00872B4B" w:rsidRDefault="00A368EF" w:rsidP="00A368EF">
      <w:pPr>
        <w:tabs>
          <w:tab w:val="left" w:pos="567"/>
        </w:tabs>
        <w:spacing w:before="40"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3. Фармацевтична (лікарська) форма</w:t>
      </w:r>
    </w:p>
    <w:p w14:paraId="39472A65" w14:textId="77777777" w:rsidR="00A368EF" w:rsidRPr="00872B4B" w:rsidRDefault="00A368EF" w:rsidP="00A368EF">
      <w:pPr>
        <w:tabs>
          <w:tab w:val="left" w:pos="567"/>
        </w:tabs>
        <w:spacing w:before="40" w:after="0"/>
        <w:ind w:firstLine="567"/>
        <w:jc w:val="both"/>
        <w:rPr>
          <w:rFonts w:ascii="Times New Roman" w:eastAsia="Times New Roman" w:hAnsi="Times New Roman"/>
          <w:snapToGrid w:val="0"/>
          <w:sz w:val="24"/>
          <w:szCs w:val="24"/>
          <w:lang w:val="uk-UA" w:eastAsia="ru-RU"/>
        </w:rPr>
      </w:pPr>
      <w:r w:rsidRPr="00872B4B">
        <w:rPr>
          <w:rFonts w:ascii="Times New Roman" w:eastAsia="Times New Roman" w:hAnsi="Times New Roman"/>
          <w:sz w:val="24"/>
          <w:szCs w:val="24"/>
          <w:lang w:val="uk-UA" w:eastAsia="ru-RU"/>
        </w:rPr>
        <w:t>Розчин для ін’єкцій</w:t>
      </w:r>
      <w:r w:rsidRPr="00872B4B">
        <w:rPr>
          <w:rFonts w:ascii="Times New Roman" w:eastAsia="Times New Roman" w:hAnsi="Times New Roman"/>
          <w:bCs/>
          <w:sz w:val="24"/>
          <w:szCs w:val="24"/>
          <w:lang w:val="uk-UA"/>
        </w:rPr>
        <w:t>.</w:t>
      </w:r>
    </w:p>
    <w:p w14:paraId="7A3230E4" w14:textId="77777777" w:rsidR="00A368EF" w:rsidRPr="00872B4B" w:rsidRDefault="00A368EF" w:rsidP="00A368EF">
      <w:pPr>
        <w:tabs>
          <w:tab w:val="left" w:pos="567"/>
        </w:tabs>
        <w:spacing w:before="40"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4. Фармакологічні властивості</w:t>
      </w:r>
    </w:p>
    <w:p w14:paraId="728A909D" w14:textId="77777777" w:rsidR="00A368EF" w:rsidRPr="00872B4B" w:rsidRDefault="00A368EF" w:rsidP="00A368EF">
      <w:pPr>
        <w:widowControl w:val="0"/>
        <w:spacing w:after="0"/>
        <w:ind w:firstLine="567"/>
        <w:jc w:val="both"/>
        <w:rPr>
          <w:rFonts w:ascii="Times New Roman" w:eastAsia="Times New Roman" w:hAnsi="Times New Roman"/>
          <w:b/>
          <w:i/>
          <w:sz w:val="24"/>
          <w:szCs w:val="24"/>
          <w:lang w:val="uk-UA" w:eastAsia="ru-RU"/>
        </w:rPr>
      </w:pPr>
      <w:r w:rsidRPr="00872B4B">
        <w:rPr>
          <w:rFonts w:ascii="Times New Roman" w:eastAsia="Times New Roman" w:hAnsi="Times New Roman"/>
          <w:b/>
          <w:bCs/>
          <w:i/>
          <w:sz w:val="24"/>
          <w:szCs w:val="24"/>
          <w:lang w:val="uk-UA" w:eastAsia="ru-RU"/>
        </w:rPr>
        <w:t>АТС vet класифікаційний код:</w:t>
      </w:r>
      <w:r w:rsidRPr="00872B4B">
        <w:rPr>
          <w:rFonts w:ascii="Times New Roman" w:eastAsia="Times New Roman" w:hAnsi="Times New Roman"/>
          <w:b/>
          <w:i/>
          <w:sz w:val="24"/>
          <w:szCs w:val="24"/>
          <w:lang w:val="uk-UA" w:eastAsia="ru-RU"/>
        </w:rPr>
        <w:t xml:space="preserve"> </w:t>
      </w:r>
      <w:bookmarkStart w:id="2" w:name="_Hlk221874815"/>
      <w:r w:rsidRPr="00872B4B">
        <w:rPr>
          <w:rFonts w:ascii="Times New Roman" w:eastAsia="Times New Roman" w:hAnsi="Times New Roman"/>
          <w:b/>
          <w:i/>
          <w:sz w:val="24"/>
          <w:szCs w:val="24"/>
          <w:lang w:val="uk-UA" w:eastAsia="ru-RU"/>
        </w:rPr>
        <w:t>QN01B  – Анестетики локальної дії. QN01BB02 -Лідокаїн.</w:t>
      </w:r>
    </w:p>
    <w:bookmarkEnd w:id="2"/>
    <w:p w14:paraId="48DAC58E"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i/>
          <w:iCs/>
          <w:sz w:val="24"/>
          <w:szCs w:val="24"/>
          <w:lang w:val="uk-UA" w:eastAsia="ru-RU"/>
        </w:rPr>
        <w:t>Лідокаїну гідрохлорид</w:t>
      </w:r>
      <w:r w:rsidRPr="00872B4B">
        <w:rPr>
          <w:rFonts w:ascii="Times New Roman" w:eastAsia="Times New Roman" w:hAnsi="Times New Roman"/>
          <w:sz w:val="24"/>
          <w:szCs w:val="24"/>
          <w:lang w:val="uk-UA" w:eastAsia="ru-RU"/>
        </w:rPr>
        <w:t xml:space="preserve"> — це місцевий анестетик, який є похідним ацетаніліду, що належить до групи аміноамідних сполук. Механізм дії його полягає у стабілізації нейрональної мембрани, зниженні її проникності для іонів натрію, що перешкоджає виникненню потенціалу дії і проведенню імпульсів нервовими волокнами. Можливий антагонізм із іонами кальцію. Лідокаїн пригнічує проведення не лише больових імпульсів, але й імпульсів іншої модальності. Він швидко гідролізується в слаболужному середовищі тканин і після короткого латентного періоду діє впродовж 60-90 хвилин. Анестезуюча дія лідокаїну в 2-6 разів сильніша за дію прокаїну. За місцевого застосування він розширює судини, не чинить місцевої подразнюючої дії. При запальному процесі (тканинному ацидозі) анестезуюча активність лідокаїну знижується. Лідокаїну гідрохлорид ефективний при усіх видах місцевого знеболення, характеризується помірною вазодилятаційною і седативною дією, не спричинює подразнення тканин.</w:t>
      </w:r>
    </w:p>
    <w:p w14:paraId="0BD9AF6E"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 xml:space="preserve">За внутрішньом’язового введення максимальна концентрація лідокаїну в крові спостерігається через 5-15 хвилин. За місцевого застосування він всмоктується продовж 7-20 хвилин, залежно від дози і місця нанесення. Після введення розчину лідокаїну анестезуюча дія розпочинається через 2-5 хвилин і триває </w:t>
      </w:r>
      <w:bookmarkStart w:id="3" w:name="_Hlk221872479"/>
      <w:r w:rsidRPr="00872B4B">
        <w:rPr>
          <w:rFonts w:ascii="Times New Roman" w:eastAsia="Times New Roman" w:hAnsi="Times New Roman"/>
          <w:sz w:val="24"/>
          <w:szCs w:val="24"/>
          <w:lang w:val="uk-UA" w:eastAsia="ru-RU"/>
        </w:rPr>
        <w:t>від 60 до 90 хвилин</w:t>
      </w:r>
      <w:bookmarkEnd w:id="3"/>
      <w:r w:rsidRPr="00872B4B">
        <w:rPr>
          <w:rFonts w:ascii="Times New Roman" w:eastAsia="Times New Roman" w:hAnsi="Times New Roman"/>
          <w:sz w:val="24"/>
          <w:szCs w:val="24"/>
          <w:lang w:val="uk-UA" w:eastAsia="ru-RU"/>
        </w:rPr>
        <w:t xml:space="preserve">. </w:t>
      </w:r>
      <w:r w:rsidRPr="00872B4B">
        <w:rPr>
          <w:rFonts w:ascii="Times New Roman" w:eastAsia="Times New Roman" w:hAnsi="Times New Roman"/>
          <w:sz w:val="24"/>
          <w:szCs w:val="24"/>
          <w:lang w:eastAsia="ru-RU"/>
        </w:rPr>
        <w:t>У собак було визначено об'єм розподілу 1,67 л/кг маси тіла та період напіввиведення з плазми</w:t>
      </w:r>
      <w:r w:rsidRPr="00872B4B">
        <w:rPr>
          <w:rFonts w:ascii="Times New Roman" w:eastAsia="Times New Roman" w:hAnsi="Times New Roman"/>
          <w:sz w:val="24"/>
          <w:szCs w:val="24"/>
          <w:lang w:val="uk-UA" w:eastAsia="ru-RU"/>
        </w:rPr>
        <w:t xml:space="preserve"> – </w:t>
      </w:r>
      <w:r w:rsidRPr="00872B4B">
        <w:rPr>
          <w:rFonts w:ascii="Times New Roman" w:eastAsia="Times New Roman" w:hAnsi="Times New Roman"/>
          <w:sz w:val="24"/>
          <w:szCs w:val="24"/>
          <w:lang w:eastAsia="ru-RU"/>
        </w:rPr>
        <w:t>30 хвилин.</w:t>
      </w:r>
    </w:p>
    <w:p w14:paraId="392BD671"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Лідокаїн легко проходить через гістогематичні бар’єри, в тому числі плацентарний і гемоенцефалічний. У плазмі крові він зв’язується з білками крові на 50-80%. Метаболізується за участю мікросомальних ферментів печінки. Впродовж 4-5 годин після введення близько 90% лідокаїну виводиться нирками у формі метаболітів і до 10% — у незміненому вигляді.</w:t>
      </w:r>
    </w:p>
    <w:p w14:paraId="61CE91D4"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 Клінічні особливості</w:t>
      </w:r>
    </w:p>
    <w:p w14:paraId="4CBD579E"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5.1 Вид тварин</w:t>
      </w:r>
    </w:p>
    <w:p w14:paraId="16D72DEE" w14:textId="77777777" w:rsidR="00A368EF" w:rsidRPr="00872B4B" w:rsidRDefault="00A368EF" w:rsidP="00A368EF">
      <w:pPr>
        <w:spacing w:after="0"/>
        <w:ind w:firstLine="567"/>
        <w:jc w:val="both"/>
        <w:rPr>
          <w:rFonts w:ascii="Times New Roman" w:eastAsia="Times New Roman" w:hAnsi="Times New Roman"/>
          <w:snapToGrid w:val="0"/>
          <w:sz w:val="24"/>
          <w:szCs w:val="24"/>
          <w:lang w:val="uk-UA" w:eastAsia="ru-RU"/>
        </w:rPr>
      </w:pPr>
      <w:r w:rsidRPr="00872B4B">
        <w:rPr>
          <w:rFonts w:ascii="Times New Roman" w:eastAsia="Times New Roman" w:hAnsi="Times New Roman"/>
          <w:sz w:val="24"/>
          <w:szCs w:val="24"/>
          <w:lang w:val="uk-UA" w:eastAsia="ru-RU"/>
        </w:rPr>
        <w:t>Коні, собаки, коти.</w:t>
      </w:r>
    </w:p>
    <w:p w14:paraId="5809BBA8"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rPr>
      </w:pPr>
      <w:r w:rsidRPr="00872B4B">
        <w:rPr>
          <w:rFonts w:ascii="Times New Roman" w:eastAsia="Times New Roman" w:hAnsi="Times New Roman"/>
          <w:b/>
          <w:snapToGrid w:val="0"/>
          <w:sz w:val="24"/>
          <w:szCs w:val="24"/>
          <w:lang w:val="uk-UA"/>
        </w:rPr>
        <w:t>5.2 Показання до застосування</w:t>
      </w:r>
    </w:p>
    <w:p w14:paraId="0870FEB7"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 xml:space="preserve">Препарат застосовують коням для місцевої реґіонарної анестезії, собакам та котам — для всіх видів місцевої анестезії (поверхнева, інфільтраційна, провідникова, епідуральна, спинальна, внутрішньосуглобова), блокад периферичних нервів, нервових сплетінь за </w:t>
      </w:r>
      <w:r w:rsidRPr="00872B4B">
        <w:rPr>
          <w:rFonts w:ascii="Times New Roman" w:eastAsia="Times New Roman" w:hAnsi="Times New Roman"/>
          <w:sz w:val="24"/>
          <w:szCs w:val="24"/>
          <w:lang w:val="uk-UA" w:eastAsia="ru-RU"/>
        </w:rPr>
        <w:lastRenderedPageBreak/>
        <w:t>больових синдромів і гострих запальних процесів.</w:t>
      </w:r>
    </w:p>
    <w:p w14:paraId="71E86E6C"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5.3 Протипоказання</w:t>
      </w:r>
    </w:p>
    <w:p w14:paraId="7CE10B0F"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eastAsia="ru-RU"/>
        </w:rPr>
        <w:t xml:space="preserve">Не застосовувати препарат вагітним самкам. </w:t>
      </w:r>
      <w:r w:rsidRPr="00872B4B">
        <w:rPr>
          <w:rFonts w:ascii="Times New Roman" w:eastAsia="Times New Roman" w:hAnsi="Times New Roman"/>
          <w:sz w:val="24"/>
          <w:szCs w:val="24"/>
          <w:lang w:val="uk-UA" w:eastAsia="ru-RU"/>
        </w:rPr>
        <w:t>Заборонено використовувати для новонароджених тварин.</w:t>
      </w:r>
    </w:p>
    <w:p w14:paraId="607238F5"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застосовувати тваринам за підвищеної чутливості до лідокаїну або будь-якої з допоміжних речовин, або до інших амідних місцевоанестезуючих лікарських засобів.</w:t>
      </w:r>
    </w:p>
    <w:p w14:paraId="18FFE83F"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застосовувати при важких кровотечах або інфікуванні місць можливої ін’єкції.</w:t>
      </w:r>
    </w:p>
    <w:p w14:paraId="2C7D792D"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застосовувати при захворюваннях серцево-судинної системи або функціональній недостатності печінки, яка супроводжується зниженням печінкового кровотоку.</w:t>
      </w:r>
    </w:p>
    <w:p w14:paraId="649E8757"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5.4 Побічна дія</w:t>
      </w:r>
    </w:p>
    <w:p w14:paraId="30BB0633" w14:textId="45757A78" w:rsidR="00A368EF" w:rsidRPr="00872B4B" w:rsidRDefault="00FB5C9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За</w:t>
      </w:r>
      <w:r w:rsidR="00A368EF" w:rsidRPr="00872B4B">
        <w:rPr>
          <w:rFonts w:ascii="Times New Roman" w:eastAsia="Times New Roman" w:hAnsi="Times New Roman"/>
          <w:sz w:val="24"/>
          <w:szCs w:val="24"/>
          <w:lang w:val="uk-UA" w:eastAsia="ru-RU"/>
        </w:rPr>
        <w:t xml:space="preserve"> дотриманн</w:t>
      </w:r>
      <w:r w:rsidRPr="00872B4B">
        <w:rPr>
          <w:rFonts w:ascii="Times New Roman" w:eastAsia="Times New Roman" w:hAnsi="Times New Roman"/>
          <w:sz w:val="24"/>
          <w:szCs w:val="24"/>
          <w:lang w:val="uk-UA" w:eastAsia="ru-RU"/>
        </w:rPr>
        <w:t>я</w:t>
      </w:r>
      <w:r w:rsidR="00A368EF" w:rsidRPr="00872B4B">
        <w:rPr>
          <w:rFonts w:ascii="Times New Roman" w:eastAsia="Times New Roman" w:hAnsi="Times New Roman"/>
          <w:sz w:val="24"/>
          <w:szCs w:val="24"/>
          <w:lang w:val="uk-UA" w:eastAsia="ru-RU"/>
        </w:rPr>
        <w:t xml:space="preserve"> терапевтичних доз побічну дію не спостерігають.</w:t>
      </w:r>
    </w:p>
    <w:p w14:paraId="11E99418"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Однак, з боку нервової системи та органів чуття інколи можливі пригнічення або збудження, дезорієнтація, блювання, пітливість, порушення зору, тремор, судоми, пригнічення дихання, апное.</w:t>
      </w:r>
    </w:p>
    <w:p w14:paraId="48E30DB9"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Можливе зниження або підвищення</w:t>
      </w:r>
      <w:r w:rsidRPr="00872B4B">
        <w:rPr>
          <w:lang w:val="uk-UA"/>
        </w:rPr>
        <w:t xml:space="preserve"> </w:t>
      </w:r>
      <w:r w:rsidRPr="00872B4B">
        <w:rPr>
          <w:rFonts w:ascii="Times New Roman" w:eastAsia="Times New Roman" w:hAnsi="Times New Roman"/>
          <w:sz w:val="24"/>
          <w:szCs w:val="24"/>
          <w:lang w:val="uk-UA" w:eastAsia="ru-RU"/>
        </w:rPr>
        <w:t>артеріального тиску, брадикардія, аритмія, гіперглікемія, шок або зупинка серця. </w:t>
      </w:r>
    </w:p>
    <w:p w14:paraId="4992441A"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Інколи можуть виникати алергічні реакції на введення препарату.</w:t>
      </w:r>
    </w:p>
    <w:p w14:paraId="0B4B87BE"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Ці побічні прояви можуть виникати лише після введення великих доз препарату.</w:t>
      </w:r>
    </w:p>
    <w:p w14:paraId="6BA345E2"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5.5 Особливі застереження при використанні</w:t>
      </w:r>
    </w:p>
    <w:p w14:paraId="71BCE257"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Призначати з обережністю тваринам із захворюваннями печінки, застійною серцевою недостатністю, цукровим діабетом, у стані шоку і гіповолемії з вираженим пригніченням дихання або гіпоксією. </w:t>
      </w:r>
    </w:p>
    <w:p w14:paraId="76440B87"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Препарат не змішувати з іншими лікарськими засобами в одному шприці. </w:t>
      </w:r>
    </w:p>
    <w:p w14:paraId="2B7B37D9" w14:textId="20891EC6" w:rsidR="00A368EF" w:rsidRPr="00872B4B" w:rsidRDefault="00225EFC"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За</w:t>
      </w:r>
      <w:r w:rsidR="00A368EF" w:rsidRPr="00872B4B">
        <w:rPr>
          <w:rFonts w:ascii="Times New Roman" w:eastAsia="Times New Roman" w:hAnsi="Times New Roman"/>
          <w:sz w:val="24"/>
          <w:szCs w:val="24"/>
          <w:lang w:val="uk-UA" w:eastAsia="ru-RU"/>
        </w:rPr>
        <w:t xml:space="preserve"> потраплянн</w:t>
      </w:r>
      <w:r w:rsidRPr="00872B4B">
        <w:rPr>
          <w:rFonts w:ascii="Times New Roman" w:eastAsia="Times New Roman" w:hAnsi="Times New Roman"/>
          <w:sz w:val="24"/>
          <w:szCs w:val="24"/>
          <w:lang w:val="uk-UA" w:eastAsia="ru-RU"/>
        </w:rPr>
        <w:t>я</w:t>
      </w:r>
      <w:r w:rsidR="00A368EF" w:rsidRPr="00872B4B">
        <w:rPr>
          <w:rFonts w:ascii="Times New Roman" w:eastAsia="Times New Roman" w:hAnsi="Times New Roman"/>
          <w:sz w:val="24"/>
          <w:szCs w:val="24"/>
          <w:lang w:val="uk-UA" w:eastAsia="ru-RU"/>
        </w:rPr>
        <w:t xml:space="preserve"> голки в судину, а лідокаїну в кров — можливе виникнення колапсу. </w:t>
      </w:r>
      <w:r w:rsidR="000322D1" w:rsidRPr="00872B4B">
        <w:rPr>
          <w:rFonts w:ascii="Times New Roman" w:eastAsia="Times New Roman" w:hAnsi="Times New Roman"/>
          <w:sz w:val="24"/>
          <w:szCs w:val="24"/>
          <w:lang w:val="uk-UA" w:eastAsia="ru-RU"/>
        </w:rPr>
        <w:t>У</w:t>
      </w:r>
      <w:r w:rsidR="00A368EF" w:rsidRPr="00872B4B">
        <w:rPr>
          <w:rFonts w:ascii="Times New Roman" w:eastAsia="Times New Roman" w:hAnsi="Times New Roman"/>
          <w:sz w:val="24"/>
          <w:szCs w:val="24"/>
          <w:lang w:val="uk-UA" w:eastAsia="ru-RU"/>
        </w:rPr>
        <w:t xml:space="preserve"> такому випадку з лікувальною та профілактичною метою застосовують судинозвужувальні та серцеві засоби.</w:t>
      </w:r>
    </w:p>
    <w:p w14:paraId="311A58C6"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5.6 Використання під час вагітності, лактації</w:t>
      </w:r>
    </w:p>
    <w:p w14:paraId="5ACC6EB5" w14:textId="77777777" w:rsidR="00A368EF" w:rsidRPr="00872B4B" w:rsidRDefault="00A368EF" w:rsidP="00A368EF">
      <w:pPr>
        <w:widowControl w:val="0"/>
        <w:spacing w:after="0"/>
        <w:ind w:firstLine="567"/>
        <w:jc w:val="both"/>
        <w:rPr>
          <w:rFonts w:ascii="Times New Roman" w:eastAsia="Times New Roman" w:hAnsi="Times New Roman"/>
          <w:iCs/>
          <w:sz w:val="24"/>
          <w:szCs w:val="24"/>
          <w:lang w:val="uk-UA" w:eastAsia="ru-RU"/>
        </w:rPr>
      </w:pPr>
      <w:r w:rsidRPr="00872B4B">
        <w:rPr>
          <w:rFonts w:ascii="Times New Roman" w:eastAsia="Times New Roman" w:hAnsi="Times New Roman"/>
          <w:iCs/>
          <w:sz w:val="24"/>
          <w:szCs w:val="24"/>
          <w:lang w:val="uk-UA" w:eastAsia="ru-RU"/>
        </w:rPr>
        <w:t>З обережністю призначати під час лактації. </w:t>
      </w:r>
    </w:p>
    <w:p w14:paraId="6FBFFA3B" w14:textId="77777777" w:rsidR="00A368EF" w:rsidRPr="00872B4B" w:rsidRDefault="00A368EF" w:rsidP="00A368EF">
      <w:pPr>
        <w:widowControl w:val="0"/>
        <w:spacing w:after="0"/>
        <w:ind w:firstLine="567"/>
        <w:jc w:val="both"/>
        <w:rPr>
          <w:rFonts w:ascii="Times New Roman" w:eastAsia="Times New Roman" w:hAnsi="Times New Roman"/>
          <w:iCs/>
          <w:sz w:val="24"/>
          <w:szCs w:val="24"/>
          <w:lang w:val="uk-UA" w:eastAsia="ru-RU"/>
        </w:rPr>
      </w:pPr>
      <w:r w:rsidRPr="00872B4B">
        <w:rPr>
          <w:rFonts w:ascii="Times New Roman" w:eastAsia="Times New Roman" w:hAnsi="Times New Roman"/>
          <w:iCs/>
          <w:sz w:val="24"/>
          <w:szCs w:val="24"/>
          <w:lang w:val="uk-UA" w:eastAsia="ru-RU"/>
        </w:rPr>
        <w:t>Застосування можливе, коли передбачувана користь для самки перевищує потенційний ризик для молодняка.</w:t>
      </w:r>
    </w:p>
    <w:p w14:paraId="32EF9987"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5.7 Взаємодія з іншими засобами та інші форми взаємодії</w:t>
      </w:r>
    </w:p>
    <w:p w14:paraId="2CE19FB1"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застосовувати із барбітуратами, курареподібними препаратами, оскільки виникає загроза паралічу дихальних м'язів.</w:t>
      </w:r>
    </w:p>
    <w:p w14:paraId="66B8265C"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застосовувати з препаратами, які пригнічують або збуджують центральну нервову систему.</w:t>
      </w:r>
    </w:p>
    <w:p w14:paraId="41A48830"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napToGrid w:val="0"/>
          <w:sz w:val="24"/>
          <w:szCs w:val="24"/>
          <w:lang w:val="uk-UA" w:eastAsia="ru-RU"/>
        </w:rPr>
        <w:t>Препарат несумісний з танідами, лугами, окиснювачами, солями важких металів, гексаметилентетраміном (уротропін), сульфаніламідами. Сульфаніламіди послаблюють анестезуючу дію новокаїну.</w:t>
      </w:r>
    </w:p>
    <w:p w14:paraId="60098170"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5.8 Дози і способи введення тваринам різного віку</w:t>
      </w:r>
    </w:p>
    <w:p w14:paraId="67B78405"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sz w:val="24"/>
          <w:szCs w:val="24"/>
          <w:lang w:val="uk-UA" w:eastAsia="ru-RU"/>
        </w:rPr>
        <w:t>Загальна доза препарату не повинна перевищувати максимально допустимої, а саме: коти — 2,0 мг лідокаїну гідрохлориду на 1 кг маси тіла, коні, собаки — 4,0 мг лідокаїну гідрохлориду на 1 кг маси тіла.</w:t>
      </w:r>
    </w:p>
    <w:p w14:paraId="0650A7F6"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sz w:val="24"/>
          <w:szCs w:val="24"/>
          <w:lang w:eastAsia="ru-RU"/>
        </w:rPr>
        <w:t>Для отримання 0,25, 0,5 і 1,0 % розчинів лідокаїну гідрохлориду необхідно в шприц до однієї частини препарату Лідокаїну гідрохлорид доб</w:t>
      </w:r>
      <w:r w:rsidRPr="00872B4B">
        <w:rPr>
          <w:rFonts w:ascii="Times New Roman" w:eastAsia="Times New Roman" w:hAnsi="Times New Roman"/>
          <w:sz w:val="24"/>
          <w:szCs w:val="24"/>
          <w:lang w:val="uk-UA" w:eastAsia="ru-RU"/>
        </w:rPr>
        <w:t>авити</w:t>
      </w:r>
      <w:r w:rsidRPr="00872B4B">
        <w:rPr>
          <w:rFonts w:ascii="Times New Roman" w:eastAsia="Times New Roman" w:hAnsi="Times New Roman"/>
          <w:sz w:val="24"/>
          <w:szCs w:val="24"/>
          <w:lang w:eastAsia="ru-RU"/>
        </w:rPr>
        <w:t xml:space="preserve"> відповідно чотири, три або одну частини води для ін'єкцій.</w:t>
      </w:r>
    </w:p>
    <w:p w14:paraId="5F482A4F"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i/>
          <w:iCs/>
          <w:sz w:val="24"/>
          <w:szCs w:val="24"/>
          <w:lang w:eastAsia="ru-RU"/>
        </w:rPr>
        <w:t>Коні, собаки</w:t>
      </w:r>
      <w:r w:rsidRPr="00872B4B">
        <w:rPr>
          <w:rFonts w:ascii="Times New Roman" w:eastAsia="Times New Roman" w:hAnsi="Times New Roman"/>
          <w:sz w:val="24"/>
          <w:szCs w:val="24"/>
          <w:lang w:eastAsia="ru-RU"/>
        </w:rPr>
        <w:t>:</w:t>
      </w:r>
      <w:r w:rsidRPr="00872B4B">
        <w:rPr>
          <w:rFonts w:ascii="Times New Roman" w:eastAsia="Times New Roman" w:hAnsi="Times New Roman"/>
          <w:sz w:val="24"/>
          <w:szCs w:val="24"/>
          <w:lang w:val="en-US" w:eastAsia="ru-RU"/>
        </w:rPr>
        <w:t> </w:t>
      </w:r>
    </w:p>
    <w:p w14:paraId="6E8BFD66"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sz w:val="24"/>
          <w:szCs w:val="24"/>
          <w:lang w:eastAsia="ru-RU"/>
        </w:rPr>
        <w:tab/>
        <w:t xml:space="preserve">для інфільтраційної анестезії, проведення лікувальних блокад за больових синдромів </w:t>
      </w:r>
      <w:r w:rsidRPr="00872B4B">
        <w:rPr>
          <w:rFonts w:ascii="Times New Roman" w:eastAsia="Times New Roman" w:hAnsi="Times New Roman"/>
          <w:sz w:val="24"/>
          <w:szCs w:val="24"/>
          <w:lang w:eastAsia="ru-RU"/>
        </w:rPr>
        <w:lastRenderedPageBreak/>
        <w:t>та гострих запальних процесів застосовують 0,25 або 0,5% розчин лідокаїну гідрохлориду, в дозах 8</w:t>
      </w:r>
      <w:r w:rsidRPr="00872B4B">
        <w:rPr>
          <w:rFonts w:ascii="Times New Roman" w:eastAsia="Times New Roman" w:hAnsi="Times New Roman"/>
          <w:sz w:val="24"/>
          <w:szCs w:val="24"/>
          <w:lang w:val="uk-UA" w:eastAsia="ru-RU"/>
        </w:rPr>
        <w:t xml:space="preserve"> мл </w:t>
      </w:r>
      <w:r w:rsidRPr="00872B4B">
        <w:rPr>
          <w:rFonts w:ascii="Times New Roman" w:hAnsi="Times New Roman"/>
          <w:sz w:val="24"/>
          <w:szCs w:val="24"/>
          <w:lang w:val="uk-UA"/>
        </w:rPr>
        <w:t>0,25% розчину лідокаїну</w:t>
      </w:r>
      <w:r w:rsidRPr="00872B4B">
        <w:rPr>
          <w:rFonts w:ascii="Times New Roman" w:eastAsia="Times New Roman" w:hAnsi="Times New Roman"/>
          <w:sz w:val="24"/>
          <w:szCs w:val="24"/>
          <w:lang w:eastAsia="ru-RU"/>
        </w:rPr>
        <w:t xml:space="preserve"> </w:t>
      </w:r>
      <w:r w:rsidRPr="00872B4B">
        <w:rPr>
          <w:rFonts w:ascii="Times New Roman" w:eastAsia="Times New Roman" w:hAnsi="Times New Roman"/>
          <w:sz w:val="24"/>
          <w:szCs w:val="24"/>
          <w:lang w:val="uk-UA" w:eastAsia="ru-RU"/>
        </w:rPr>
        <w:t xml:space="preserve">або </w:t>
      </w:r>
      <w:r w:rsidRPr="00872B4B">
        <w:rPr>
          <w:rFonts w:ascii="Times New Roman" w:eastAsia="Times New Roman" w:hAnsi="Times New Roman"/>
          <w:sz w:val="24"/>
          <w:szCs w:val="24"/>
          <w:lang w:eastAsia="ru-RU"/>
        </w:rPr>
        <w:t>4</w:t>
      </w:r>
      <w:r w:rsidRPr="00872B4B">
        <w:rPr>
          <w:rFonts w:ascii="Times New Roman" w:eastAsia="Times New Roman" w:hAnsi="Times New Roman"/>
          <w:sz w:val="24"/>
          <w:szCs w:val="24"/>
          <w:lang w:val="uk-UA" w:eastAsia="ru-RU"/>
        </w:rPr>
        <w:t xml:space="preserve"> </w:t>
      </w:r>
      <w:r w:rsidRPr="00872B4B">
        <w:rPr>
          <w:rFonts w:ascii="Times New Roman" w:eastAsia="Times New Roman" w:hAnsi="Times New Roman"/>
          <w:sz w:val="24"/>
          <w:szCs w:val="24"/>
          <w:lang w:eastAsia="ru-RU"/>
        </w:rPr>
        <w:t xml:space="preserve">мл </w:t>
      </w:r>
      <w:r w:rsidRPr="00872B4B">
        <w:rPr>
          <w:rFonts w:ascii="Times New Roman" w:hAnsi="Times New Roman"/>
          <w:sz w:val="24"/>
          <w:szCs w:val="24"/>
          <w:lang w:val="uk-UA"/>
        </w:rPr>
        <w:t>0,5% розчину лідокаїну</w:t>
      </w:r>
      <w:r w:rsidRPr="00872B4B">
        <w:rPr>
          <w:rFonts w:ascii="Times New Roman" w:eastAsia="Times New Roman" w:hAnsi="Times New Roman"/>
          <w:sz w:val="24"/>
          <w:szCs w:val="24"/>
          <w:lang w:eastAsia="ru-RU"/>
        </w:rPr>
        <w:t xml:space="preserve"> на 1 кг маси тіла, відповідно;</w:t>
      </w:r>
    </w:p>
    <w:p w14:paraId="0B85370E"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sz w:val="24"/>
          <w:szCs w:val="24"/>
          <w:lang w:eastAsia="ru-RU"/>
        </w:rPr>
        <w:tab/>
        <w:t>для поверхневої анестезії шкірних покривів, слизових і синовіальних оболонок, провідникової (регіональної) чи епідуральної анестезій застосовують 1 або 2% розчини лідокаїну гідрохлориду у дозах 0,2-0,4</w:t>
      </w:r>
      <w:r w:rsidRPr="00872B4B">
        <w:rPr>
          <w:rFonts w:ascii="Times New Roman" w:eastAsia="Times New Roman" w:hAnsi="Times New Roman"/>
          <w:sz w:val="24"/>
          <w:szCs w:val="24"/>
          <w:lang w:val="uk-UA" w:eastAsia="ru-RU"/>
        </w:rPr>
        <w:t xml:space="preserve"> мл 1%</w:t>
      </w:r>
      <w:r w:rsidRPr="00872B4B">
        <w:rPr>
          <w:rFonts w:ascii="Times New Roman" w:eastAsia="Times New Roman" w:hAnsi="Times New Roman"/>
          <w:sz w:val="24"/>
          <w:szCs w:val="24"/>
          <w:lang w:eastAsia="ru-RU"/>
        </w:rPr>
        <w:t xml:space="preserve"> </w:t>
      </w:r>
      <w:r w:rsidRPr="00872B4B">
        <w:rPr>
          <w:rFonts w:ascii="Times New Roman" w:eastAsia="Times New Roman" w:hAnsi="Times New Roman"/>
          <w:sz w:val="24"/>
          <w:szCs w:val="24"/>
          <w:lang w:val="uk-UA" w:eastAsia="ru-RU"/>
        </w:rPr>
        <w:t xml:space="preserve">розчину лідокаїну </w:t>
      </w:r>
      <w:r w:rsidRPr="00872B4B">
        <w:rPr>
          <w:rFonts w:ascii="Times New Roman" w:eastAsia="Times New Roman" w:hAnsi="Times New Roman"/>
          <w:sz w:val="24"/>
          <w:szCs w:val="24"/>
          <w:lang w:eastAsia="ru-RU"/>
        </w:rPr>
        <w:t xml:space="preserve">та 0,1-0,2 мл </w:t>
      </w:r>
      <w:r w:rsidRPr="00872B4B">
        <w:rPr>
          <w:rFonts w:ascii="Times New Roman" w:eastAsia="Times New Roman" w:hAnsi="Times New Roman"/>
          <w:sz w:val="24"/>
          <w:szCs w:val="24"/>
          <w:lang w:val="uk-UA" w:eastAsia="ru-RU"/>
        </w:rPr>
        <w:t xml:space="preserve">препарату </w:t>
      </w:r>
      <w:r w:rsidRPr="00872B4B">
        <w:rPr>
          <w:rFonts w:ascii="Times New Roman" w:eastAsia="Times New Roman" w:hAnsi="Times New Roman"/>
          <w:sz w:val="24"/>
          <w:szCs w:val="24"/>
          <w:lang w:eastAsia="ru-RU"/>
        </w:rPr>
        <w:t>на 1 кг маси тіла, відповідно;</w:t>
      </w:r>
    </w:p>
    <w:p w14:paraId="109DD773"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sz w:val="24"/>
          <w:szCs w:val="24"/>
          <w:lang w:eastAsia="ru-RU"/>
        </w:rPr>
        <w:tab/>
        <w:t xml:space="preserve">для спинальної анестезії застосовують 2% розчин лідокаїну гідрохлориду у дозі 0,1-0,2 мл </w:t>
      </w:r>
      <w:r w:rsidRPr="00872B4B">
        <w:rPr>
          <w:rFonts w:ascii="Times New Roman" w:eastAsia="Times New Roman" w:hAnsi="Times New Roman"/>
          <w:sz w:val="24"/>
          <w:szCs w:val="24"/>
          <w:lang w:val="uk-UA" w:eastAsia="ru-RU"/>
        </w:rPr>
        <w:t xml:space="preserve">препарату </w:t>
      </w:r>
      <w:r w:rsidRPr="00872B4B">
        <w:rPr>
          <w:rFonts w:ascii="Times New Roman" w:eastAsia="Times New Roman" w:hAnsi="Times New Roman"/>
          <w:sz w:val="24"/>
          <w:szCs w:val="24"/>
          <w:lang w:eastAsia="ru-RU"/>
        </w:rPr>
        <w:t>на 1 кг маси тіла тварини.</w:t>
      </w:r>
    </w:p>
    <w:p w14:paraId="125F1592"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i/>
          <w:iCs/>
          <w:sz w:val="24"/>
          <w:szCs w:val="24"/>
          <w:lang w:eastAsia="ru-RU"/>
        </w:rPr>
        <w:t>Коти</w:t>
      </w:r>
      <w:r w:rsidRPr="00872B4B">
        <w:rPr>
          <w:rFonts w:ascii="Times New Roman" w:eastAsia="Times New Roman" w:hAnsi="Times New Roman"/>
          <w:sz w:val="24"/>
          <w:szCs w:val="24"/>
          <w:lang w:eastAsia="ru-RU"/>
        </w:rPr>
        <w:t>:</w:t>
      </w:r>
    </w:p>
    <w:p w14:paraId="64CB3DC1"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b/>
          <w:bCs/>
          <w:sz w:val="24"/>
          <w:szCs w:val="24"/>
          <w:lang w:eastAsia="ru-RU"/>
        </w:rPr>
        <w:tab/>
      </w:r>
      <w:r w:rsidRPr="00872B4B">
        <w:rPr>
          <w:rFonts w:ascii="Times New Roman" w:eastAsia="Times New Roman" w:hAnsi="Times New Roman"/>
          <w:sz w:val="24"/>
          <w:szCs w:val="24"/>
          <w:lang w:eastAsia="ru-RU"/>
        </w:rPr>
        <w:t xml:space="preserve">для інфільтраційної анестезії, проведення лікувальних блокад за больових синдромів та гострих запальних процесів застосовують 0,25 або 0,5% розчини лідокаїну гідрохлориду у дозах 0,6-0,8 </w:t>
      </w:r>
      <w:r w:rsidRPr="00872B4B">
        <w:rPr>
          <w:rFonts w:ascii="Times New Roman" w:eastAsia="Times New Roman" w:hAnsi="Times New Roman"/>
          <w:sz w:val="24"/>
          <w:szCs w:val="24"/>
          <w:lang w:val="uk-UA" w:eastAsia="ru-RU"/>
        </w:rPr>
        <w:t xml:space="preserve">мл </w:t>
      </w:r>
      <w:r w:rsidRPr="00872B4B">
        <w:rPr>
          <w:rFonts w:ascii="Times New Roman" w:hAnsi="Times New Roman"/>
          <w:sz w:val="24"/>
          <w:szCs w:val="24"/>
          <w:lang w:val="uk-UA"/>
        </w:rPr>
        <w:t>0,25% розчину лідокаїну</w:t>
      </w:r>
      <w:r w:rsidRPr="00872B4B">
        <w:rPr>
          <w:rFonts w:ascii="Times New Roman" w:eastAsia="Times New Roman" w:hAnsi="Times New Roman"/>
          <w:sz w:val="24"/>
          <w:szCs w:val="24"/>
          <w:lang w:eastAsia="ru-RU"/>
        </w:rPr>
        <w:t xml:space="preserve"> </w:t>
      </w:r>
      <w:r w:rsidRPr="00872B4B">
        <w:rPr>
          <w:rFonts w:ascii="Times New Roman" w:eastAsia="Times New Roman" w:hAnsi="Times New Roman"/>
          <w:sz w:val="24"/>
          <w:szCs w:val="24"/>
          <w:lang w:val="uk-UA" w:eastAsia="ru-RU"/>
        </w:rPr>
        <w:t xml:space="preserve">або </w:t>
      </w:r>
      <w:r w:rsidRPr="00872B4B">
        <w:rPr>
          <w:rFonts w:ascii="Times New Roman" w:eastAsia="Times New Roman" w:hAnsi="Times New Roman"/>
          <w:sz w:val="24"/>
          <w:szCs w:val="24"/>
          <w:lang w:eastAsia="ru-RU"/>
        </w:rPr>
        <w:t xml:space="preserve"> 0,3-0,4 мл </w:t>
      </w:r>
      <w:r w:rsidRPr="00872B4B">
        <w:rPr>
          <w:rFonts w:ascii="Times New Roman" w:hAnsi="Times New Roman"/>
          <w:sz w:val="24"/>
          <w:szCs w:val="24"/>
          <w:lang w:val="uk-UA"/>
        </w:rPr>
        <w:t>0,5% розчину лідокаїну</w:t>
      </w:r>
      <w:r w:rsidRPr="00872B4B">
        <w:rPr>
          <w:rFonts w:ascii="Times New Roman" w:eastAsia="Times New Roman" w:hAnsi="Times New Roman"/>
          <w:sz w:val="24"/>
          <w:szCs w:val="24"/>
          <w:lang w:eastAsia="ru-RU"/>
        </w:rPr>
        <w:t xml:space="preserve"> на 1 кг маси тіла, відповідно;</w:t>
      </w:r>
    </w:p>
    <w:p w14:paraId="640D0C66"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sz w:val="24"/>
          <w:szCs w:val="24"/>
          <w:lang w:eastAsia="ru-RU"/>
        </w:rPr>
        <w:tab/>
        <w:t xml:space="preserve"> для поверхневої анестезії шкірних покривів, слизових і синовіальних оболонок, провідникової (регіональної) чи епідуральної анестезії застосовують 1 або 2% розчини лідокаїну гідрохлориду у дозах 0,15-0,2 </w:t>
      </w:r>
      <w:r w:rsidRPr="00872B4B">
        <w:rPr>
          <w:rFonts w:ascii="Times New Roman" w:eastAsia="Times New Roman" w:hAnsi="Times New Roman"/>
          <w:sz w:val="24"/>
          <w:szCs w:val="24"/>
          <w:lang w:val="uk-UA" w:eastAsia="ru-RU"/>
        </w:rPr>
        <w:t>мл 1%</w:t>
      </w:r>
      <w:r w:rsidRPr="00872B4B">
        <w:rPr>
          <w:rFonts w:ascii="Times New Roman" w:eastAsia="Times New Roman" w:hAnsi="Times New Roman"/>
          <w:sz w:val="24"/>
          <w:szCs w:val="24"/>
          <w:lang w:eastAsia="ru-RU"/>
        </w:rPr>
        <w:t xml:space="preserve"> </w:t>
      </w:r>
      <w:r w:rsidRPr="00872B4B">
        <w:rPr>
          <w:rFonts w:ascii="Times New Roman" w:eastAsia="Times New Roman" w:hAnsi="Times New Roman"/>
          <w:sz w:val="24"/>
          <w:szCs w:val="24"/>
          <w:lang w:val="uk-UA" w:eastAsia="ru-RU"/>
        </w:rPr>
        <w:t xml:space="preserve">розчину лідокаїну </w:t>
      </w:r>
      <w:r w:rsidRPr="00872B4B">
        <w:rPr>
          <w:rFonts w:ascii="Times New Roman" w:eastAsia="Times New Roman" w:hAnsi="Times New Roman"/>
          <w:sz w:val="24"/>
          <w:szCs w:val="24"/>
          <w:lang w:eastAsia="ru-RU"/>
        </w:rPr>
        <w:t xml:space="preserve">та 0,07-0,1 мл </w:t>
      </w:r>
      <w:r w:rsidRPr="00872B4B">
        <w:rPr>
          <w:rFonts w:ascii="Times New Roman" w:eastAsia="Times New Roman" w:hAnsi="Times New Roman"/>
          <w:sz w:val="24"/>
          <w:szCs w:val="24"/>
          <w:lang w:val="uk-UA" w:eastAsia="ru-RU"/>
        </w:rPr>
        <w:t xml:space="preserve">препарату </w:t>
      </w:r>
      <w:r w:rsidRPr="00872B4B">
        <w:rPr>
          <w:rFonts w:ascii="Times New Roman" w:eastAsia="Times New Roman" w:hAnsi="Times New Roman"/>
          <w:sz w:val="24"/>
          <w:szCs w:val="24"/>
          <w:lang w:eastAsia="ru-RU"/>
        </w:rPr>
        <w:t>на 1 кг маси тіла, відповідно;</w:t>
      </w:r>
    </w:p>
    <w:p w14:paraId="63A1857C"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b/>
          <w:bCs/>
          <w:sz w:val="24"/>
          <w:szCs w:val="24"/>
          <w:lang w:eastAsia="ru-RU"/>
        </w:rPr>
        <w:t>•</w:t>
      </w:r>
      <w:r w:rsidRPr="00872B4B">
        <w:rPr>
          <w:rFonts w:ascii="Times New Roman" w:eastAsia="Times New Roman" w:hAnsi="Times New Roman"/>
          <w:sz w:val="24"/>
          <w:szCs w:val="24"/>
          <w:lang w:eastAsia="ru-RU"/>
        </w:rPr>
        <w:tab/>
        <w:t xml:space="preserve">для спинальної анестезії використовують 2% розчин лідокаїну гідрохлориду в дозі 0,07-0,1 мл </w:t>
      </w:r>
      <w:r w:rsidRPr="00872B4B">
        <w:rPr>
          <w:rFonts w:ascii="Times New Roman" w:eastAsia="Times New Roman" w:hAnsi="Times New Roman"/>
          <w:sz w:val="24"/>
          <w:szCs w:val="24"/>
          <w:lang w:val="uk-UA" w:eastAsia="ru-RU"/>
        </w:rPr>
        <w:t xml:space="preserve">препарату </w:t>
      </w:r>
      <w:r w:rsidRPr="00872B4B">
        <w:rPr>
          <w:rFonts w:ascii="Times New Roman" w:eastAsia="Times New Roman" w:hAnsi="Times New Roman"/>
          <w:sz w:val="24"/>
          <w:szCs w:val="24"/>
          <w:lang w:eastAsia="ru-RU"/>
        </w:rPr>
        <w:t>на 1 кг маси тіла.</w:t>
      </w:r>
    </w:p>
    <w:p w14:paraId="468ADD7C" w14:textId="77777777" w:rsidR="00A368EF" w:rsidRPr="00872B4B" w:rsidRDefault="00A368EF" w:rsidP="00A368EF">
      <w:pPr>
        <w:widowControl w:val="0"/>
        <w:spacing w:after="0"/>
        <w:ind w:firstLine="567"/>
        <w:jc w:val="both"/>
        <w:rPr>
          <w:rFonts w:ascii="Times New Roman" w:eastAsia="Times New Roman" w:hAnsi="Times New Roman"/>
          <w:sz w:val="24"/>
          <w:szCs w:val="24"/>
          <w:lang w:eastAsia="ru-RU"/>
        </w:rPr>
      </w:pPr>
      <w:r w:rsidRPr="00872B4B">
        <w:rPr>
          <w:rFonts w:ascii="Times New Roman" w:eastAsia="Times New Roman" w:hAnsi="Times New Roman"/>
          <w:sz w:val="24"/>
          <w:szCs w:val="24"/>
          <w:lang w:eastAsia="ru-RU"/>
        </w:rPr>
        <w:t>Для подовження дії анестетика можливе додавання 0,1 мл 0,1% розчину адреналіну на кожні 10 мл розчину лідокаїну гідрохлориду.</w:t>
      </w:r>
    </w:p>
    <w:p w14:paraId="585FA60D"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5.9 Передозування (симптоми, невідкладні заходи, антидоти)</w:t>
      </w:r>
    </w:p>
    <w:p w14:paraId="68722FEA"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eastAsia="ru-RU"/>
        </w:rPr>
      </w:pPr>
      <w:r w:rsidRPr="00872B4B">
        <w:rPr>
          <w:rFonts w:ascii="Times New Roman" w:eastAsia="Times New Roman" w:hAnsi="Times New Roman"/>
          <w:sz w:val="24"/>
          <w:szCs w:val="24"/>
          <w:lang w:val="uk-UA" w:eastAsia="ru-RU"/>
        </w:rPr>
        <w:t>За передозування лідокаїну фаза стимуляції центральної нервової системи, яка може бути короткою (майже невираженою), змінюється фазою пригнічення. Можливі сонливість, порушення зору, блювота, зниження артеріального тиску, тремтіння м'язів. За важкої інтоксикації (у разі швидкого введення в кров) виникають гіпотензія, судинний колапс, судоми, пригнічення дихального центру. Можливі алергічні реакції з настанням анафілактичного шоку. У разі  зменшення частоти серцевих скорочень можливе внутрішньовенне введення 0,5-1 мг атропіну сульфату</w:t>
      </w:r>
      <w:r w:rsidRPr="00872B4B">
        <w:rPr>
          <w:rFonts w:ascii="Times New Roman" w:eastAsia="Times New Roman" w:hAnsi="Times New Roman"/>
          <w:snapToGrid w:val="0"/>
          <w:sz w:val="24"/>
          <w:szCs w:val="24"/>
          <w:lang w:val="uk-UA" w:eastAsia="ru-RU"/>
        </w:rPr>
        <w:t>.</w:t>
      </w:r>
    </w:p>
    <w:p w14:paraId="7FA5131F"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5.10 Спеціальні застереження</w:t>
      </w:r>
    </w:p>
    <w:p w14:paraId="7ADB9AC6"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Тваринам із захворюваннями печінки, застійною серцевою недостатністю, у стані шоку і гіповолемії з вираженим пригніченням дихання або гіпоксією препарат призначають із обережністю.</w:t>
      </w:r>
    </w:p>
    <w:p w14:paraId="55CD8A5A"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 xml:space="preserve">Препарат не слід змішувати з іншими лікарськими засобами в одному шприці. </w:t>
      </w:r>
    </w:p>
    <w:p w14:paraId="4941723D"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eastAsia="ru-RU"/>
        </w:rPr>
      </w:pPr>
      <w:r w:rsidRPr="00872B4B">
        <w:rPr>
          <w:rFonts w:ascii="Times New Roman" w:eastAsia="Times New Roman" w:hAnsi="Times New Roman"/>
          <w:sz w:val="24"/>
          <w:szCs w:val="24"/>
          <w:lang w:val="uk-UA" w:eastAsia="ru-RU"/>
        </w:rPr>
        <w:t>За потрапляння голки в судину, а лідокаїну в кров можливе виникнення колапсу. У такому випадку з лікувальною та профілактичною метою застосовують судинозвужувальні та серцеві засоби.</w:t>
      </w:r>
    </w:p>
    <w:p w14:paraId="6EC87C4D"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5.11 Період виведення (каренції)</w:t>
      </w:r>
    </w:p>
    <w:p w14:paraId="1C5596A1"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Не вимагається.</w:t>
      </w:r>
    </w:p>
    <w:p w14:paraId="1A804D52" w14:textId="77777777" w:rsidR="00A368EF" w:rsidRPr="00872B4B" w:rsidRDefault="00A368EF" w:rsidP="00A368EF">
      <w:pPr>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b/>
          <w:sz w:val="24"/>
          <w:szCs w:val="24"/>
          <w:lang w:val="uk-UA" w:eastAsia="ru-RU"/>
        </w:rPr>
        <w:t>5.12 Спеціальні застереження для осіб і обслуговуючого персоналу</w:t>
      </w:r>
    </w:p>
    <w:p w14:paraId="47230A6C" w14:textId="77777777" w:rsidR="00A368EF" w:rsidRPr="00872B4B" w:rsidRDefault="00A368EF" w:rsidP="00A368EF">
      <w:pPr>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Під час застосування препарату дотримуватись правил асептики та безпечної фіксації тварини.</w:t>
      </w:r>
    </w:p>
    <w:p w14:paraId="26539D97"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6. Фармацевтичні особливості</w:t>
      </w:r>
    </w:p>
    <w:p w14:paraId="70D160DA"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rPr>
      </w:pPr>
      <w:r w:rsidRPr="00872B4B">
        <w:rPr>
          <w:rFonts w:ascii="Times New Roman" w:eastAsia="Times New Roman" w:hAnsi="Times New Roman"/>
          <w:b/>
          <w:snapToGrid w:val="0"/>
          <w:sz w:val="24"/>
          <w:szCs w:val="24"/>
          <w:lang w:val="uk-UA"/>
        </w:rPr>
        <w:t>6.1 Форми несумісності (основні)</w:t>
      </w:r>
    </w:p>
    <w:p w14:paraId="2B7D7179"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rPr>
      </w:pPr>
      <w:r w:rsidRPr="00872B4B">
        <w:rPr>
          <w:rFonts w:ascii="Times New Roman" w:eastAsia="Times New Roman" w:hAnsi="Times New Roman"/>
          <w:snapToGrid w:val="0"/>
          <w:sz w:val="24"/>
          <w:szCs w:val="24"/>
          <w:lang w:val="uk-UA"/>
        </w:rPr>
        <w:t xml:space="preserve">Препарат не змішувати з іншими лікарськими засобами в одному шприці. </w:t>
      </w:r>
    </w:p>
    <w:p w14:paraId="0677068D"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rPr>
      </w:pPr>
      <w:r w:rsidRPr="00872B4B">
        <w:rPr>
          <w:rFonts w:ascii="Times New Roman" w:eastAsia="Times New Roman" w:hAnsi="Times New Roman"/>
          <w:snapToGrid w:val="0"/>
          <w:sz w:val="24"/>
          <w:szCs w:val="24"/>
          <w:lang w:val="uk-UA"/>
        </w:rPr>
        <w:t xml:space="preserve">Не застосовувати одночасно із барбітуратами, курареподібними препаратами, оскільки </w:t>
      </w:r>
      <w:r w:rsidRPr="00872B4B">
        <w:rPr>
          <w:rFonts w:ascii="Times New Roman" w:eastAsia="Times New Roman" w:hAnsi="Times New Roman"/>
          <w:snapToGrid w:val="0"/>
          <w:sz w:val="24"/>
          <w:szCs w:val="24"/>
          <w:lang w:val="uk-UA"/>
        </w:rPr>
        <w:lastRenderedPageBreak/>
        <w:t>виникає загроза паралічу дихальних м'язів.</w:t>
      </w:r>
    </w:p>
    <w:p w14:paraId="1F430FAA"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rPr>
      </w:pPr>
      <w:r w:rsidRPr="00872B4B">
        <w:rPr>
          <w:rFonts w:ascii="Times New Roman" w:eastAsia="Times New Roman" w:hAnsi="Times New Roman"/>
          <w:snapToGrid w:val="0"/>
          <w:sz w:val="24"/>
          <w:szCs w:val="24"/>
          <w:lang w:val="uk-UA"/>
        </w:rPr>
        <w:t>Не застосовувати з препаратами, які пригнічують або збуджують центральну нервову систему.</w:t>
      </w:r>
    </w:p>
    <w:p w14:paraId="6ABCA853"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6.2 Термін придатності</w:t>
      </w:r>
    </w:p>
    <w:p w14:paraId="62926180" w14:textId="77777777" w:rsidR="00A368EF" w:rsidRPr="00872B4B" w:rsidRDefault="00A368EF" w:rsidP="00A368EF">
      <w:pPr>
        <w:widowControl w:val="0"/>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 xml:space="preserve">3 роки. </w:t>
      </w:r>
    </w:p>
    <w:p w14:paraId="24B3542D"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sz w:val="24"/>
          <w:szCs w:val="24"/>
          <w:lang w:val="uk-UA" w:eastAsia="ru-RU"/>
        </w:rPr>
        <w:t>Термін придатності після першого відбору із флакона – 10 діб за умови зберігання в холодильнику</w:t>
      </w:r>
      <w:r w:rsidRPr="00872B4B">
        <w:rPr>
          <w:rFonts w:ascii="Times New Roman" w:eastAsia="Times New Roman" w:hAnsi="Times New Roman"/>
          <w:bCs/>
          <w:sz w:val="24"/>
          <w:szCs w:val="24"/>
          <w:lang w:val="uk-UA" w:eastAsia="uk-UA"/>
        </w:rPr>
        <w:t>.</w:t>
      </w:r>
    </w:p>
    <w:p w14:paraId="0EB112AD"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6.3 Особливі заходи зберігання</w:t>
      </w:r>
    </w:p>
    <w:p w14:paraId="3A261F89" w14:textId="77777777" w:rsidR="00A368EF" w:rsidRPr="00872B4B" w:rsidRDefault="00A368EF" w:rsidP="00A368EF">
      <w:pPr>
        <w:widowControl w:val="0"/>
        <w:spacing w:after="0"/>
        <w:ind w:firstLine="567"/>
        <w:jc w:val="both"/>
        <w:rPr>
          <w:rFonts w:ascii="Times New Roman" w:eastAsia="Times New Roman" w:hAnsi="Times New Roman"/>
          <w:spacing w:val="3"/>
          <w:sz w:val="24"/>
          <w:szCs w:val="24"/>
          <w:lang w:val="uk-UA" w:eastAsia="ru-RU"/>
        </w:rPr>
      </w:pPr>
      <w:r w:rsidRPr="00872B4B">
        <w:rPr>
          <w:rFonts w:ascii="Times New Roman" w:eastAsia="Times New Roman" w:hAnsi="Times New Roman"/>
          <w:spacing w:val="3"/>
          <w:sz w:val="24"/>
          <w:szCs w:val="24"/>
          <w:lang w:val="uk-UA" w:eastAsia="ru-RU"/>
        </w:rPr>
        <w:t>Сухе темне, недоступне для дітей місце в упакуванні виробника за температури від 3 до 25 °С.</w:t>
      </w:r>
    </w:p>
    <w:p w14:paraId="63949672"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eastAsia="ru-RU"/>
        </w:rPr>
      </w:pPr>
      <w:r w:rsidRPr="00872B4B">
        <w:rPr>
          <w:rFonts w:ascii="Times New Roman" w:eastAsia="Times New Roman" w:hAnsi="Times New Roman"/>
          <w:b/>
          <w:snapToGrid w:val="0"/>
          <w:sz w:val="24"/>
          <w:szCs w:val="24"/>
          <w:lang w:val="uk-UA" w:eastAsia="ru-RU"/>
        </w:rPr>
        <w:t>6.4 Природа і склад контейнера первинного пакування</w:t>
      </w:r>
    </w:p>
    <w:p w14:paraId="565C7EC9" w14:textId="77777777" w:rsidR="00A368EF" w:rsidRPr="00872B4B" w:rsidRDefault="00A368EF" w:rsidP="00A368EF">
      <w:pPr>
        <w:spacing w:after="0"/>
        <w:ind w:firstLine="567"/>
        <w:jc w:val="both"/>
        <w:rPr>
          <w:rFonts w:ascii="Times New Roman" w:eastAsia="Times New Roman" w:hAnsi="Times New Roman"/>
          <w:sz w:val="24"/>
          <w:szCs w:val="24"/>
          <w:lang w:val="uk-UA" w:eastAsia="ru-RU"/>
        </w:rPr>
      </w:pPr>
      <w:r w:rsidRPr="00872B4B">
        <w:rPr>
          <w:rFonts w:ascii="Times New Roman" w:eastAsia="Times New Roman" w:hAnsi="Times New Roman"/>
          <w:sz w:val="24"/>
          <w:szCs w:val="24"/>
          <w:lang w:val="uk-UA" w:eastAsia="ru-RU"/>
        </w:rPr>
        <w:t>Флакони зі скла, закриті гумовими корками під алюмінієвими обкатками, об’ємом 10, 20, 50 або 100 мл.</w:t>
      </w:r>
    </w:p>
    <w:p w14:paraId="3578CA06"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rPr>
      </w:pPr>
      <w:r w:rsidRPr="00872B4B">
        <w:rPr>
          <w:rFonts w:ascii="Times New Roman" w:eastAsia="Times New Roman" w:hAnsi="Times New Roman"/>
          <w:b/>
          <w:snapToGrid w:val="0"/>
          <w:sz w:val="24"/>
          <w:szCs w:val="24"/>
          <w:lang w:val="uk-UA"/>
        </w:rPr>
        <w:t>6.5 Особливі заходи безпеки при поводженні з невикористаним препаратом або із його залишками</w:t>
      </w:r>
    </w:p>
    <w:p w14:paraId="75EB1C52" w14:textId="77777777" w:rsidR="00A368EF" w:rsidRPr="00872B4B" w:rsidRDefault="00A368EF" w:rsidP="00A368EF">
      <w:pPr>
        <w:widowControl w:val="0"/>
        <w:spacing w:after="0"/>
        <w:ind w:firstLine="567"/>
        <w:jc w:val="both"/>
        <w:rPr>
          <w:rFonts w:ascii="Times New Roman" w:eastAsia="Times New Roman" w:hAnsi="Times New Roman"/>
          <w:snapToGrid w:val="0"/>
          <w:sz w:val="24"/>
          <w:szCs w:val="24"/>
          <w:lang w:val="uk-UA"/>
        </w:rPr>
      </w:pPr>
      <w:r w:rsidRPr="00872B4B">
        <w:rPr>
          <w:rFonts w:ascii="Times New Roman" w:eastAsia="Times New Roman" w:hAnsi="Times New Roman"/>
          <w:snapToGrid w:val="0"/>
          <w:sz w:val="24"/>
          <w:szCs w:val="24"/>
          <w:lang w:val="uk-UA"/>
        </w:rPr>
        <w:t>Невикористаний препарат або його залишки повинні бути утилізовані відповідно до чинних вимог.</w:t>
      </w:r>
    </w:p>
    <w:p w14:paraId="57AA7551" w14:textId="77777777" w:rsidR="00A368EF" w:rsidRPr="00872B4B" w:rsidRDefault="00A368EF" w:rsidP="00A368EF">
      <w:pPr>
        <w:widowControl w:val="0"/>
        <w:spacing w:after="0"/>
        <w:ind w:firstLine="567"/>
        <w:jc w:val="both"/>
        <w:rPr>
          <w:rFonts w:ascii="Times New Roman" w:eastAsia="Times New Roman" w:hAnsi="Times New Roman"/>
          <w:b/>
          <w:snapToGrid w:val="0"/>
          <w:sz w:val="24"/>
          <w:szCs w:val="24"/>
          <w:lang w:val="uk-UA"/>
        </w:rPr>
      </w:pPr>
      <w:r w:rsidRPr="00872B4B">
        <w:rPr>
          <w:rFonts w:ascii="Times New Roman" w:eastAsia="Times New Roman" w:hAnsi="Times New Roman"/>
          <w:b/>
          <w:snapToGrid w:val="0"/>
          <w:sz w:val="24"/>
          <w:szCs w:val="24"/>
          <w:lang w:val="uk-UA"/>
        </w:rPr>
        <w:t>7. Назва і місцезнаходження власника реєстраційного посвідчення</w:t>
      </w:r>
    </w:p>
    <w:p w14:paraId="41638442" w14:textId="77777777" w:rsidR="00A368EF" w:rsidRPr="00872B4B" w:rsidRDefault="00A368EF" w:rsidP="00A368EF">
      <w:pPr>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sz w:val="24"/>
          <w:szCs w:val="24"/>
          <w:lang w:val="uk-UA" w:eastAsia="ru-RU"/>
        </w:rPr>
        <w:t xml:space="preserve">ТОВ "БРОВАФАРМА" </w:t>
      </w:r>
    </w:p>
    <w:p w14:paraId="21D5BE08" w14:textId="77777777" w:rsidR="00A368EF" w:rsidRPr="00872B4B" w:rsidRDefault="00A368EF" w:rsidP="00A368EF">
      <w:pPr>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sz w:val="24"/>
          <w:szCs w:val="24"/>
          <w:lang w:val="uk-UA" w:eastAsia="ru-RU"/>
        </w:rPr>
        <w:t>б-р Незалежності 18-а, м. Бровари, Київська обл., 07400, Україна</w:t>
      </w:r>
    </w:p>
    <w:p w14:paraId="1FE7FB85" w14:textId="77777777" w:rsidR="00A368EF" w:rsidRPr="00872B4B" w:rsidRDefault="00A368EF" w:rsidP="00A368EF">
      <w:pPr>
        <w:widowControl w:val="0"/>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b/>
          <w:snapToGrid w:val="0"/>
          <w:sz w:val="24"/>
          <w:szCs w:val="24"/>
          <w:lang w:val="uk-UA" w:eastAsia="ru-RU"/>
        </w:rPr>
        <w:t xml:space="preserve">8. </w:t>
      </w:r>
      <w:r w:rsidRPr="00872B4B">
        <w:rPr>
          <w:rFonts w:ascii="Times New Roman" w:eastAsia="Times New Roman" w:hAnsi="Times New Roman"/>
          <w:b/>
          <w:sz w:val="24"/>
          <w:szCs w:val="24"/>
          <w:lang w:val="uk-UA" w:eastAsia="ru-RU"/>
        </w:rPr>
        <w:t>Назва і місцезнаходження виробника</w:t>
      </w:r>
    </w:p>
    <w:p w14:paraId="21A8E327" w14:textId="77777777" w:rsidR="00A368EF" w:rsidRPr="00872B4B" w:rsidRDefault="00A368EF" w:rsidP="00A368EF">
      <w:pPr>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sz w:val="24"/>
          <w:szCs w:val="24"/>
          <w:lang w:val="uk-UA" w:eastAsia="ru-RU"/>
        </w:rPr>
        <w:t xml:space="preserve">ТОВ "БРОВАФАРМА" </w:t>
      </w:r>
    </w:p>
    <w:p w14:paraId="671F0DBB" w14:textId="77777777" w:rsidR="00A368EF" w:rsidRPr="00872B4B" w:rsidRDefault="00A368EF" w:rsidP="00A368EF">
      <w:pPr>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sz w:val="24"/>
          <w:szCs w:val="24"/>
          <w:lang w:val="uk-UA" w:eastAsia="ru-RU"/>
        </w:rPr>
        <w:t>б-р Незалежності 18-а, м. Бровари, Київська обл., 07400, Україна</w:t>
      </w:r>
    </w:p>
    <w:p w14:paraId="2D5EB279" w14:textId="77777777" w:rsidR="00A368EF" w:rsidRPr="00872B4B" w:rsidRDefault="00A368EF" w:rsidP="00A368EF">
      <w:pPr>
        <w:widowControl w:val="0"/>
        <w:spacing w:after="0"/>
        <w:ind w:firstLine="567"/>
        <w:jc w:val="both"/>
        <w:rPr>
          <w:rFonts w:ascii="Times New Roman" w:eastAsia="Times New Roman" w:hAnsi="Times New Roman"/>
          <w:b/>
          <w:sz w:val="24"/>
          <w:szCs w:val="24"/>
          <w:lang w:val="uk-UA" w:eastAsia="ru-RU"/>
        </w:rPr>
      </w:pPr>
      <w:r w:rsidRPr="00872B4B">
        <w:rPr>
          <w:rFonts w:ascii="Times New Roman" w:eastAsia="Times New Roman" w:hAnsi="Times New Roman"/>
          <w:b/>
          <w:sz w:val="24"/>
          <w:szCs w:val="24"/>
          <w:lang w:val="uk-UA" w:eastAsia="ru-RU"/>
        </w:rPr>
        <w:t>9. Додаткова інформація</w:t>
      </w:r>
    </w:p>
    <w:bookmarkEnd w:id="1"/>
    <w:p w14:paraId="6599F17A" w14:textId="77777777" w:rsidR="006F39EB" w:rsidRPr="00872B4B" w:rsidRDefault="006F39EB" w:rsidP="00A368EF">
      <w:pPr>
        <w:spacing w:before="240" w:after="240"/>
        <w:ind w:firstLine="567"/>
        <w:jc w:val="center"/>
        <w:rPr>
          <w:lang w:val="uk-UA"/>
        </w:rPr>
      </w:pPr>
    </w:p>
    <w:sectPr w:rsidR="006F39EB" w:rsidRPr="00872B4B" w:rsidSect="00971157">
      <w:footerReference w:type="default" r:id="rId7"/>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02AD9" w14:textId="77777777" w:rsidR="00872B4B" w:rsidRDefault="00872B4B" w:rsidP="00872B4B">
      <w:pPr>
        <w:spacing w:after="0" w:line="240" w:lineRule="auto"/>
      </w:pPr>
      <w:r>
        <w:separator/>
      </w:r>
    </w:p>
  </w:endnote>
  <w:endnote w:type="continuationSeparator" w:id="0">
    <w:p w14:paraId="7C57E779" w14:textId="77777777" w:rsidR="00872B4B" w:rsidRDefault="00872B4B" w:rsidP="00872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0594768"/>
      <w:docPartObj>
        <w:docPartGallery w:val="Page Numbers (Bottom of Page)"/>
        <w:docPartUnique/>
      </w:docPartObj>
    </w:sdtPr>
    <w:sdtContent>
      <w:p w14:paraId="069D0B6B" w14:textId="0F0780B5" w:rsidR="00872B4B" w:rsidRDefault="00872B4B">
        <w:pPr>
          <w:pStyle w:val="af5"/>
          <w:jc w:val="center"/>
        </w:pPr>
        <w:r>
          <w:fldChar w:fldCharType="begin"/>
        </w:r>
        <w:r>
          <w:instrText>PAGE   \* MERGEFORMAT</w:instrText>
        </w:r>
        <w:r>
          <w:fldChar w:fldCharType="separate"/>
        </w:r>
        <w:r>
          <w:rPr>
            <w:noProof/>
          </w:rPr>
          <w:t>1</w:t>
        </w:r>
        <w:r>
          <w:fldChar w:fldCharType="end"/>
        </w:r>
      </w:p>
    </w:sdtContent>
  </w:sdt>
  <w:p w14:paraId="6C5F7B78" w14:textId="77777777" w:rsidR="00872B4B" w:rsidRDefault="00872B4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4D53B" w14:textId="77777777" w:rsidR="00872B4B" w:rsidRDefault="00872B4B" w:rsidP="00872B4B">
      <w:pPr>
        <w:spacing w:after="0" w:line="240" w:lineRule="auto"/>
      </w:pPr>
      <w:r>
        <w:separator/>
      </w:r>
    </w:p>
  </w:footnote>
  <w:footnote w:type="continuationSeparator" w:id="0">
    <w:p w14:paraId="39F221C5" w14:textId="77777777" w:rsidR="00872B4B" w:rsidRDefault="00872B4B" w:rsidP="00872B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A0BBA"/>
    <w:rsid w:val="00016514"/>
    <w:rsid w:val="000322D1"/>
    <w:rsid w:val="00081B5F"/>
    <w:rsid w:val="000B34FF"/>
    <w:rsid w:val="001128EE"/>
    <w:rsid w:val="0015488D"/>
    <w:rsid w:val="0019238E"/>
    <w:rsid w:val="001D066B"/>
    <w:rsid w:val="00225EFC"/>
    <w:rsid w:val="00252F07"/>
    <w:rsid w:val="00280974"/>
    <w:rsid w:val="00325534"/>
    <w:rsid w:val="003F5E7B"/>
    <w:rsid w:val="004B5C50"/>
    <w:rsid w:val="004E0EFF"/>
    <w:rsid w:val="00502FE9"/>
    <w:rsid w:val="00541FFE"/>
    <w:rsid w:val="0066443D"/>
    <w:rsid w:val="00694179"/>
    <w:rsid w:val="006F39EB"/>
    <w:rsid w:val="00783570"/>
    <w:rsid w:val="007B00B2"/>
    <w:rsid w:val="007E39E6"/>
    <w:rsid w:val="00805650"/>
    <w:rsid w:val="00814BC3"/>
    <w:rsid w:val="00872B4B"/>
    <w:rsid w:val="00877B14"/>
    <w:rsid w:val="00907512"/>
    <w:rsid w:val="009125DC"/>
    <w:rsid w:val="00971157"/>
    <w:rsid w:val="00975B86"/>
    <w:rsid w:val="00A305B5"/>
    <w:rsid w:val="00A368EF"/>
    <w:rsid w:val="00AC3BBB"/>
    <w:rsid w:val="00AF6D66"/>
    <w:rsid w:val="00B342E0"/>
    <w:rsid w:val="00B62C9A"/>
    <w:rsid w:val="00BA23AD"/>
    <w:rsid w:val="00BD5214"/>
    <w:rsid w:val="00BF2A01"/>
    <w:rsid w:val="00C00C16"/>
    <w:rsid w:val="00C40526"/>
    <w:rsid w:val="00C53F2F"/>
    <w:rsid w:val="00C66FAC"/>
    <w:rsid w:val="00C82F5D"/>
    <w:rsid w:val="00E373AC"/>
    <w:rsid w:val="00E63B5B"/>
    <w:rsid w:val="00E6680E"/>
    <w:rsid w:val="00E72870"/>
    <w:rsid w:val="00F06855"/>
    <w:rsid w:val="00FA0BBA"/>
    <w:rsid w:val="00FA48D1"/>
    <w:rsid w:val="00FB5C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C4455"/>
  <w15:docId w15:val="{428356F8-233A-469F-88D4-D1330D58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BBA"/>
    <w:pPr>
      <w:spacing w:after="200" w:line="276" w:lineRule="auto"/>
    </w:pPr>
    <w:rPr>
      <w:rFonts w:ascii="Calibri" w:eastAsia="Calibri" w:hAnsi="Calibri" w:cs="Times New Roman"/>
      <w:kern w:val="0"/>
      <w:lang w:val="ru-RU"/>
    </w:rPr>
  </w:style>
  <w:style w:type="paragraph" w:styleId="1">
    <w:name w:val="heading 1"/>
    <w:basedOn w:val="a"/>
    <w:next w:val="a"/>
    <w:link w:val="10"/>
    <w:uiPriority w:val="9"/>
    <w:qFormat/>
    <w:rsid w:val="00FA0BB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uk-UA"/>
    </w:rPr>
  </w:style>
  <w:style w:type="paragraph" w:styleId="2">
    <w:name w:val="heading 2"/>
    <w:basedOn w:val="a"/>
    <w:next w:val="a"/>
    <w:link w:val="20"/>
    <w:uiPriority w:val="9"/>
    <w:semiHidden/>
    <w:unhideWhenUsed/>
    <w:qFormat/>
    <w:rsid w:val="00FA0BB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uk-UA"/>
    </w:rPr>
  </w:style>
  <w:style w:type="paragraph" w:styleId="3">
    <w:name w:val="heading 3"/>
    <w:basedOn w:val="a"/>
    <w:next w:val="a"/>
    <w:link w:val="30"/>
    <w:uiPriority w:val="9"/>
    <w:semiHidden/>
    <w:unhideWhenUsed/>
    <w:qFormat/>
    <w:rsid w:val="00FA0BB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uk-UA"/>
    </w:rPr>
  </w:style>
  <w:style w:type="paragraph" w:styleId="4">
    <w:name w:val="heading 4"/>
    <w:basedOn w:val="a"/>
    <w:next w:val="a"/>
    <w:link w:val="40"/>
    <w:uiPriority w:val="9"/>
    <w:semiHidden/>
    <w:unhideWhenUsed/>
    <w:qFormat/>
    <w:rsid w:val="00FA0BBA"/>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uk-UA"/>
    </w:rPr>
  </w:style>
  <w:style w:type="paragraph" w:styleId="5">
    <w:name w:val="heading 5"/>
    <w:basedOn w:val="a"/>
    <w:next w:val="a"/>
    <w:link w:val="50"/>
    <w:uiPriority w:val="9"/>
    <w:semiHidden/>
    <w:unhideWhenUsed/>
    <w:qFormat/>
    <w:rsid w:val="00FA0BBA"/>
    <w:pPr>
      <w:keepNext/>
      <w:keepLines/>
      <w:spacing w:before="80" w:after="40" w:line="259" w:lineRule="auto"/>
      <w:outlineLvl w:val="4"/>
    </w:pPr>
    <w:rPr>
      <w:rFonts w:asciiTheme="minorHAnsi" w:eastAsiaTheme="majorEastAsia" w:hAnsiTheme="minorHAnsi" w:cstheme="majorBidi"/>
      <w:color w:val="0F4761" w:themeColor="accent1" w:themeShade="BF"/>
      <w:kern w:val="2"/>
      <w:lang w:val="uk-UA"/>
    </w:rPr>
  </w:style>
  <w:style w:type="paragraph" w:styleId="6">
    <w:name w:val="heading 6"/>
    <w:basedOn w:val="a"/>
    <w:next w:val="a"/>
    <w:link w:val="60"/>
    <w:uiPriority w:val="9"/>
    <w:semiHidden/>
    <w:unhideWhenUsed/>
    <w:qFormat/>
    <w:rsid w:val="00FA0BBA"/>
    <w:pPr>
      <w:keepNext/>
      <w:keepLines/>
      <w:spacing w:before="40" w:after="0" w:line="259" w:lineRule="auto"/>
      <w:outlineLvl w:val="5"/>
    </w:pPr>
    <w:rPr>
      <w:rFonts w:asciiTheme="minorHAnsi" w:eastAsiaTheme="majorEastAsia" w:hAnsiTheme="minorHAnsi" w:cstheme="majorBidi"/>
      <w:i/>
      <w:iCs/>
      <w:color w:val="595959" w:themeColor="text1" w:themeTint="A6"/>
      <w:kern w:val="2"/>
      <w:lang w:val="uk-UA"/>
    </w:rPr>
  </w:style>
  <w:style w:type="paragraph" w:styleId="7">
    <w:name w:val="heading 7"/>
    <w:basedOn w:val="a"/>
    <w:next w:val="a"/>
    <w:link w:val="70"/>
    <w:uiPriority w:val="9"/>
    <w:semiHidden/>
    <w:unhideWhenUsed/>
    <w:qFormat/>
    <w:rsid w:val="00FA0BBA"/>
    <w:pPr>
      <w:keepNext/>
      <w:keepLines/>
      <w:spacing w:before="40" w:after="0" w:line="259" w:lineRule="auto"/>
      <w:outlineLvl w:val="6"/>
    </w:pPr>
    <w:rPr>
      <w:rFonts w:asciiTheme="minorHAnsi" w:eastAsiaTheme="majorEastAsia" w:hAnsiTheme="minorHAnsi" w:cstheme="majorBidi"/>
      <w:color w:val="595959" w:themeColor="text1" w:themeTint="A6"/>
      <w:kern w:val="2"/>
      <w:lang w:val="uk-UA"/>
    </w:rPr>
  </w:style>
  <w:style w:type="paragraph" w:styleId="8">
    <w:name w:val="heading 8"/>
    <w:basedOn w:val="a"/>
    <w:next w:val="a"/>
    <w:link w:val="80"/>
    <w:uiPriority w:val="9"/>
    <w:semiHidden/>
    <w:unhideWhenUsed/>
    <w:qFormat/>
    <w:rsid w:val="00FA0BBA"/>
    <w:pPr>
      <w:keepNext/>
      <w:keepLines/>
      <w:spacing w:after="0" w:line="259" w:lineRule="auto"/>
      <w:outlineLvl w:val="7"/>
    </w:pPr>
    <w:rPr>
      <w:rFonts w:asciiTheme="minorHAnsi" w:eastAsiaTheme="majorEastAsia" w:hAnsiTheme="minorHAnsi" w:cstheme="majorBidi"/>
      <w:i/>
      <w:iCs/>
      <w:color w:val="272727" w:themeColor="text1" w:themeTint="D8"/>
      <w:kern w:val="2"/>
      <w:lang w:val="uk-UA"/>
    </w:rPr>
  </w:style>
  <w:style w:type="paragraph" w:styleId="9">
    <w:name w:val="heading 9"/>
    <w:basedOn w:val="a"/>
    <w:next w:val="a"/>
    <w:link w:val="90"/>
    <w:uiPriority w:val="9"/>
    <w:semiHidden/>
    <w:unhideWhenUsed/>
    <w:qFormat/>
    <w:rsid w:val="00FA0BBA"/>
    <w:pPr>
      <w:keepNext/>
      <w:keepLines/>
      <w:spacing w:after="0" w:line="259" w:lineRule="auto"/>
      <w:outlineLvl w:val="8"/>
    </w:pPr>
    <w:rPr>
      <w:rFonts w:asciiTheme="minorHAnsi" w:eastAsiaTheme="majorEastAsia" w:hAnsiTheme="minorHAnsi" w:cstheme="majorBidi"/>
      <w:color w:val="272727" w:themeColor="text1" w:themeTint="D8"/>
      <w:kern w:val="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0BBA"/>
    <w:rPr>
      <w:rFonts w:asciiTheme="majorHAnsi" w:eastAsiaTheme="majorEastAsia" w:hAnsiTheme="majorHAnsi" w:cstheme="majorBidi"/>
      <w:color w:val="0F4761" w:themeColor="accent1" w:themeShade="BF"/>
      <w:sz w:val="40"/>
      <w:szCs w:val="40"/>
      <w:lang w:val="uk-UA"/>
    </w:rPr>
  </w:style>
  <w:style w:type="character" w:customStyle="1" w:styleId="20">
    <w:name w:val="Заголовок 2 Знак"/>
    <w:basedOn w:val="a0"/>
    <w:link w:val="2"/>
    <w:uiPriority w:val="9"/>
    <w:semiHidden/>
    <w:rsid w:val="00FA0BBA"/>
    <w:rPr>
      <w:rFonts w:asciiTheme="majorHAnsi" w:eastAsiaTheme="majorEastAsia" w:hAnsiTheme="majorHAnsi" w:cstheme="majorBidi"/>
      <w:color w:val="0F4761" w:themeColor="accent1" w:themeShade="BF"/>
      <w:sz w:val="32"/>
      <w:szCs w:val="32"/>
      <w:lang w:val="uk-UA"/>
    </w:rPr>
  </w:style>
  <w:style w:type="character" w:customStyle="1" w:styleId="30">
    <w:name w:val="Заголовок 3 Знак"/>
    <w:basedOn w:val="a0"/>
    <w:link w:val="3"/>
    <w:uiPriority w:val="9"/>
    <w:semiHidden/>
    <w:rsid w:val="00FA0BBA"/>
    <w:rPr>
      <w:rFonts w:eastAsiaTheme="majorEastAsia" w:cstheme="majorBidi"/>
      <w:color w:val="0F4761" w:themeColor="accent1" w:themeShade="BF"/>
      <w:sz w:val="28"/>
      <w:szCs w:val="28"/>
      <w:lang w:val="uk-UA"/>
    </w:rPr>
  </w:style>
  <w:style w:type="character" w:customStyle="1" w:styleId="40">
    <w:name w:val="Заголовок 4 Знак"/>
    <w:basedOn w:val="a0"/>
    <w:link w:val="4"/>
    <w:uiPriority w:val="9"/>
    <w:semiHidden/>
    <w:rsid w:val="00FA0BBA"/>
    <w:rPr>
      <w:rFonts w:eastAsiaTheme="majorEastAsia" w:cstheme="majorBidi"/>
      <w:i/>
      <w:iCs/>
      <w:color w:val="0F4761" w:themeColor="accent1" w:themeShade="BF"/>
      <w:lang w:val="uk-UA"/>
    </w:rPr>
  </w:style>
  <w:style w:type="character" w:customStyle="1" w:styleId="50">
    <w:name w:val="Заголовок 5 Знак"/>
    <w:basedOn w:val="a0"/>
    <w:link w:val="5"/>
    <w:uiPriority w:val="9"/>
    <w:semiHidden/>
    <w:rsid w:val="00FA0BBA"/>
    <w:rPr>
      <w:rFonts w:eastAsiaTheme="majorEastAsia" w:cstheme="majorBidi"/>
      <w:color w:val="0F4761" w:themeColor="accent1" w:themeShade="BF"/>
      <w:lang w:val="uk-UA"/>
    </w:rPr>
  </w:style>
  <w:style w:type="character" w:customStyle="1" w:styleId="60">
    <w:name w:val="Заголовок 6 Знак"/>
    <w:basedOn w:val="a0"/>
    <w:link w:val="6"/>
    <w:uiPriority w:val="9"/>
    <w:semiHidden/>
    <w:rsid w:val="00FA0BBA"/>
    <w:rPr>
      <w:rFonts w:eastAsiaTheme="majorEastAsia" w:cstheme="majorBidi"/>
      <w:i/>
      <w:iCs/>
      <w:color w:val="595959" w:themeColor="text1" w:themeTint="A6"/>
      <w:lang w:val="uk-UA"/>
    </w:rPr>
  </w:style>
  <w:style w:type="character" w:customStyle="1" w:styleId="70">
    <w:name w:val="Заголовок 7 Знак"/>
    <w:basedOn w:val="a0"/>
    <w:link w:val="7"/>
    <w:uiPriority w:val="9"/>
    <w:semiHidden/>
    <w:rsid w:val="00FA0BBA"/>
    <w:rPr>
      <w:rFonts w:eastAsiaTheme="majorEastAsia" w:cstheme="majorBidi"/>
      <w:color w:val="595959" w:themeColor="text1" w:themeTint="A6"/>
      <w:lang w:val="uk-UA"/>
    </w:rPr>
  </w:style>
  <w:style w:type="character" w:customStyle="1" w:styleId="80">
    <w:name w:val="Заголовок 8 Знак"/>
    <w:basedOn w:val="a0"/>
    <w:link w:val="8"/>
    <w:uiPriority w:val="9"/>
    <w:semiHidden/>
    <w:rsid w:val="00FA0BBA"/>
    <w:rPr>
      <w:rFonts w:eastAsiaTheme="majorEastAsia" w:cstheme="majorBidi"/>
      <w:i/>
      <w:iCs/>
      <w:color w:val="272727" w:themeColor="text1" w:themeTint="D8"/>
      <w:lang w:val="uk-UA"/>
    </w:rPr>
  </w:style>
  <w:style w:type="character" w:customStyle="1" w:styleId="90">
    <w:name w:val="Заголовок 9 Знак"/>
    <w:basedOn w:val="a0"/>
    <w:link w:val="9"/>
    <w:uiPriority w:val="9"/>
    <w:semiHidden/>
    <w:rsid w:val="00FA0BBA"/>
    <w:rPr>
      <w:rFonts w:eastAsiaTheme="majorEastAsia" w:cstheme="majorBidi"/>
      <w:color w:val="272727" w:themeColor="text1" w:themeTint="D8"/>
      <w:lang w:val="uk-UA"/>
    </w:rPr>
  </w:style>
  <w:style w:type="paragraph" w:styleId="a3">
    <w:name w:val="Title"/>
    <w:basedOn w:val="a"/>
    <w:next w:val="a"/>
    <w:link w:val="a4"/>
    <w:uiPriority w:val="10"/>
    <w:qFormat/>
    <w:rsid w:val="00FA0BBA"/>
    <w:pPr>
      <w:spacing w:after="80" w:line="240" w:lineRule="auto"/>
      <w:contextualSpacing/>
    </w:pPr>
    <w:rPr>
      <w:rFonts w:asciiTheme="majorHAnsi" w:eastAsiaTheme="majorEastAsia" w:hAnsiTheme="majorHAnsi" w:cstheme="majorBidi"/>
      <w:spacing w:val="-10"/>
      <w:kern w:val="28"/>
      <w:sz w:val="56"/>
      <w:szCs w:val="56"/>
      <w:lang w:val="uk-UA"/>
    </w:rPr>
  </w:style>
  <w:style w:type="character" w:customStyle="1" w:styleId="a4">
    <w:name w:val="Название Знак"/>
    <w:basedOn w:val="a0"/>
    <w:link w:val="a3"/>
    <w:uiPriority w:val="10"/>
    <w:rsid w:val="00FA0BBA"/>
    <w:rPr>
      <w:rFonts w:asciiTheme="majorHAnsi" w:eastAsiaTheme="majorEastAsia" w:hAnsiTheme="majorHAnsi" w:cstheme="majorBidi"/>
      <w:spacing w:val="-10"/>
      <w:kern w:val="28"/>
      <w:sz w:val="56"/>
      <w:szCs w:val="56"/>
      <w:lang w:val="uk-UA"/>
    </w:rPr>
  </w:style>
  <w:style w:type="paragraph" w:styleId="a5">
    <w:name w:val="Subtitle"/>
    <w:basedOn w:val="a"/>
    <w:next w:val="a"/>
    <w:link w:val="a6"/>
    <w:uiPriority w:val="11"/>
    <w:qFormat/>
    <w:rsid w:val="00FA0BB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uk-UA"/>
    </w:rPr>
  </w:style>
  <w:style w:type="character" w:customStyle="1" w:styleId="a6">
    <w:name w:val="Подзаголовок Знак"/>
    <w:basedOn w:val="a0"/>
    <w:link w:val="a5"/>
    <w:uiPriority w:val="11"/>
    <w:rsid w:val="00FA0BBA"/>
    <w:rPr>
      <w:rFonts w:eastAsiaTheme="majorEastAsia" w:cstheme="majorBidi"/>
      <w:color w:val="595959" w:themeColor="text1" w:themeTint="A6"/>
      <w:spacing w:val="15"/>
      <w:sz w:val="28"/>
      <w:szCs w:val="28"/>
      <w:lang w:val="uk-UA"/>
    </w:rPr>
  </w:style>
  <w:style w:type="paragraph" w:styleId="21">
    <w:name w:val="Quote"/>
    <w:basedOn w:val="a"/>
    <w:next w:val="a"/>
    <w:link w:val="22"/>
    <w:uiPriority w:val="29"/>
    <w:qFormat/>
    <w:rsid w:val="00FA0BBA"/>
    <w:pPr>
      <w:spacing w:before="160" w:after="160" w:line="259" w:lineRule="auto"/>
      <w:jc w:val="center"/>
    </w:pPr>
    <w:rPr>
      <w:rFonts w:asciiTheme="minorHAnsi" w:eastAsiaTheme="minorHAnsi" w:hAnsiTheme="minorHAnsi" w:cstheme="minorBidi"/>
      <w:i/>
      <w:iCs/>
      <w:color w:val="404040" w:themeColor="text1" w:themeTint="BF"/>
      <w:kern w:val="2"/>
      <w:lang w:val="uk-UA"/>
    </w:rPr>
  </w:style>
  <w:style w:type="character" w:customStyle="1" w:styleId="22">
    <w:name w:val="Цитата 2 Знак"/>
    <w:basedOn w:val="a0"/>
    <w:link w:val="21"/>
    <w:uiPriority w:val="29"/>
    <w:rsid w:val="00FA0BBA"/>
    <w:rPr>
      <w:i/>
      <w:iCs/>
      <w:color w:val="404040" w:themeColor="text1" w:themeTint="BF"/>
      <w:lang w:val="uk-UA"/>
    </w:rPr>
  </w:style>
  <w:style w:type="paragraph" w:styleId="a7">
    <w:name w:val="List Paragraph"/>
    <w:basedOn w:val="a"/>
    <w:uiPriority w:val="34"/>
    <w:qFormat/>
    <w:rsid w:val="00FA0BBA"/>
    <w:pPr>
      <w:spacing w:after="160" w:line="259" w:lineRule="auto"/>
      <w:ind w:left="720"/>
      <w:contextualSpacing/>
    </w:pPr>
    <w:rPr>
      <w:rFonts w:asciiTheme="minorHAnsi" w:eastAsiaTheme="minorHAnsi" w:hAnsiTheme="minorHAnsi" w:cstheme="minorBidi"/>
      <w:kern w:val="2"/>
      <w:lang w:val="uk-UA"/>
    </w:rPr>
  </w:style>
  <w:style w:type="character" w:styleId="a8">
    <w:name w:val="Intense Emphasis"/>
    <w:basedOn w:val="a0"/>
    <w:uiPriority w:val="21"/>
    <w:qFormat/>
    <w:rsid w:val="00FA0BBA"/>
    <w:rPr>
      <w:i/>
      <w:iCs/>
      <w:color w:val="0F4761" w:themeColor="accent1" w:themeShade="BF"/>
    </w:rPr>
  </w:style>
  <w:style w:type="paragraph" w:styleId="a9">
    <w:name w:val="Intense Quote"/>
    <w:basedOn w:val="a"/>
    <w:next w:val="a"/>
    <w:link w:val="aa"/>
    <w:uiPriority w:val="30"/>
    <w:qFormat/>
    <w:rsid w:val="00FA0BB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uk-UA"/>
    </w:rPr>
  </w:style>
  <w:style w:type="character" w:customStyle="1" w:styleId="aa">
    <w:name w:val="Выделенная цитата Знак"/>
    <w:basedOn w:val="a0"/>
    <w:link w:val="a9"/>
    <w:uiPriority w:val="30"/>
    <w:rsid w:val="00FA0BBA"/>
    <w:rPr>
      <w:i/>
      <w:iCs/>
      <w:color w:val="0F4761" w:themeColor="accent1" w:themeShade="BF"/>
      <w:lang w:val="uk-UA"/>
    </w:rPr>
  </w:style>
  <w:style w:type="character" w:styleId="ab">
    <w:name w:val="Intense Reference"/>
    <w:basedOn w:val="a0"/>
    <w:uiPriority w:val="32"/>
    <w:qFormat/>
    <w:rsid w:val="00FA0BBA"/>
    <w:rPr>
      <w:b/>
      <w:bCs/>
      <w:smallCaps/>
      <w:color w:val="0F4761" w:themeColor="accent1" w:themeShade="BF"/>
      <w:spacing w:val="5"/>
    </w:rPr>
  </w:style>
  <w:style w:type="character" w:styleId="ac">
    <w:name w:val="annotation reference"/>
    <w:basedOn w:val="a0"/>
    <w:uiPriority w:val="99"/>
    <w:semiHidden/>
    <w:unhideWhenUsed/>
    <w:rsid w:val="001D066B"/>
    <w:rPr>
      <w:sz w:val="16"/>
      <w:szCs w:val="16"/>
    </w:rPr>
  </w:style>
  <w:style w:type="paragraph" w:styleId="ad">
    <w:name w:val="annotation text"/>
    <w:basedOn w:val="a"/>
    <w:link w:val="ae"/>
    <w:uiPriority w:val="99"/>
    <w:semiHidden/>
    <w:unhideWhenUsed/>
    <w:rsid w:val="001D066B"/>
    <w:pPr>
      <w:spacing w:line="240" w:lineRule="auto"/>
    </w:pPr>
    <w:rPr>
      <w:sz w:val="20"/>
      <w:szCs w:val="20"/>
    </w:rPr>
  </w:style>
  <w:style w:type="character" w:customStyle="1" w:styleId="ae">
    <w:name w:val="Текст примечания Знак"/>
    <w:basedOn w:val="a0"/>
    <w:link w:val="ad"/>
    <w:uiPriority w:val="99"/>
    <w:semiHidden/>
    <w:rsid w:val="001D066B"/>
    <w:rPr>
      <w:rFonts w:ascii="Calibri" w:eastAsia="Calibri" w:hAnsi="Calibri" w:cs="Times New Roman"/>
      <w:kern w:val="0"/>
      <w:sz w:val="20"/>
      <w:szCs w:val="20"/>
      <w:lang w:val="ru-RU"/>
    </w:rPr>
  </w:style>
  <w:style w:type="paragraph" w:styleId="af">
    <w:name w:val="annotation subject"/>
    <w:basedOn w:val="ad"/>
    <w:next w:val="ad"/>
    <w:link w:val="af0"/>
    <w:uiPriority w:val="99"/>
    <w:semiHidden/>
    <w:unhideWhenUsed/>
    <w:rsid w:val="001D066B"/>
    <w:rPr>
      <w:b/>
      <w:bCs/>
    </w:rPr>
  </w:style>
  <w:style w:type="character" w:customStyle="1" w:styleId="af0">
    <w:name w:val="Тема примечания Знак"/>
    <w:basedOn w:val="ae"/>
    <w:link w:val="af"/>
    <w:uiPriority w:val="99"/>
    <w:semiHidden/>
    <w:rsid w:val="001D066B"/>
    <w:rPr>
      <w:rFonts w:ascii="Calibri" w:eastAsia="Calibri" w:hAnsi="Calibri" w:cs="Times New Roman"/>
      <w:b/>
      <w:bCs/>
      <w:kern w:val="0"/>
      <w:sz w:val="20"/>
      <w:szCs w:val="20"/>
      <w:lang w:val="ru-RU"/>
    </w:rPr>
  </w:style>
  <w:style w:type="paragraph" w:styleId="af1">
    <w:name w:val="Balloon Text"/>
    <w:basedOn w:val="a"/>
    <w:link w:val="af2"/>
    <w:uiPriority w:val="99"/>
    <w:semiHidden/>
    <w:unhideWhenUsed/>
    <w:rsid w:val="001D066B"/>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D066B"/>
    <w:rPr>
      <w:rFonts w:ascii="Tahoma" w:eastAsia="Calibri" w:hAnsi="Tahoma" w:cs="Tahoma"/>
      <w:kern w:val="0"/>
      <w:sz w:val="16"/>
      <w:szCs w:val="16"/>
      <w:lang w:val="ru-RU"/>
    </w:rPr>
  </w:style>
  <w:style w:type="paragraph" w:styleId="af3">
    <w:name w:val="header"/>
    <w:basedOn w:val="a"/>
    <w:link w:val="af4"/>
    <w:uiPriority w:val="99"/>
    <w:unhideWhenUsed/>
    <w:rsid w:val="00872B4B"/>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872B4B"/>
    <w:rPr>
      <w:rFonts w:ascii="Calibri" w:eastAsia="Calibri" w:hAnsi="Calibri" w:cs="Times New Roman"/>
      <w:kern w:val="0"/>
      <w:lang w:val="ru-RU"/>
    </w:rPr>
  </w:style>
  <w:style w:type="paragraph" w:styleId="af5">
    <w:name w:val="footer"/>
    <w:basedOn w:val="a"/>
    <w:link w:val="af6"/>
    <w:uiPriority w:val="99"/>
    <w:unhideWhenUsed/>
    <w:rsid w:val="00872B4B"/>
    <w:pPr>
      <w:tabs>
        <w:tab w:val="center" w:pos="4819"/>
        <w:tab w:val="right" w:pos="9639"/>
      </w:tabs>
      <w:spacing w:after="0" w:line="240" w:lineRule="auto"/>
    </w:pPr>
  </w:style>
  <w:style w:type="character" w:customStyle="1" w:styleId="af6">
    <w:name w:val="Нижний колонтитул Знак"/>
    <w:basedOn w:val="a0"/>
    <w:link w:val="af5"/>
    <w:uiPriority w:val="99"/>
    <w:rsid w:val="00872B4B"/>
    <w:rPr>
      <w:rFonts w:ascii="Calibri" w:eastAsia="Calibri" w:hAnsi="Calibri" w:cs="Times New Roman"/>
      <w:kern w:val="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A46B8-5592-47B2-A77B-9A59339D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1375</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Ткачова</dc:creator>
  <cp:keywords/>
  <dc:description/>
  <cp:lastModifiedBy>Vasyl</cp:lastModifiedBy>
  <cp:revision>32</cp:revision>
  <dcterms:created xsi:type="dcterms:W3CDTF">2025-12-22T07:28:00Z</dcterms:created>
  <dcterms:modified xsi:type="dcterms:W3CDTF">2026-02-20T14:25:00Z</dcterms:modified>
</cp:coreProperties>
</file>