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46D59" w14:textId="77777777" w:rsidR="00C830D8" w:rsidRPr="00F0497C" w:rsidRDefault="003242C7" w:rsidP="00BB7CF6">
      <w:pPr>
        <w:ind w:firstLineChars="150" w:firstLine="361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Коротка характеристика препарату</w:t>
      </w:r>
    </w:p>
    <w:p w14:paraId="0F13ABE7" w14:textId="77777777" w:rsidR="00C830D8" w:rsidRPr="00F0497C" w:rsidRDefault="003242C7" w:rsidP="005C530E">
      <w:pPr>
        <w:numPr>
          <w:ilvl w:val="0"/>
          <w:numId w:val="1"/>
        </w:numPr>
        <w:ind w:firstLineChars="150" w:firstLine="36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Назва</w:t>
      </w:r>
    </w:p>
    <w:p w14:paraId="2FC85279" w14:textId="77777777" w:rsidR="00C830D8" w:rsidRPr="00F0497C" w:rsidRDefault="003242C7" w:rsidP="005C530E">
      <w:pPr>
        <w:ind w:firstLineChars="150"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Засіб дезінфікуючий універсальний “ДЕЗОКС”</w:t>
      </w:r>
    </w:p>
    <w:p w14:paraId="1A23079F" w14:textId="77777777" w:rsidR="00C830D8" w:rsidRPr="00F0497C" w:rsidRDefault="003242C7" w:rsidP="005C530E">
      <w:pPr>
        <w:numPr>
          <w:ilvl w:val="0"/>
          <w:numId w:val="1"/>
        </w:num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Склад</w:t>
      </w:r>
    </w:p>
    <w:p w14:paraId="71B1D3D3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100 мл препарату містять (%):</w:t>
      </w:r>
    </w:p>
    <w:p w14:paraId="1E900309" w14:textId="5AC66297" w:rsidR="00C830D8" w:rsidRPr="00F0497C" w:rsidRDefault="006C2449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кислоту н</w:t>
      </w:r>
      <w:r w:rsidR="003242C7" w:rsidRPr="00F0497C">
        <w:rPr>
          <w:rFonts w:ascii="Times New Roman" w:hAnsi="Times New Roman" w:cs="Times New Roman"/>
          <w:sz w:val="24"/>
          <w:szCs w:val="24"/>
          <w:lang w:val="uk-UA"/>
        </w:rPr>
        <w:t>адоцтову (пероцтову)     - 15-18;</w:t>
      </w:r>
    </w:p>
    <w:p w14:paraId="77B4833F" w14:textId="1582FF7E" w:rsidR="00C830D8" w:rsidRPr="00F0497C" w:rsidRDefault="006C2449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3242C7" w:rsidRPr="00F0497C">
        <w:rPr>
          <w:rFonts w:ascii="Times New Roman" w:hAnsi="Times New Roman" w:cs="Times New Roman"/>
          <w:sz w:val="24"/>
          <w:szCs w:val="24"/>
          <w:lang w:val="uk-UA"/>
        </w:rPr>
        <w:t>ероксид водню                               - 15-20;</w:t>
      </w:r>
    </w:p>
    <w:p w14:paraId="55071CEC" w14:textId="1EC1A786" w:rsidR="00C830D8" w:rsidRPr="00F0497C" w:rsidRDefault="006C2449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кислоту о</w:t>
      </w:r>
      <w:r w:rsidR="003242C7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цтову                                 - 20-25; </w:t>
      </w:r>
    </w:p>
    <w:p w14:paraId="622EE3E0" w14:textId="2D97C4FD" w:rsidR="00C830D8" w:rsidRPr="00F0497C" w:rsidRDefault="00F0497C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Допоміжні речовини: </w:t>
      </w:r>
      <w:r w:rsidR="006C2449" w:rsidRPr="00F0497C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атрію дифосфат, в</w:t>
      </w:r>
      <w:r w:rsidR="003242C7" w:rsidRPr="00F0497C">
        <w:rPr>
          <w:rFonts w:ascii="Times New Roman" w:hAnsi="Times New Roman" w:cs="Times New Roman"/>
          <w:sz w:val="24"/>
          <w:szCs w:val="24"/>
          <w:lang w:val="uk-UA"/>
        </w:rPr>
        <w:t>од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а.</w:t>
      </w:r>
    </w:p>
    <w:p w14:paraId="409C0FEF" w14:textId="77777777" w:rsidR="00C830D8" w:rsidRPr="00F0497C" w:rsidRDefault="003242C7" w:rsidP="005C530E">
      <w:pPr>
        <w:numPr>
          <w:ilvl w:val="0"/>
          <w:numId w:val="1"/>
        </w:num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Фармацевтична форма</w:t>
      </w:r>
    </w:p>
    <w:p w14:paraId="3C36CB7A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Розчин для дезінфекції</w:t>
      </w:r>
    </w:p>
    <w:p w14:paraId="67893ACD" w14:textId="77777777" w:rsidR="00C830D8" w:rsidRPr="00F0497C" w:rsidRDefault="003242C7" w:rsidP="005C530E">
      <w:pPr>
        <w:numPr>
          <w:ilvl w:val="0"/>
          <w:numId w:val="1"/>
        </w:num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Фармакологічні властивості</w:t>
      </w:r>
    </w:p>
    <w:p w14:paraId="31C88A6F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АТС </w:t>
      </w:r>
      <w:r w:rsidRPr="00F0497C">
        <w:rPr>
          <w:rFonts w:ascii="Times New Roman" w:hAnsi="Times New Roman" w:cs="Times New Roman"/>
          <w:sz w:val="24"/>
          <w:szCs w:val="24"/>
        </w:rPr>
        <w:t xml:space="preserve">vet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класифікаційний код:</w:t>
      </w:r>
    </w:p>
    <w:p w14:paraId="007CC6F2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</w:rPr>
        <w:t xml:space="preserve">QV07AV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- Технічні дезінфеканти.</w:t>
      </w:r>
    </w:p>
    <w:p w14:paraId="1324812D" w14:textId="3B457D3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Препарат має високу бактерицидну (</w:t>
      </w:r>
      <w:r w:rsidRPr="00F0497C">
        <w:rPr>
          <w:rFonts w:ascii="Times New Roman" w:hAnsi="Times New Roman" w:cs="Times New Roman"/>
          <w:i/>
          <w:sz w:val="24"/>
          <w:szCs w:val="24"/>
        </w:rPr>
        <w:t>Staphylococcus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aureus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 w:rsidRPr="00F0497C">
        <w:rPr>
          <w:rFonts w:ascii="Times New Roman" w:hAnsi="Times New Roman" w:cs="Times New Roman"/>
          <w:i/>
          <w:sz w:val="24"/>
          <w:szCs w:val="24"/>
        </w:rPr>
        <w:t>bacillus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subtilis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 w:rsidRPr="00F0497C">
        <w:rPr>
          <w:rFonts w:ascii="Times New Roman" w:hAnsi="Times New Roman" w:cs="Times New Roman"/>
          <w:i/>
          <w:sz w:val="24"/>
          <w:szCs w:val="24"/>
        </w:rPr>
        <w:t>Pseudomonas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aeruginosa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 w:rsidRPr="00F0497C">
        <w:rPr>
          <w:rFonts w:ascii="Times New Roman" w:hAnsi="Times New Roman" w:cs="Times New Roman"/>
          <w:i/>
          <w:sz w:val="24"/>
          <w:szCs w:val="24"/>
        </w:rPr>
        <w:t>Escherichia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coli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 w:rsidRPr="00F0497C">
        <w:rPr>
          <w:rFonts w:ascii="Times New Roman" w:hAnsi="Times New Roman" w:cs="Times New Roman"/>
          <w:i/>
          <w:sz w:val="24"/>
          <w:szCs w:val="24"/>
        </w:rPr>
        <w:t>Klebsiella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pneumonia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 w:rsidRPr="00F0497C">
        <w:rPr>
          <w:rFonts w:ascii="Times New Roman" w:hAnsi="Times New Roman" w:cs="Times New Roman"/>
          <w:i/>
          <w:sz w:val="24"/>
          <w:szCs w:val="24"/>
        </w:rPr>
        <w:t>Proteus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vulgaris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 w:rsidRPr="00F0497C">
        <w:rPr>
          <w:rFonts w:ascii="Times New Roman" w:hAnsi="Times New Roman" w:cs="Times New Roman"/>
          <w:i/>
          <w:sz w:val="24"/>
          <w:szCs w:val="24"/>
        </w:rPr>
        <w:t>Salmonella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typhymurium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), туберкулоцидну (</w:t>
      </w:r>
      <w:r w:rsidRPr="00F0497C">
        <w:rPr>
          <w:rFonts w:ascii="Times New Roman" w:hAnsi="Times New Roman" w:cs="Times New Roman"/>
          <w:i/>
          <w:sz w:val="24"/>
          <w:szCs w:val="24"/>
        </w:rPr>
        <w:t>Micobacterium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bovis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 w:rsidRPr="00F0497C">
        <w:rPr>
          <w:rFonts w:ascii="Times New Roman" w:hAnsi="Times New Roman" w:cs="Times New Roman"/>
          <w:i/>
          <w:sz w:val="24"/>
          <w:szCs w:val="24"/>
        </w:rPr>
        <w:t>Micobacterium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fortuitum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 w:rsidRPr="00F0497C">
        <w:rPr>
          <w:rFonts w:ascii="Times New Roman" w:hAnsi="Times New Roman" w:cs="Times New Roman"/>
          <w:i/>
          <w:sz w:val="24"/>
          <w:szCs w:val="24"/>
        </w:rPr>
        <w:t>Micobacterium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avium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), фунгіцидну (</w:t>
      </w:r>
      <w:r w:rsidRPr="00F0497C">
        <w:rPr>
          <w:rFonts w:ascii="Times New Roman" w:hAnsi="Times New Roman" w:cs="Times New Roman"/>
          <w:i/>
          <w:sz w:val="24"/>
          <w:szCs w:val="24"/>
        </w:rPr>
        <w:t>Aspergillus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flavus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r w:rsidRPr="00F0497C">
        <w:rPr>
          <w:rFonts w:ascii="Times New Roman" w:hAnsi="Times New Roman" w:cs="Times New Roman"/>
          <w:i/>
          <w:sz w:val="24"/>
          <w:szCs w:val="24"/>
        </w:rPr>
        <w:t>Candida</w:t>
      </w:r>
      <w:r w:rsidRPr="00F049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i/>
          <w:sz w:val="24"/>
          <w:szCs w:val="24"/>
        </w:rPr>
        <w:t>albicans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), віруліцидну (в тому числі на вірус грипу) і спороцидну ді</w:t>
      </w:r>
      <w:r w:rsidR="005C530E" w:rsidRPr="00F0497C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F6D4A30" w14:textId="77777777" w:rsidR="00C830D8" w:rsidRPr="00F0497C" w:rsidRDefault="003242C7" w:rsidP="005C530E">
      <w:pPr>
        <w:numPr>
          <w:ilvl w:val="0"/>
          <w:numId w:val="1"/>
        </w:num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Клінічні особливості</w:t>
      </w:r>
    </w:p>
    <w:p w14:paraId="04780920" w14:textId="77777777" w:rsidR="00C830D8" w:rsidRPr="00F0497C" w:rsidRDefault="003242C7" w:rsidP="005C530E">
      <w:pPr>
        <w:numPr>
          <w:ilvl w:val="1"/>
          <w:numId w:val="1"/>
        </w:num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Вид тварин</w:t>
      </w:r>
    </w:p>
    <w:p w14:paraId="0536DA2E" w14:textId="77777777" w:rsidR="00C830D8" w:rsidRPr="00F0497C" w:rsidRDefault="003242C7" w:rsidP="005C530E">
      <w:pPr>
        <w:ind w:leftChars="150" w:left="300" w:firstLineChars="5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Безпосередньо не стосується.</w:t>
      </w:r>
    </w:p>
    <w:p w14:paraId="0BB335F8" w14:textId="77777777" w:rsidR="00C830D8" w:rsidRPr="00F0497C" w:rsidRDefault="003242C7" w:rsidP="005C530E">
      <w:pPr>
        <w:numPr>
          <w:ilvl w:val="1"/>
          <w:numId w:val="1"/>
        </w:num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Показання до застосування</w:t>
      </w:r>
    </w:p>
    <w:p w14:paraId="679FC016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Препарат застосовується для дезінфекції тваринницьких та птахівничих приміщень, об’єктів та обладнання, які підлягають ветеринарному нагляду.</w:t>
      </w:r>
    </w:p>
    <w:p w14:paraId="1F9BDF38" w14:textId="77777777" w:rsidR="00C830D8" w:rsidRPr="00F0497C" w:rsidRDefault="003242C7" w:rsidP="005C530E">
      <w:pPr>
        <w:numPr>
          <w:ilvl w:val="1"/>
          <w:numId w:val="1"/>
        </w:num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Протипоказання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br/>
        <w:t xml:space="preserve">     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Немає.</w:t>
      </w:r>
    </w:p>
    <w:p w14:paraId="17B4D1E8" w14:textId="77777777" w:rsidR="00C830D8" w:rsidRPr="00F0497C" w:rsidRDefault="003242C7" w:rsidP="005C530E">
      <w:pPr>
        <w:numPr>
          <w:ilvl w:val="1"/>
          <w:numId w:val="1"/>
        </w:num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Побічна дія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br/>
        <w:t xml:space="preserve">     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Не виявлена.</w:t>
      </w:r>
    </w:p>
    <w:p w14:paraId="4BCFCC26" w14:textId="77777777" w:rsidR="00C830D8" w:rsidRPr="00F0497C" w:rsidRDefault="003242C7" w:rsidP="005C530E">
      <w:pPr>
        <w:numPr>
          <w:ilvl w:val="1"/>
          <w:numId w:val="1"/>
        </w:num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Особливі застереження при використанні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br/>
        <w:t xml:space="preserve">     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Не застосовувати в присутності тварин та птиці.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br/>
        <w:t>Робочий розчин не зберігають. Готується безпосередньо перед використанням в необхідній кількості.</w:t>
      </w:r>
    </w:p>
    <w:p w14:paraId="377DEA9D" w14:textId="77777777" w:rsidR="00C830D8" w:rsidRPr="00F0497C" w:rsidRDefault="003242C7" w:rsidP="005C530E">
      <w:pPr>
        <w:numPr>
          <w:ilvl w:val="1"/>
          <w:numId w:val="1"/>
        </w:num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Використання під час вагітності, лактації, несучості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br/>
        <w:t xml:space="preserve">     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Не має відношення.</w:t>
      </w:r>
    </w:p>
    <w:p w14:paraId="7BF9A872" w14:textId="77777777" w:rsidR="00C830D8" w:rsidRPr="00F0497C" w:rsidRDefault="003242C7" w:rsidP="005C530E">
      <w:pPr>
        <w:numPr>
          <w:ilvl w:val="1"/>
          <w:numId w:val="1"/>
        </w:num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Взаємодія з іншими засобами та інші форми взаємодії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br/>
        <w:t xml:space="preserve">     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Засіб є сильним окислювачем.</w:t>
      </w:r>
    </w:p>
    <w:p w14:paraId="517B9D9C" w14:textId="77777777" w:rsidR="00C830D8" w:rsidRPr="00F0497C" w:rsidRDefault="003242C7" w:rsidP="005C530E">
      <w:p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5.8 Дози і способи застосування препарату</w:t>
      </w:r>
    </w:p>
    <w:p w14:paraId="7CF5B085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Для дезінфекції сільськогосподарських приміщень,об’єктів ветеринарного нагляду та обладнання використовують водні розчини засобу.Дезінфекцію проводять після ретельної механічної та санітарної  очистки поверхонь об’єктів знезараження.</w:t>
      </w:r>
    </w:p>
    <w:p w14:paraId="0B7B8161" w14:textId="2E795A0E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Для проведення профілактичної та вимушеної дезінфекції застосовують 0,2% робочий розчин препарату (20</w:t>
      </w:r>
      <w:r w:rsidR="005C530E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мл препарату на 10</w:t>
      </w:r>
      <w:r w:rsidR="005C530E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л води):</w:t>
      </w:r>
    </w:p>
    <w:p w14:paraId="53B9CACE" w14:textId="45D7BDB0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- для вологої дезінфекції при витраті дезінфікуючого розчину 0,3</w:t>
      </w:r>
      <w:r w:rsidR="005C530E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л на 1 м</w:t>
      </w:r>
      <w:r w:rsidRPr="00F0497C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площі при експозиції від 30 хв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>илин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до 2 годин;</w:t>
      </w:r>
    </w:p>
    <w:p w14:paraId="620B32AB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- для аерозольної дезінфекції при витраті дезінфікуючого розчину 20 мл на 1 м</w:t>
      </w:r>
      <w:r w:rsidRPr="00F0497C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при експозиції не менше 30 хвилин.</w:t>
      </w:r>
    </w:p>
    <w:p w14:paraId="7D13932F" w14:textId="2CFFBCD9" w:rsidR="00C830D8" w:rsidRPr="00F0497C" w:rsidRDefault="003242C7" w:rsidP="00F0497C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Дезінфекцію тваринницьких приміщень при туберкульозі сільськогосподарських тварин проводять 0,5% водним розчином препарату (50 мл препарату на 10 л води). Норма витрати розчину 0,5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л на 1 м</w:t>
      </w:r>
      <w:r w:rsidRPr="00F0497C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площі при експозиції від 1 до 2 годин.</w:t>
      </w:r>
    </w:p>
    <w:p w14:paraId="5C554653" w14:textId="018FB2F8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При сибірці з</w:t>
      </w:r>
      <w:r w:rsidR="00F0497C" w:rsidRPr="00F0497C">
        <w:rPr>
          <w:rFonts w:ascii="Times New Roman" w:hAnsi="Times New Roman" w:cs="Times New Roman"/>
          <w:sz w:val="24"/>
          <w:szCs w:val="24"/>
          <w:lang w:val="uk-UA"/>
        </w:rPr>
        <w:t>астосовують 7% розчин препарату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при витраті розчину 0,5л на 1 м</w:t>
      </w:r>
      <w:r w:rsidRPr="00F0497C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площі при експозиції від 60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хв до 2 годин.</w:t>
      </w:r>
    </w:p>
    <w:p w14:paraId="712D7C6F" w14:textId="6A49E2A2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lastRenderedPageBreak/>
        <w:t>Для заправки дезбар’єрів, ванн для дезінфекції взуття використовують 0,5% водний розчин препарату (50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мл препарату на 10л води). Змінювати розчин по мірі забруднення, висихання або 1 раз на тиждень.</w:t>
      </w:r>
    </w:p>
    <w:p w14:paraId="4E0B2FBC" w14:textId="1BEE9EC9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Для заключної дезінфекції водопровідних систем використовують 0,1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0,2% розчин (10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мл препарату на 10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л води), заповнюючи всю систему. Експозиція 1-2 години. Залишки дезінфекційного засобу змивають водою.</w:t>
      </w:r>
    </w:p>
    <w:p w14:paraId="2ECD65F0" w14:textId="6F2F020D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Знезаражування поверхні інкубаційних яєць проводять 0,1%  розчином препарату при витраті 10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мл робочого розчину на 1 м</w:t>
      </w:r>
      <w:r w:rsidRPr="00F0497C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та експозиції не менше 60 хв або 0,2% розчином препарату при експозиції не менше 30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хв. Для обробки лотків використовують 0,2% розчин препарату при експозиції 30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хв або 0,5%  -  при експозиції 15 хв.</w:t>
      </w:r>
    </w:p>
    <w:p w14:paraId="7042BD18" w14:textId="3CA02746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Для обробки технологічного обладнання, тари, інвентарю  використовують 0,1% розчин препарату для профілактичної дезінфекції та 0,2% розчин для вимушеної дезінфекції з експозицією 15</w:t>
      </w:r>
      <w:r w:rsidR="00E76894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хв. Залишки дезінфекційного засобу змивають водою.</w:t>
      </w:r>
    </w:p>
    <w:p w14:paraId="64036269" w14:textId="77777777" w:rsidR="00C830D8" w:rsidRPr="00F0497C" w:rsidRDefault="003242C7" w:rsidP="005C530E">
      <w:p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5.9 Передозування (симптоми, невідкладні заходи, антидоти)</w:t>
      </w:r>
    </w:p>
    <w:p w14:paraId="371AED64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Не має відношення.</w:t>
      </w:r>
    </w:p>
    <w:p w14:paraId="7BA0B987" w14:textId="77777777" w:rsidR="00C830D8" w:rsidRPr="00F0497C" w:rsidRDefault="003242C7" w:rsidP="005C530E">
      <w:p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5.10 Спеціальні застереження</w:t>
      </w:r>
    </w:p>
    <w:p w14:paraId="7E8A22DD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В разі необхідності використання приміщення негайно після обробки, необхідно знищити запах оцтової кислоти провітрюванням приміщення або вентилюванням до зникнення запаху.</w:t>
      </w:r>
    </w:p>
    <w:p w14:paraId="01503D82" w14:textId="77777777" w:rsidR="00C830D8" w:rsidRPr="00F0497C" w:rsidRDefault="003242C7" w:rsidP="005C530E">
      <w:p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ru-RU"/>
        </w:rPr>
        <w:t>5.11</w:t>
      </w:r>
      <w:r w:rsidRPr="00F049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Період виведення (каренції)</w:t>
      </w:r>
    </w:p>
    <w:p w14:paraId="1D0FF627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Не стосується.</w:t>
      </w:r>
    </w:p>
    <w:p w14:paraId="43AD0C1E" w14:textId="77777777" w:rsidR="00C830D8" w:rsidRPr="00F0497C" w:rsidRDefault="003242C7" w:rsidP="005C530E">
      <w:p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5.12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Спеціальні застереження для осіб і обслуговуючого персоналу</w:t>
      </w:r>
    </w:p>
    <w:p w14:paraId="0B8806C5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До роботи допускаються особи не молодші 18 років.</w:t>
      </w:r>
    </w:p>
    <w:p w14:paraId="788FEA52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При роботі з “Дезоксом” необхідно користуватися засобами індивідуального захисту та спецодягом. Роботи проводити в халаті та прогумованому фартусі, гумових рукавицях, захисних окулярах, універсальному респіраторі типу “РУ-60М” або фільтруючому протигазі марки БКФ. Всі електроприлади повинні бути вимкнені.</w:t>
      </w:r>
    </w:p>
    <w:p w14:paraId="547886DD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При аерозольному використанні препарату обробку проводять за відсутності персоналу в приміщенні, при забезпеченні герметичності приміщень (зачинені вікна, двері), вимкненій вентиляції. Під час робіт забороняється палити, вживати їжу, пити.</w:t>
      </w:r>
    </w:p>
    <w:p w14:paraId="4A182FCE" w14:textId="77777777" w:rsidR="00C830D8" w:rsidRPr="00F0497C" w:rsidRDefault="003242C7" w:rsidP="005C530E">
      <w:pPr>
        <w:numPr>
          <w:ilvl w:val="0"/>
          <w:numId w:val="1"/>
        </w:num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Фармацевтичні особливості</w:t>
      </w:r>
    </w:p>
    <w:p w14:paraId="316508C6" w14:textId="77777777" w:rsidR="00C830D8" w:rsidRPr="00F0497C" w:rsidRDefault="003242C7" w:rsidP="005C530E">
      <w:pPr>
        <w:ind w:leftChars="150" w:left="300" w:firstLineChars="50" w:firstLine="12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6.1 Форми несумісності (основні)</w:t>
      </w:r>
    </w:p>
    <w:p w14:paraId="5ED54543" w14:textId="77777777" w:rsidR="00C830D8" w:rsidRPr="00F0497C" w:rsidRDefault="003242C7" w:rsidP="005C530E">
      <w:pPr>
        <w:ind w:leftChars="150" w:left="300" w:firstLineChars="5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Не встановленні.</w:t>
      </w:r>
    </w:p>
    <w:p w14:paraId="46E66333" w14:textId="77777777" w:rsidR="00C830D8" w:rsidRPr="00F0497C" w:rsidRDefault="003242C7" w:rsidP="005C530E">
      <w:p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6.2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Термін придатності</w:t>
      </w:r>
    </w:p>
    <w:p w14:paraId="361EC1C9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6 місяців.</w:t>
      </w:r>
    </w:p>
    <w:p w14:paraId="15864FF8" w14:textId="77777777" w:rsidR="00C830D8" w:rsidRPr="00F0497C" w:rsidRDefault="003242C7" w:rsidP="005C530E">
      <w:p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6.3 Особливі заходи зберігання</w:t>
      </w:r>
    </w:p>
    <w:p w14:paraId="56F55B9B" w14:textId="386A947E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Зберігати в оригінальному пакуванні виробника в затемнених, добре вентильованих</w:t>
      </w:r>
      <w:r w:rsidR="009505DE" w:rsidRPr="00F0497C">
        <w:rPr>
          <w:rFonts w:ascii="Times New Roman" w:hAnsi="Times New Roman" w:cs="Times New Roman"/>
          <w:sz w:val="24"/>
          <w:szCs w:val="24"/>
          <w:lang w:val="uk-UA"/>
        </w:rPr>
        <w:t>, недоступних для дітей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приміщеннях за температури від 0 до 20</w:t>
      </w:r>
      <w:r w:rsidR="009505DE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°С. Препарат не замерзає при температурі до мінус 20°С.</w:t>
      </w:r>
    </w:p>
    <w:p w14:paraId="51F3411B" w14:textId="77777777" w:rsidR="00C830D8" w:rsidRPr="00F0497C" w:rsidRDefault="003242C7" w:rsidP="005C530E">
      <w:p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6.4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Природа і склад контейнера первинного упакування</w:t>
      </w:r>
    </w:p>
    <w:p w14:paraId="22841B5E" w14:textId="3031036F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Поліетиленові каністри по 5,</w:t>
      </w:r>
      <w:r w:rsidR="009505DE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9505DE"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F0497C" w:rsidRPr="00F0497C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497C" w:rsidRPr="00F0497C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та поліетиленові бочки по 5</w:t>
      </w:r>
      <w:r w:rsidR="00F0497C" w:rsidRPr="00F0497C">
        <w:rPr>
          <w:rFonts w:ascii="Times New Roman" w:hAnsi="Times New Roman" w:cs="Times New Roman"/>
          <w:sz w:val="24"/>
          <w:szCs w:val="24"/>
          <w:lang w:val="uk-UA"/>
        </w:rPr>
        <w:t>0 та 200 л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A9F7B60" w14:textId="77777777" w:rsidR="00C830D8" w:rsidRPr="00F0497C" w:rsidRDefault="003242C7" w:rsidP="005C530E">
      <w:pPr>
        <w:ind w:firstLineChars="150" w:firstLine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6.5</w:t>
      </w:r>
      <w:r w:rsidRPr="00F049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Особливі заходи безпеки при поводженні з невикористаним препаратом або із його залишками</w:t>
      </w:r>
    </w:p>
    <w:p w14:paraId="7F5FC944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Не використаний засіб розводять великою кількістю води (в 100-200 раз) та нейтралізують розчином соди.</w:t>
      </w:r>
    </w:p>
    <w:p w14:paraId="06D07BEB" w14:textId="77777777" w:rsidR="00C830D8" w:rsidRPr="00F0497C" w:rsidRDefault="003242C7" w:rsidP="005C530E">
      <w:pPr>
        <w:numPr>
          <w:ilvl w:val="0"/>
          <w:numId w:val="1"/>
        </w:num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Назва та місце знаходження власн</w:t>
      </w:r>
      <w:bookmarkStart w:id="0" w:name="_GoBack"/>
      <w:bookmarkEnd w:id="0"/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ика реєстраційного посвідчення</w:t>
      </w:r>
    </w:p>
    <w:p w14:paraId="30A6C617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Науково-виробниче приватне підприємство “ДЕЗО”</w:t>
      </w:r>
    </w:p>
    <w:p w14:paraId="14E0FF18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82300, Львівська обл., м. Борислав, вул. Дрогобицька, буд. 284</w:t>
      </w:r>
    </w:p>
    <w:p w14:paraId="7F4FE2D0" w14:textId="77777777" w:rsidR="00C830D8" w:rsidRPr="00F0497C" w:rsidRDefault="003242C7" w:rsidP="005C530E">
      <w:pPr>
        <w:numPr>
          <w:ilvl w:val="0"/>
          <w:numId w:val="1"/>
        </w:num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Назва та місце знаходження виробника (виробників)</w:t>
      </w:r>
    </w:p>
    <w:p w14:paraId="79813756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Науково-виробниче приватне підприємство “ДЕЗО”</w:t>
      </w:r>
    </w:p>
    <w:p w14:paraId="1CA607C8" w14:textId="77777777" w:rsidR="00C830D8" w:rsidRPr="00F0497C" w:rsidRDefault="003242C7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sz w:val="24"/>
          <w:szCs w:val="24"/>
          <w:lang w:val="uk-UA"/>
        </w:rPr>
        <w:t>82300, Львівська обл., м. Борислав, вул. Дрогобицька, буд. 284</w:t>
      </w:r>
    </w:p>
    <w:p w14:paraId="7B24DD94" w14:textId="77777777" w:rsidR="00C830D8" w:rsidRPr="00F0497C" w:rsidRDefault="003242C7" w:rsidP="005C530E">
      <w:pPr>
        <w:numPr>
          <w:ilvl w:val="0"/>
          <w:numId w:val="1"/>
        </w:numPr>
        <w:ind w:firstLineChars="150" w:firstLine="361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97C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Додаткова інформація</w:t>
      </w:r>
    </w:p>
    <w:p w14:paraId="1DC29862" w14:textId="77777777" w:rsidR="00C830D8" w:rsidRDefault="00C830D8" w:rsidP="005C530E">
      <w:pPr>
        <w:ind w:firstLineChars="15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99409B" w14:textId="0F0C5E42" w:rsidR="00C830D8" w:rsidRPr="00BB7CF6" w:rsidRDefault="00C830D8" w:rsidP="00F0497C">
      <w:pPr>
        <w:rPr>
          <w:rFonts w:ascii="Times New Roman" w:hAnsi="Times New Roman" w:cs="Times New Roman"/>
          <w:sz w:val="24"/>
          <w:szCs w:val="24"/>
        </w:rPr>
      </w:pPr>
    </w:p>
    <w:sectPr w:rsidR="00C830D8" w:rsidRPr="00BB7CF6" w:rsidSect="00642F93">
      <w:headerReference w:type="default" r:id="rId7"/>
      <w:headerReference w:type="first" r:id="rId8"/>
      <w:pgSz w:w="11906" w:h="16838"/>
      <w:pgMar w:top="567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414CD" w14:textId="77777777" w:rsidR="004775DB" w:rsidRDefault="004775DB">
      <w:r>
        <w:separator/>
      </w:r>
    </w:p>
  </w:endnote>
  <w:endnote w:type="continuationSeparator" w:id="0">
    <w:p w14:paraId="22ECAE08" w14:textId="77777777" w:rsidR="004775DB" w:rsidRDefault="0047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MS Gothic"/>
    <w:panose1 w:val="02010600030101010101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7628E" w14:textId="77777777" w:rsidR="004775DB" w:rsidRDefault="004775DB">
      <w:r>
        <w:separator/>
      </w:r>
    </w:p>
  </w:footnote>
  <w:footnote w:type="continuationSeparator" w:id="0">
    <w:p w14:paraId="095BE589" w14:textId="77777777" w:rsidR="004775DB" w:rsidRDefault="00477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683F8" w14:textId="6AF89AF0" w:rsidR="004775DB" w:rsidRDefault="004775DB" w:rsidP="00985CA7">
    <w:pPr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додатку 1</w:t>
    </w:r>
  </w:p>
  <w:p w14:paraId="613D72CC" w14:textId="635D8274" w:rsidR="004775DB" w:rsidRPr="00985CA7" w:rsidRDefault="004775DB" w:rsidP="00985CA7">
    <w:pPr>
      <w:jc w:val="right"/>
      <w:rPr>
        <w:rFonts w:ascii="Times New Roman" w:hAnsi="Times New Roman" w:cs="Times New Roman"/>
        <w:sz w:val="24"/>
        <w:szCs w:val="24"/>
        <w:lang w:val="uk-UA"/>
      </w:rPr>
    </w:pPr>
    <w:r w:rsidRPr="00F0497C">
      <w:rPr>
        <w:rFonts w:ascii="Times New Roman" w:hAnsi="Times New Roman" w:cs="Times New Roman"/>
        <w:sz w:val="24"/>
        <w:szCs w:val="24"/>
        <w:lang w:val="uk-UA"/>
      </w:rPr>
      <w:t xml:space="preserve">до реєстраційного посвідчення </w:t>
    </w:r>
  </w:p>
  <w:p w14:paraId="65B05C8E" w14:textId="77777777" w:rsidR="004775DB" w:rsidRPr="00660EFB" w:rsidRDefault="004775DB">
    <w:pPr>
      <w:pStyle w:val="a4"/>
      <w:jc w:val="right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AE346" w14:textId="77777777" w:rsidR="004775DB" w:rsidRDefault="004775DB" w:rsidP="00743B52">
    <w:pPr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Додаток 1</w:t>
    </w:r>
  </w:p>
  <w:p w14:paraId="3ACDFCA6" w14:textId="25E63CB7" w:rsidR="004775DB" w:rsidRPr="00985CA7" w:rsidRDefault="004775DB" w:rsidP="00743B52">
    <w:pPr>
      <w:jc w:val="right"/>
      <w:rPr>
        <w:rFonts w:ascii="Times New Roman" w:hAnsi="Times New Roman" w:cs="Times New Roman"/>
        <w:sz w:val="24"/>
        <w:szCs w:val="24"/>
        <w:lang w:val="uk-UA"/>
      </w:rPr>
    </w:pPr>
    <w:r w:rsidRPr="00F0497C">
      <w:rPr>
        <w:rFonts w:ascii="Times New Roman" w:hAnsi="Times New Roman" w:cs="Times New Roman"/>
        <w:sz w:val="24"/>
        <w:szCs w:val="24"/>
        <w:lang w:val="uk-UA"/>
      </w:rPr>
      <w:t xml:space="preserve">до реєстраційного посвідчення </w:t>
    </w:r>
  </w:p>
  <w:p w14:paraId="71FC3706" w14:textId="77777777" w:rsidR="004775DB" w:rsidRPr="00743B52" w:rsidRDefault="004775DB">
    <w:pPr>
      <w:pStyle w:val="a4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9DB7A"/>
    <w:multiLevelType w:val="multilevel"/>
    <w:tmpl w:val="7A69DB7A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D8"/>
    <w:rsid w:val="001C68C7"/>
    <w:rsid w:val="003242C7"/>
    <w:rsid w:val="00390346"/>
    <w:rsid w:val="004775DB"/>
    <w:rsid w:val="005C530E"/>
    <w:rsid w:val="00642F93"/>
    <w:rsid w:val="00660EFB"/>
    <w:rsid w:val="006C2449"/>
    <w:rsid w:val="00743B52"/>
    <w:rsid w:val="008E3247"/>
    <w:rsid w:val="009505DE"/>
    <w:rsid w:val="00985CA7"/>
    <w:rsid w:val="00BB7CF6"/>
    <w:rsid w:val="00BC5A5F"/>
    <w:rsid w:val="00C830D8"/>
    <w:rsid w:val="00E76894"/>
    <w:rsid w:val="00F0497C"/>
    <w:rsid w:val="46CF7DF5"/>
    <w:rsid w:val="7511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AB4AA"/>
  <w15:docId w15:val="{1A9A1E88-E944-4514-8E62-A00422CAB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annotation reference"/>
    <w:basedOn w:val="a0"/>
    <w:rsid w:val="006C2449"/>
    <w:rPr>
      <w:sz w:val="16"/>
      <w:szCs w:val="16"/>
    </w:rPr>
  </w:style>
  <w:style w:type="paragraph" w:styleId="a6">
    <w:name w:val="annotation text"/>
    <w:basedOn w:val="a"/>
    <w:link w:val="a7"/>
    <w:rsid w:val="006C2449"/>
  </w:style>
  <w:style w:type="character" w:customStyle="1" w:styleId="a7">
    <w:name w:val="Текст примітки Знак"/>
    <w:basedOn w:val="a0"/>
    <w:link w:val="a6"/>
    <w:rsid w:val="006C2449"/>
    <w:rPr>
      <w:lang w:val="en-US" w:eastAsia="zh-CN"/>
    </w:rPr>
  </w:style>
  <w:style w:type="paragraph" w:styleId="a8">
    <w:name w:val="annotation subject"/>
    <w:basedOn w:val="a6"/>
    <w:next w:val="a6"/>
    <w:link w:val="a9"/>
    <w:rsid w:val="006C2449"/>
    <w:rPr>
      <w:b/>
      <w:bCs/>
    </w:rPr>
  </w:style>
  <w:style w:type="character" w:customStyle="1" w:styleId="a9">
    <w:name w:val="Тема примітки Знак"/>
    <w:basedOn w:val="a7"/>
    <w:link w:val="a8"/>
    <w:rsid w:val="006C2449"/>
    <w:rPr>
      <w:b/>
      <w:bCs/>
      <w:lang w:val="en-US" w:eastAsia="zh-CN"/>
    </w:rPr>
  </w:style>
  <w:style w:type="paragraph" w:styleId="aa">
    <w:name w:val="Balloon Text"/>
    <w:basedOn w:val="a"/>
    <w:link w:val="ab"/>
    <w:rsid w:val="006C2449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6C2449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3463</Words>
  <Characters>1974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DEZO2025</dc:creator>
  <cp:lastModifiedBy>admin</cp:lastModifiedBy>
  <cp:revision>15</cp:revision>
  <dcterms:created xsi:type="dcterms:W3CDTF">2026-01-19T09:32:00Z</dcterms:created>
  <dcterms:modified xsi:type="dcterms:W3CDTF">2026-02-20T13:23:00Z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9AC0934FC3D74DD18803EFA1BE6B889B_12</vt:lpwstr>
  </property>
</Properties>
</file>