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82109" w14:textId="77777777" w:rsidR="004334FF" w:rsidRPr="00617CE7" w:rsidRDefault="004334FF" w:rsidP="004334FF">
      <w:pPr>
        <w:pStyle w:val="11"/>
        <w:ind w:firstLine="709"/>
        <w:jc w:val="center"/>
        <w:rPr>
          <w:b/>
          <w:sz w:val="24"/>
          <w:szCs w:val="24"/>
          <w:lang w:val="uk-UA"/>
        </w:rPr>
      </w:pPr>
      <w:r w:rsidRPr="00617CE7">
        <w:rPr>
          <w:b/>
          <w:sz w:val="24"/>
          <w:szCs w:val="24"/>
        </w:rPr>
        <w:t>Коротка характеристика препарату</w:t>
      </w:r>
    </w:p>
    <w:p w14:paraId="20C8501B" w14:textId="77777777" w:rsidR="004334FF" w:rsidRPr="00617CE7" w:rsidRDefault="004334FF" w:rsidP="004334FF">
      <w:pPr>
        <w:pStyle w:val="11"/>
        <w:ind w:firstLine="709"/>
        <w:jc w:val="center"/>
        <w:rPr>
          <w:b/>
          <w:sz w:val="24"/>
          <w:szCs w:val="24"/>
          <w:lang w:val="uk-UA"/>
        </w:rPr>
      </w:pPr>
    </w:p>
    <w:p w14:paraId="3FB5DC9F" w14:textId="77777777" w:rsidR="004334FF" w:rsidRPr="00617CE7" w:rsidRDefault="004334FF" w:rsidP="004334FF">
      <w:pPr>
        <w:ind w:firstLine="708"/>
        <w:jc w:val="both"/>
        <w:rPr>
          <w:b/>
        </w:rPr>
      </w:pPr>
      <w:r w:rsidRPr="00617CE7">
        <w:rPr>
          <w:b/>
        </w:rPr>
        <w:t>1.  Назва</w:t>
      </w:r>
    </w:p>
    <w:p w14:paraId="3EDD9E2C" w14:textId="77777777" w:rsidR="004334FF" w:rsidRPr="00617CE7" w:rsidRDefault="004334FF" w:rsidP="004334FF">
      <w:pPr>
        <w:ind w:firstLine="708"/>
        <w:jc w:val="both"/>
        <w:rPr>
          <w:lang w:val="uk-UA"/>
        </w:rPr>
      </w:pPr>
      <w:r w:rsidRPr="00617CE7">
        <w:rPr>
          <w:lang w:val="uk-UA"/>
        </w:rPr>
        <w:t>АНТИ  ЦИСТИТ</w:t>
      </w:r>
    </w:p>
    <w:p w14:paraId="5709D2BA" w14:textId="77777777" w:rsidR="004334FF" w:rsidRPr="00617CE7" w:rsidRDefault="004334FF" w:rsidP="004334FF">
      <w:pPr>
        <w:pStyle w:val="11"/>
        <w:ind w:firstLine="708"/>
        <w:jc w:val="both"/>
        <w:rPr>
          <w:sz w:val="24"/>
          <w:szCs w:val="24"/>
        </w:rPr>
      </w:pPr>
      <w:r w:rsidRPr="00617CE7">
        <w:rPr>
          <w:b/>
          <w:sz w:val="24"/>
          <w:szCs w:val="24"/>
        </w:rPr>
        <w:t>2. Склад</w:t>
      </w:r>
      <w:r w:rsidRPr="00617CE7">
        <w:rPr>
          <w:sz w:val="24"/>
          <w:szCs w:val="24"/>
        </w:rPr>
        <w:t xml:space="preserve"> </w:t>
      </w:r>
    </w:p>
    <w:p w14:paraId="2EE6141F" w14:textId="77777777" w:rsidR="004334FF" w:rsidRPr="00617CE7" w:rsidRDefault="004334FF" w:rsidP="004334FF">
      <w:pPr>
        <w:shd w:val="clear" w:color="auto" w:fill="FFFFFF"/>
        <w:ind w:firstLine="708"/>
        <w:jc w:val="both"/>
        <w:rPr>
          <w:lang w:val="uk-UA"/>
        </w:rPr>
      </w:pPr>
      <w:r w:rsidRPr="00617CE7">
        <w:rPr>
          <w:lang w:val="uk-UA"/>
        </w:rPr>
        <w:t>1 г препарату містить діючі речовини (мг) :</w:t>
      </w:r>
    </w:p>
    <w:p w14:paraId="4B9EA7FA" w14:textId="77777777" w:rsidR="004334FF" w:rsidRPr="00617CE7" w:rsidRDefault="004334FF" w:rsidP="004334FF">
      <w:pPr>
        <w:shd w:val="clear" w:color="auto" w:fill="FFFFFF"/>
        <w:ind w:firstLine="708"/>
        <w:jc w:val="both"/>
        <w:rPr>
          <w:lang w:val="uk-UA"/>
        </w:rPr>
      </w:pPr>
      <w:r w:rsidRPr="00617CE7">
        <w:rPr>
          <w:lang w:val="uk-UA"/>
        </w:rPr>
        <w:t xml:space="preserve">нітроксоліну </w:t>
      </w:r>
      <w:r w:rsidR="00DC0F84" w:rsidRPr="00617CE7">
        <w:rPr>
          <w:lang w:val="uk-UA"/>
        </w:rPr>
        <w:t>–</w:t>
      </w:r>
      <w:r w:rsidRPr="00617CE7">
        <w:rPr>
          <w:lang w:val="uk-UA"/>
        </w:rPr>
        <w:t xml:space="preserve"> 105</w:t>
      </w:r>
      <w:r w:rsidR="00DC0F84" w:rsidRPr="00617CE7">
        <w:rPr>
          <w:lang w:val="uk-UA"/>
        </w:rPr>
        <w:t>,0</w:t>
      </w:r>
      <w:r w:rsidRPr="00617CE7">
        <w:rPr>
          <w:lang w:val="uk-UA"/>
        </w:rPr>
        <w:t>;</w:t>
      </w:r>
    </w:p>
    <w:p w14:paraId="209EFCEF" w14:textId="77777777" w:rsidR="004334FF" w:rsidRPr="00617CE7" w:rsidRDefault="004334FF" w:rsidP="004334FF">
      <w:pPr>
        <w:shd w:val="clear" w:color="auto" w:fill="FFFFFF"/>
        <w:ind w:firstLine="708"/>
        <w:jc w:val="both"/>
        <w:rPr>
          <w:lang w:val="uk-UA"/>
        </w:rPr>
      </w:pPr>
      <w:r w:rsidRPr="00617CE7">
        <w:rPr>
          <w:lang w:val="uk-UA"/>
        </w:rPr>
        <w:t>дротаверину гідрохлориду – 85</w:t>
      </w:r>
      <w:r w:rsidR="00DC0F84" w:rsidRPr="00617CE7">
        <w:rPr>
          <w:lang w:val="uk-UA"/>
        </w:rPr>
        <w:t>,0</w:t>
      </w:r>
      <w:r w:rsidRPr="00617CE7">
        <w:rPr>
          <w:lang w:val="uk-UA"/>
        </w:rPr>
        <w:t>.</w:t>
      </w:r>
    </w:p>
    <w:p w14:paraId="0E5A31DF" w14:textId="4AD3096D" w:rsidR="004334FF" w:rsidRPr="00617CE7" w:rsidRDefault="004334FF" w:rsidP="004334FF">
      <w:pPr>
        <w:ind w:firstLine="708"/>
        <w:jc w:val="both"/>
        <w:rPr>
          <w:lang w:val="uk-UA"/>
        </w:rPr>
      </w:pPr>
      <w:r w:rsidRPr="00617CE7">
        <w:rPr>
          <w:rStyle w:val="cs5efed22f1"/>
          <w:lang w:val="uk-UA"/>
        </w:rPr>
        <w:t>Допоміжні речовини:</w:t>
      </w:r>
      <w:r w:rsidRPr="00617CE7">
        <w:rPr>
          <w:lang w:val="uk-UA"/>
        </w:rPr>
        <w:t xml:space="preserve"> екстракт хвоща польового трави, екстракт валеріани, екстракт листя кропиви, екстракт ялівцю, екстракт </w:t>
      </w:r>
      <w:r w:rsidR="00586083" w:rsidRPr="00617CE7">
        <w:rPr>
          <w:lang w:val="uk-UA"/>
        </w:rPr>
        <w:t>коренів</w:t>
      </w:r>
      <w:r w:rsidRPr="00617CE7">
        <w:rPr>
          <w:lang w:val="uk-UA"/>
        </w:rPr>
        <w:t xml:space="preserve"> солодки, екстракт листя брусниці, екстракт ромашки, тальк, альбумін (яєчний білок), кальцію стеарат, полівінілпірролідон, глюкоза, мікрокристалі</w:t>
      </w:r>
      <w:bookmarkStart w:id="0" w:name="_GoBack"/>
      <w:bookmarkEnd w:id="0"/>
      <w:r w:rsidRPr="00617CE7">
        <w:rPr>
          <w:lang w:val="uk-UA"/>
        </w:rPr>
        <w:t>чна целюлоза, цукор молочний, сорбіт.</w:t>
      </w:r>
    </w:p>
    <w:p w14:paraId="3537F1B5" w14:textId="77777777" w:rsidR="004334FF" w:rsidRPr="00617CE7" w:rsidRDefault="004334FF" w:rsidP="004334FF">
      <w:pPr>
        <w:ind w:firstLine="708"/>
        <w:jc w:val="both"/>
        <w:rPr>
          <w:lang w:val="uk-UA"/>
        </w:rPr>
      </w:pPr>
      <w:r w:rsidRPr="00617CE7">
        <w:rPr>
          <w:lang w:val="uk-UA"/>
        </w:rPr>
        <w:t>АНТИ ЦИСТИТ випускають у двох дозуваннях:</w:t>
      </w:r>
    </w:p>
    <w:p w14:paraId="3E408159" w14:textId="77777777" w:rsidR="004334FF" w:rsidRPr="00617CE7" w:rsidRDefault="004334FF" w:rsidP="004334FF">
      <w:pPr>
        <w:ind w:firstLine="708"/>
        <w:jc w:val="both"/>
        <w:rPr>
          <w:lang w:val="uk-UA"/>
        </w:rPr>
      </w:pPr>
      <w:r w:rsidRPr="00617CE7">
        <w:rPr>
          <w:lang w:val="uk-UA"/>
        </w:rPr>
        <w:t>таблетка масою 120 мг (містить нітроксоліну – 12,6 мг та дротаверину гідрохлориду – 10,2 мг);</w:t>
      </w:r>
    </w:p>
    <w:p w14:paraId="4BAF0FF1" w14:textId="77777777" w:rsidR="004334FF" w:rsidRPr="00617CE7" w:rsidRDefault="004334FF" w:rsidP="004334FF">
      <w:pPr>
        <w:ind w:firstLine="708"/>
        <w:jc w:val="both"/>
        <w:rPr>
          <w:lang w:val="uk-UA"/>
        </w:rPr>
      </w:pPr>
      <w:r w:rsidRPr="00617CE7">
        <w:rPr>
          <w:lang w:val="uk-UA"/>
        </w:rPr>
        <w:t>таблетка масою 240 мг (містить нітроксоліну – 25,2 мг та дротаверину гідрохлориду – 20,4 мг).</w:t>
      </w:r>
    </w:p>
    <w:p w14:paraId="16037DE0" w14:textId="77777777" w:rsidR="004334FF" w:rsidRPr="00617CE7" w:rsidRDefault="004334FF" w:rsidP="004334FF">
      <w:pPr>
        <w:ind w:firstLine="708"/>
        <w:jc w:val="both"/>
        <w:rPr>
          <w:b/>
          <w:lang w:val="uk-UA"/>
        </w:rPr>
      </w:pPr>
      <w:r w:rsidRPr="00617CE7">
        <w:rPr>
          <w:b/>
          <w:lang w:val="uk-UA"/>
        </w:rPr>
        <w:t>3. Фармацевтична форма</w:t>
      </w:r>
    </w:p>
    <w:p w14:paraId="1F00AE61" w14:textId="77777777" w:rsidR="004334FF" w:rsidRPr="00617CE7" w:rsidRDefault="004334FF" w:rsidP="004334FF">
      <w:pPr>
        <w:ind w:firstLine="708"/>
        <w:jc w:val="both"/>
        <w:rPr>
          <w:b/>
          <w:lang w:val="uk-UA"/>
        </w:rPr>
      </w:pPr>
      <w:r w:rsidRPr="00617CE7">
        <w:rPr>
          <w:lang w:val="uk-UA"/>
        </w:rPr>
        <w:t>Таблетки.</w:t>
      </w:r>
    </w:p>
    <w:p w14:paraId="782E74F5" w14:textId="77777777" w:rsidR="004334FF" w:rsidRPr="00617CE7" w:rsidRDefault="004334FF" w:rsidP="004334FF">
      <w:pPr>
        <w:ind w:firstLine="708"/>
        <w:jc w:val="both"/>
        <w:rPr>
          <w:b/>
          <w:lang w:val="uk-UA"/>
        </w:rPr>
      </w:pPr>
      <w:r w:rsidRPr="00617CE7">
        <w:rPr>
          <w:b/>
          <w:lang w:val="uk-UA"/>
        </w:rPr>
        <w:t>4. Фармакологічні властивості</w:t>
      </w:r>
    </w:p>
    <w:p w14:paraId="2949E446" w14:textId="77777777" w:rsidR="004334FF" w:rsidRPr="00617CE7" w:rsidRDefault="004334FF" w:rsidP="004334FF">
      <w:pPr>
        <w:ind w:firstLine="708"/>
        <w:jc w:val="both"/>
        <w:outlineLvl w:val="2"/>
        <w:rPr>
          <w:lang w:val="uk-UA"/>
        </w:rPr>
      </w:pPr>
      <w:r w:rsidRPr="00617CE7">
        <w:rPr>
          <w:b/>
          <w:i/>
          <w:color w:val="000000"/>
          <w:spacing w:val="15"/>
          <w:shd w:val="clear" w:color="auto" w:fill="FFFFFF"/>
          <w:lang w:val="uk-UA"/>
        </w:rPr>
        <w:t>АТС vet класифікаційний код Q</w:t>
      </w:r>
      <w:r w:rsidRPr="00617CE7">
        <w:rPr>
          <w:b/>
          <w:i/>
          <w:color w:val="000000"/>
          <w:spacing w:val="15"/>
          <w:shd w:val="clear" w:color="auto" w:fill="FFFFFF"/>
          <w:lang w:val="en-US"/>
        </w:rPr>
        <w:t>G</w:t>
      </w:r>
      <w:r w:rsidRPr="00617CE7">
        <w:rPr>
          <w:b/>
          <w:i/>
          <w:color w:val="000000"/>
          <w:spacing w:val="15"/>
          <w:shd w:val="clear" w:color="auto" w:fill="FFFFFF"/>
          <w:lang w:val="uk-UA"/>
        </w:rPr>
        <w:t>04 – Засоби, що застосовуються в урології.</w:t>
      </w:r>
      <w:r w:rsidRPr="00617CE7">
        <w:rPr>
          <w:b/>
          <w:bCs/>
          <w:lang w:val="uk-UA"/>
        </w:rPr>
        <w:t xml:space="preserve"> </w:t>
      </w:r>
      <w:r w:rsidRPr="00617CE7">
        <w:rPr>
          <w:b/>
          <w:bCs/>
          <w:i/>
        </w:rPr>
        <w:t>QG</w:t>
      </w:r>
      <w:r w:rsidRPr="00617CE7">
        <w:rPr>
          <w:b/>
          <w:bCs/>
          <w:i/>
          <w:lang w:val="uk-UA"/>
        </w:rPr>
        <w:t>04</w:t>
      </w:r>
      <w:r w:rsidRPr="00617CE7">
        <w:rPr>
          <w:b/>
          <w:bCs/>
          <w:i/>
        </w:rPr>
        <w:t>BX</w:t>
      </w:r>
      <w:r w:rsidR="00BC26AC" w:rsidRPr="00617CE7">
        <w:rPr>
          <w:b/>
          <w:bCs/>
          <w:i/>
          <w:lang w:val="uk-UA"/>
        </w:rPr>
        <w:t xml:space="preserve"> - </w:t>
      </w:r>
      <w:r w:rsidRPr="00617CE7">
        <w:rPr>
          <w:b/>
          <w:i/>
          <w:lang w:val="uk-UA"/>
        </w:rPr>
        <w:t>Інші урологічні засоби.</w:t>
      </w:r>
    </w:p>
    <w:p w14:paraId="12C72248" w14:textId="230F7B47" w:rsidR="00500EF3" w:rsidRPr="00617CE7" w:rsidRDefault="00500EF3" w:rsidP="00500EF3">
      <w:pPr>
        <w:ind w:firstLine="708"/>
        <w:jc w:val="both"/>
        <w:outlineLvl w:val="2"/>
        <w:rPr>
          <w:bCs/>
          <w:lang w:val="uk-UA"/>
        </w:rPr>
      </w:pPr>
      <w:r w:rsidRPr="00617CE7">
        <w:rPr>
          <w:bCs/>
          <w:lang w:val="uk-UA"/>
        </w:rPr>
        <w:t>Препарат  АНТИ ЦИСТИТ віднос</w:t>
      </w:r>
      <w:r w:rsidR="002C46AD" w:rsidRPr="00617CE7">
        <w:rPr>
          <w:bCs/>
          <w:lang w:val="uk-UA"/>
        </w:rPr>
        <w:t>и</w:t>
      </w:r>
      <w:r w:rsidRPr="00617CE7">
        <w:rPr>
          <w:bCs/>
          <w:lang w:val="uk-UA"/>
        </w:rPr>
        <w:t>ться до комбінованих протимікробних лікарських препаратів та ма</w:t>
      </w:r>
      <w:r w:rsidR="002C46AD" w:rsidRPr="00617CE7">
        <w:rPr>
          <w:bCs/>
          <w:lang w:val="uk-UA"/>
        </w:rPr>
        <w:t xml:space="preserve">є </w:t>
      </w:r>
      <w:r w:rsidRPr="00617CE7">
        <w:rPr>
          <w:bCs/>
          <w:lang w:val="uk-UA"/>
        </w:rPr>
        <w:t xml:space="preserve"> протимікробну, протизапальну, спазмолітичну, діуретичну та салуретичну дію.</w:t>
      </w:r>
    </w:p>
    <w:p w14:paraId="7C7AD741" w14:textId="6EF2002B" w:rsidR="00500EF3" w:rsidRPr="00617CE7" w:rsidRDefault="00500EF3" w:rsidP="00500EF3">
      <w:pPr>
        <w:shd w:val="clear" w:color="auto" w:fill="FFFFFF"/>
        <w:ind w:firstLine="708"/>
        <w:jc w:val="both"/>
        <w:rPr>
          <w:bCs/>
          <w:lang w:val="uk-UA"/>
        </w:rPr>
      </w:pPr>
      <w:r w:rsidRPr="00617CE7">
        <w:rPr>
          <w:bCs/>
          <w:lang w:val="uk-UA"/>
        </w:rPr>
        <w:t>Нітроксолін є похідним 8-оксихіноліну.</w:t>
      </w:r>
      <w:r w:rsidRPr="00617CE7">
        <w:rPr>
          <w:lang w:val="uk-UA"/>
        </w:rPr>
        <w:t xml:space="preserve"> </w:t>
      </w:r>
      <w:r w:rsidRPr="00617CE7">
        <w:rPr>
          <w:bCs/>
          <w:lang w:val="uk-UA"/>
        </w:rPr>
        <w:t>Нітроксолін селективно інгібує синтез бактеріальної ДНК, утворюючи комплекси з металовмісними ферментами мікробної клітини і запобігаючи їх зв'язуванню з</w:t>
      </w:r>
      <w:r w:rsidR="004E528D" w:rsidRPr="00617CE7">
        <w:rPr>
          <w:bCs/>
          <w:lang w:val="uk-UA"/>
        </w:rPr>
        <w:t>і</w:t>
      </w:r>
      <w:r w:rsidRPr="00617CE7">
        <w:rPr>
          <w:bCs/>
          <w:lang w:val="uk-UA"/>
        </w:rPr>
        <w:t xml:space="preserve"> специфічним субстратом. Це призводить до бактеріостатичної, бактерицидної та фунгіцидної дії.</w:t>
      </w:r>
    </w:p>
    <w:p w14:paraId="2BFE45E4" w14:textId="4D2E539F" w:rsidR="00AC4BD1" w:rsidRPr="00617CE7" w:rsidRDefault="00500EF3" w:rsidP="00500EF3">
      <w:pPr>
        <w:shd w:val="clear" w:color="auto" w:fill="FFFFFF"/>
        <w:ind w:firstLine="708"/>
        <w:jc w:val="both"/>
        <w:rPr>
          <w:lang w:val="uk-UA"/>
        </w:rPr>
      </w:pPr>
      <w:r w:rsidRPr="00617CE7">
        <w:rPr>
          <w:bCs/>
          <w:lang w:val="uk-UA"/>
        </w:rPr>
        <w:t>Нітроксолін активний щодо широкого спектра грампозитивних (</w:t>
      </w:r>
      <w:r w:rsidRPr="00617CE7">
        <w:rPr>
          <w:bCs/>
          <w:i/>
          <w:lang w:val="uk-UA"/>
        </w:rPr>
        <w:t>Staphylococcus spp</w:t>
      </w:r>
      <w:r w:rsidRPr="00617CE7">
        <w:rPr>
          <w:bCs/>
          <w:lang w:val="uk-UA"/>
        </w:rPr>
        <w:t xml:space="preserve">, </w:t>
      </w:r>
      <w:r w:rsidRPr="00617CE7">
        <w:rPr>
          <w:bCs/>
          <w:i/>
          <w:lang w:val="uk-UA"/>
        </w:rPr>
        <w:t xml:space="preserve">Corynebacterium spp.) </w:t>
      </w:r>
      <w:r w:rsidRPr="00617CE7">
        <w:rPr>
          <w:bCs/>
          <w:lang w:val="uk-UA"/>
        </w:rPr>
        <w:t>та</w:t>
      </w:r>
      <w:r w:rsidR="001D2E80" w:rsidRPr="00617CE7">
        <w:rPr>
          <w:bCs/>
          <w:lang w:val="uk-UA"/>
        </w:rPr>
        <w:t xml:space="preserve"> </w:t>
      </w:r>
      <w:r w:rsidRPr="00617CE7">
        <w:rPr>
          <w:bCs/>
          <w:lang w:val="uk-UA"/>
        </w:rPr>
        <w:t>грамнегативних (</w:t>
      </w:r>
      <w:r w:rsidRPr="00617CE7">
        <w:rPr>
          <w:bCs/>
          <w:i/>
          <w:lang w:val="uk-UA"/>
        </w:rPr>
        <w:t>Escherichia coli, Salmonella spp,</w:t>
      </w:r>
      <w:r w:rsidRPr="00617CE7">
        <w:rPr>
          <w:bCs/>
          <w:lang w:val="uk-UA"/>
        </w:rPr>
        <w:t xml:space="preserve"> </w:t>
      </w:r>
      <w:r w:rsidRPr="00617CE7">
        <w:rPr>
          <w:bCs/>
          <w:i/>
          <w:lang w:val="uk-UA"/>
        </w:rPr>
        <w:t xml:space="preserve">Ureaplasma urealyticum) </w:t>
      </w:r>
      <w:r w:rsidRPr="00617CE7">
        <w:rPr>
          <w:bCs/>
          <w:lang w:val="uk-UA"/>
        </w:rPr>
        <w:t xml:space="preserve">мікроорганізмів і деяких грибів, що викликають інфекції сечовивідних шляхів: </w:t>
      </w:r>
      <w:r w:rsidRPr="00617CE7">
        <w:rPr>
          <w:i/>
        </w:rPr>
        <w:t>Candida</w:t>
      </w:r>
      <w:r w:rsidRPr="00617CE7">
        <w:rPr>
          <w:i/>
          <w:lang w:val="uk-UA"/>
        </w:rPr>
        <w:t xml:space="preserve"> </w:t>
      </w:r>
      <w:r w:rsidRPr="00617CE7">
        <w:rPr>
          <w:i/>
        </w:rPr>
        <w:t>spp</w:t>
      </w:r>
      <w:r w:rsidRPr="00617CE7">
        <w:rPr>
          <w:lang w:val="uk-UA"/>
        </w:rPr>
        <w:t>., дерматофіти.</w:t>
      </w:r>
      <w:r w:rsidRPr="00617CE7">
        <w:rPr>
          <w:bCs/>
          <w:lang w:val="uk-UA"/>
        </w:rPr>
        <w:t xml:space="preserve"> Після прийому всередину нітроксолін швидко всмоктується з травного каналу </w:t>
      </w:r>
      <w:r w:rsidRPr="00617CE7">
        <w:t>(понад 90%)</w:t>
      </w:r>
      <w:r w:rsidRPr="00617CE7">
        <w:rPr>
          <w:bCs/>
          <w:lang w:val="uk-UA"/>
        </w:rPr>
        <w:t xml:space="preserve">. </w:t>
      </w:r>
      <w:r w:rsidRPr="00617CE7">
        <w:t>Максимальна концентрація в плазмі крові досягається через 1.5–2 години. Виводиться переважно нирками в незміненому вигляді, що створює високу терапевтичну концентрацію в сечі (до 100 мкг/мл)</w:t>
      </w:r>
      <w:r w:rsidRPr="00617CE7">
        <w:rPr>
          <w:lang w:val="uk-UA"/>
        </w:rPr>
        <w:t xml:space="preserve">. </w:t>
      </w:r>
      <w:r w:rsidRPr="00617CE7">
        <w:rPr>
          <w:bCs/>
          <w:lang w:val="uk-UA"/>
        </w:rPr>
        <w:t xml:space="preserve">Виводиться нирками в незмінному вигляді. </w:t>
      </w:r>
      <w:r w:rsidR="00AC4BD1" w:rsidRPr="00617CE7">
        <w:rPr>
          <w:lang w:val="uk-UA"/>
        </w:rPr>
        <w:t xml:space="preserve">Концентрація в сечі часто перевищує терапевтичну дозу в 10–100 разів, що дозволяє ефективно пригнічувати ріст грампозитивних та грамнегативних бактерій </w:t>
      </w:r>
    </w:p>
    <w:p w14:paraId="27F863B1" w14:textId="4D0AA239" w:rsidR="00500EF3" w:rsidRPr="00617CE7" w:rsidRDefault="00500EF3" w:rsidP="00500EF3">
      <w:pPr>
        <w:shd w:val="clear" w:color="auto" w:fill="FFFFFF"/>
        <w:ind w:firstLine="708"/>
        <w:jc w:val="both"/>
        <w:rPr>
          <w:bCs/>
          <w:lang w:val="uk-UA"/>
        </w:rPr>
      </w:pPr>
      <w:r w:rsidRPr="00617CE7">
        <w:rPr>
          <w:bCs/>
          <w:lang w:val="uk-UA"/>
        </w:rPr>
        <w:t xml:space="preserve">Дротаверину гідрохлорид чинить тривалу спазмолітичну, міотропну та судинорозширювальну дію, усуває спазми гладеньких м'язів сечовивідних шляхів і тенезми сечового міхура. Дротаверин — це потужний спазмолітик. Механізм дії пов'язаний з інгібуванням ферменту фосфодіестерази IV у клітинах гладеньких м'язів. Це призводить до накопичення цАМФ, розслаблення м’язової стінки та усунення спазму (міотропна дія) без впливу на вегетативну нервову систему. </w:t>
      </w:r>
      <w:r w:rsidRPr="00617CE7">
        <w:t xml:space="preserve">Швидко і повністю всмоктується з </w:t>
      </w:r>
      <w:r w:rsidRPr="00617CE7">
        <w:rPr>
          <w:bCs/>
          <w:lang w:val="uk-UA"/>
        </w:rPr>
        <w:t>травного каналу</w:t>
      </w:r>
      <w:r w:rsidRPr="00617CE7">
        <w:t>.</w:t>
      </w:r>
      <w:r w:rsidR="00AC4BD1" w:rsidRPr="00617CE7">
        <w:t xml:space="preserve"> Його біодоступність становить близько 65%.</w:t>
      </w:r>
      <w:r w:rsidRPr="00617CE7">
        <w:t xml:space="preserve"> Максимальна концентрація в крові через 45–60 хв. Рівномірно розподіляється в тканинах, проникає в гладеньку мускулатуру. Не проникає через гематоенцефалічний бар'єр.</w:t>
      </w:r>
      <w:r w:rsidRPr="00617CE7">
        <w:rPr>
          <w:lang w:val="uk-UA"/>
        </w:rPr>
        <w:t xml:space="preserve"> </w:t>
      </w:r>
      <w:r w:rsidRPr="00617CE7">
        <w:rPr>
          <w:bCs/>
          <w:lang w:val="uk-UA"/>
        </w:rPr>
        <w:t xml:space="preserve">Метаболізм препарату відбувається в печінці. За 72 години практично виводиться з </w:t>
      </w:r>
      <w:r w:rsidRPr="00617CE7">
        <w:rPr>
          <w:bCs/>
          <w:lang w:val="uk-UA"/>
        </w:rPr>
        <w:lastRenderedPageBreak/>
        <w:t>організму, приблизно 30% з сечею, а 50% - з фекаліями. Велика частина виводиться у вигляді метаболітів, у незміненому вигляді в сечі не визначається.</w:t>
      </w:r>
    </w:p>
    <w:p w14:paraId="6FC2BD00" w14:textId="77777777" w:rsidR="00500EF3" w:rsidRPr="00617CE7" w:rsidRDefault="00500EF3" w:rsidP="00500EF3">
      <w:pPr>
        <w:ind w:firstLine="709"/>
        <w:jc w:val="both"/>
        <w:rPr>
          <w:lang w:val="uk-UA"/>
        </w:rPr>
      </w:pPr>
      <w:r w:rsidRPr="00617CE7">
        <w:rPr>
          <w:lang w:val="uk-UA"/>
        </w:rPr>
        <w:t xml:space="preserve">Комплекс біологічно активних речовин лікарських рослин (хвоща польового, валеріани, кропиви, ялівцю, солодки, брусниці, ромашки) містить флавоноїди, ефірні олії, дубильні речовини, вітаміни та мінеральні сполуки. Ці компоненти мають помірні антисептичні, сечогінні, спазмолітичні та протизапальні властивості, що </w:t>
      </w:r>
      <w:r w:rsidRPr="00617CE7">
        <w:rPr>
          <w:bCs/>
          <w:lang w:val="uk-UA"/>
        </w:rPr>
        <w:t>доповнюють дію основних компонентів препарату</w:t>
      </w:r>
      <w:r w:rsidRPr="00617CE7">
        <w:rPr>
          <w:lang w:val="uk-UA"/>
        </w:rPr>
        <w:t xml:space="preserve"> та сприяють виведенню сольових конкрементів при сечокам'яній хворобі.</w:t>
      </w:r>
    </w:p>
    <w:p w14:paraId="1CD98FBB" w14:textId="77777777" w:rsidR="00500EF3" w:rsidRPr="00617CE7" w:rsidRDefault="00500EF3" w:rsidP="00500EF3">
      <w:pPr>
        <w:ind w:firstLine="709"/>
        <w:jc w:val="both"/>
        <w:rPr>
          <w:lang w:val="uk-UA"/>
        </w:rPr>
      </w:pPr>
      <w:r w:rsidRPr="00617CE7">
        <w:rPr>
          <w:lang w:val="uk-UA"/>
        </w:rPr>
        <w:t>АНТИ ЦИСТИТ таблетки за ступенем впливу на організм відносяться до малонебезпечних речовин та в рекомендованих дозах не мають місцевоподразнюючої та сенсибілізуючої дії.</w:t>
      </w:r>
    </w:p>
    <w:p w14:paraId="616BAD9B" w14:textId="77777777" w:rsidR="004334FF" w:rsidRPr="00617CE7" w:rsidRDefault="004334FF" w:rsidP="004334FF">
      <w:pPr>
        <w:ind w:firstLine="708"/>
        <w:jc w:val="both"/>
        <w:rPr>
          <w:b/>
        </w:rPr>
      </w:pPr>
      <w:r w:rsidRPr="00617CE7">
        <w:rPr>
          <w:b/>
        </w:rPr>
        <w:t>5. Клінічні особливості</w:t>
      </w:r>
    </w:p>
    <w:p w14:paraId="7AF007BE" w14:textId="77777777" w:rsidR="004334FF" w:rsidRPr="00617CE7" w:rsidRDefault="004334FF" w:rsidP="004334FF">
      <w:pPr>
        <w:ind w:firstLine="708"/>
        <w:jc w:val="both"/>
        <w:rPr>
          <w:b/>
        </w:rPr>
      </w:pPr>
      <w:r w:rsidRPr="00617CE7">
        <w:rPr>
          <w:b/>
        </w:rPr>
        <w:t>5.1 Вид тварин</w:t>
      </w:r>
    </w:p>
    <w:p w14:paraId="65660E90" w14:textId="4F56B89D" w:rsidR="004334FF" w:rsidRPr="00617CE7" w:rsidRDefault="006F4279" w:rsidP="004334FF">
      <w:pPr>
        <w:ind w:firstLine="708"/>
        <w:jc w:val="both"/>
        <w:rPr>
          <w:i/>
          <w:iCs/>
          <w:lang w:val="uk-UA" w:eastAsia="en-US"/>
        </w:rPr>
      </w:pPr>
      <w:r w:rsidRPr="00617CE7">
        <w:rPr>
          <w:lang w:val="uk-UA" w:eastAsia="en-US"/>
        </w:rPr>
        <w:t>Собаки</w:t>
      </w:r>
      <w:r w:rsidR="004334FF" w:rsidRPr="00617CE7">
        <w:rPr>
          <w:lang w:val="uk-UA" w:eastAsia="en-US"/>
        </w:rPr>
        <w:t>.</w:t>
      </w:r>
    </w:p>
    <w:p w14:paraId="1749A4F9" w14:textId="77777777" w:rsidR="004334FF" w:rsidRPr="00617CE7" w:rsidRDefault="004334FF" w:rsidP="004334FF">
      <w:pPr>
        <w:ind w:firstLine="708"/>
        <w:jc w:val="both"/>
        <w:rPr>
          <w:lang w:val="uk-UA"/>
        </w:rPr>
      </w:pPr>
      <w:r w:rsidRPr="00617CE7">
        <w:rPr>
          <w:b/>
          <w:lang w:val="uk-UA"/>
        </w:rPr>
        <w:t>5.2 Показання до застосування</w:t>
      </w:r>
      <w:r w:rsidRPr="00617CE7">
        <w:rPr>
          <w:lang w:val="uk-UA"/>
        </w:rPr>
        <w:t xml:space="preserve"> </w:t>
      </w:r>
    </w:p>
    <w:p w14:paraId="7F4AA531" w14:textId="74181950" w:rsidR="00500EF3" w:rsidRPr="00617CE7" w:rsidRDefault="00500EF3" w:rsidP="00500EF3">
      <w:pPr>
        <w:ind w:firstLine="708"/>
        <w:jc w:val="both"/>
        <w:rPr>
          <w:lang w:val="uk-UA"/>
        </w:rPr>
      </w:pPr>
      <w:r w:rsidRPr="00617CE7">
        <w:rPr>
          <w:lang w:val="uk-UA"/>
        </w:rPr>
        <w:t xml:space="preserve">Лікування собак за гострих та хронічних запальних та інфекційних захворювань сечовивідних шляхів (цистит, пієлонефрит, уретрит), сечокам'яної хвороби, що спричинені мікроорганізмами чутливими до нітроксоліну. </w:t>
      </w:r>
    </w:p>
    <w:p w14:paraId="6DB0469A" w14:textId="77777777" w:rsidR="004334FF" w:rsidRPr="00617CE7" w:rsidRDefault="004334FF" w:rsidP="004334FF">
      <w:pPr>
        <w:ind w:firstLine="708"/>
        <w:jc w:val="both"/>
      </w:pPr>
      <w:r w:rsidRPr="00617CE7">
        <w:rPr>
          <w:b/>
        </w:rPr>
        <w:t>5.3 Протипоказання</w:t>
      </w:r>
      <w:r w:rsidRPr="00617CE7">
        <w:t xml:space="preserve"> </w:t>
      </w:r>
    </w:p>
    <w:p w14:paraId="1E918140" w14:textId="77777777" w:rsidR="004334FF" w:rsidRPr="00617CE7" w:rsidRDefault="004334FF" w:rsidP="004334FF">
      <w:pPr>
        <w:ind w:firstLine="708"/>
        <w:jc w:val="both"/>
        <w:rPr>
          <w:bCs/>
          <w:lang w:val="uk-UA"/>
        </w:rPr>
      </w:pPr>
      <w:r w:rsidRPr="00617CE7">
        <w:rPr>
          <w:bCs/>
          <w:lang w:val="uk-UA"/>
        </w:rPr>
        <w:t xml:space="preserve">Не застосовувати за підвищеної чутливості до </w:t>
      </w:r>
      <w:r w:rsidRPr="00617CE7">
        <w:rPr>
          <w:lang w:val="uk-UA"/>
        </w:rPr>
        <w:t>нітроксоліну</w:t>
      </w:r>
      <w:r w:rsidRPr="00617CE7">
        <w:rPr>
          <w:bCs/>
          <w:lang w:val="uk-UA"/>
        </w:rPr>
        <w:t xml:space="preserve">, </w:t>
      </w:r>
      <w:r w:rsidRPr="00617CE7">
        <w:rPr>
          <w:lang w:val="uk-UA"/>
        </w:rPr>
        <w:t xml:space="preserve">дротаверину </w:t>
      </w:r>
      <w:r w:rsidRPr="00617CE7">
        <w:rPr>
          <w:bCs/>
          <w:lang w:val="uk-UA"/>
        </w:rPr>
        <w:t>або будь-якої з допоміжних речовин.</w:t>
      </w:r>
    </w:p>
    <w:p w14:paraId="4F183F1A" w14:textId="77777777" w:rsidR="004334FF" w:rsidRPr="00617CE7" w:rsidRDefault="004334FF" w:rsidP="004334FF">
      <w:pPr>
        <w:ind w:firstLine="708"/>
        <w:jc w:val="both"/>
        <w:rPr>
          <w:rStyle w:val="cs5efed22f5"/>
          <w:lang w:val="uk-UA"/>
        </w:rPr>
      </w:pPr>
      <w:r w:rsidRPr="00617CE7">
        <w:rPr>
          <w:rStyle w:val="cs5efed22f5"/>
          <w:lang w:val="uk-UA"/>
        </w:rPr>
        <w:t>Не застосовувати тваринам з ознаками гострої серцевої, ниркової та печінкової недостатності.</w:t>
      </w:r>
    </w:p>
    <w:p w14:paraId="7039B3E4" w14:textId="77777777" w:rsidR="004334FF" w:rsidRPr="00617CE7" w:rsidRDefault="004334FF" w:rsidP="004334FF">
      <w:pPr>
        <w:ind w:firstLine="708"/>
        <w:jc w:val="both"/>
        <w:rPr>
          <w:rStyle w:val="cs5efed22f5"/>
          <w:lang w:val="uk-UA"/>
        </w:rPr>
      </w:pPr>
      <w:r w:rsidRPr="00617CE7">
        <w:rPr>
          <w:rStyle w:val="cs5efed22f5"/>
          <w:lang w:val="uk-UA"/>
        </w:rPr>
        <w:t xml:space="preserve">Не застосовувати </w:t>
      </w:r>
      <w:r w:rsidR="00A52C0F" w:rsidRPr="00617CE7">
        <w:rPr>
          <w:rStyle w:val="cs5efed22f5"/>
          <w:lang w:val="uk-UA"/>
        </w:rPr>
        <w:t>за</w:t>
      </w:r>
      <w:r w:rsidRPr="00617CE7">
        <w:rPr>
          <w:rStyle w:val="cs5efed22f5"/>
          <w:lang w:val="uk-UA"/>
        </w:rPr>
        <w:t xml:space="preserve"> виявленн</w:t>
      </w:r>
      <w:r w:rsidR="00A52C0F" w:rsidRPr="00617CE7">
        <w:rPr>
          <w:rStyle w:val="cs5efed22f5"/>
          <w:lang w:val="uk-UA"/>
        </w:rPr>
        <w:t>я</w:t>
      </w:r>
      <w:r w:rsidRPr="00617CE7">
        <w:rPr>
          <w:rStyle w:val="cs5efed22f5"/>
          <w:lang w:val="uk-UA"/>
        </w:rPr>
        <w:t xml:space="preserve"> резистентних штамів збудників.</w:t>
      </w:r>
    </w:p>
    <w:p w14:paraId="70B71DCC" w14:textId="77777777" w:rsidR="004334FF" w:rsidRPr="00617CE7" w:rsidRDefault="004334FF" w:rsidP="004334FF">
      <w:pPr>
        <w:ind w:firstLine="708"/>
        <w:jc w:val="both"/>
        <w:rPr>
          <w:rStyle w:val="cs5efed22f5"/>
          <w:lang w:val="uk-UA"/>
        </w:rPr>
      </w:pPr>
      <w:r w:rsidRPr="00617CE7">
        <w:rPr>
          <w:rStyle w:val="cs5efed22f5"/>
          <w:lang w:val="uk-UA"/>
        </w:rPr>
        <w:t>Не застосовувати з профілактичною метою.</w:t>
      </w:r>
    </w:p>
    <w:p w14:paraId="3BFF1192" w14:textId="77777777" w:rsidR="004334FF" w:rsidRPr="00617CE7" w:rsidRDefault="004334FF" w:rsidP="004334FF">
      <w:pPr>
        <w:ind w:firstLine="708"/>
        <w:jc w:val="both"/>
        <w:rPr>
          <w:lang w:val="uk-UA"/>
        </w:rPr>
      </w:pPr>
      <w:r w:rsidRPr="00617CE7">
        <w:rPr>
          <w:rStyle w:val="cs5efed22f5"/>
          <w:lang w:val="uk-UA"/>
        </w:rPr>
        <w:t xml:space="preserve">Не застосовувати ослабленим та виснаженим тваринам! </w:t>
      </w:r>
    </w:p>
    <w:p w14:paraId="4351EE9F" w14:textId="77777777" w:rsidR="004334FF" w:rsidRPr="00617CE7" w:rsidRDefault="004334FF" w:rsidP="004334FF">
      <w:pPr>
        <w:ind w:firstLine="708"/>
        <w:jc w:val="both"/>
        <w:rPr>
          <w:b/>
          <w:snapToGrid w:val="0"/>
          <w:lang w:val="uk-UA"/>
        </w:rPr>
      </w:pPr>
      <w:r w:rsidRPr="00617CE7">
        <w:rPr>
          <w:b/>
          <w:snapToGrid w:val="0"/>
          <w:lang w:val="uk-UA"/>
        </w:rPr>
        <w:t>5.4 Побічна дія</w:t>
      </w:r>
    </w:p>
    <w:p w14:paraId="393C28C6" w14:textId="77777777" w:rsidR="004334FF" w:rsidRPr="00617CE7" w:rsidRDefault="00A52C0F" w:rsidP="004334FF">
      <w:pPr>
        <w:ind w:firstLine="708"/>
        <w:jc w:val="both"/>
        <w:rPr>
          <w:lang w:val="uk-UA"/>
        </w:rPr>
      </w:pPr>
      <w:r w:rsidRPr="00617CE7">
        <w:rPr>
          <w:lang w:val="uk-UA"/>
        </w:rPr>
        <w:t>За</w:t>
      </w:r>
      <w:r w:rsidR="004334FF" w:rsidRPr="00617CE7">
        <w:rPr>
          <w:lang w:val="uk-UA"/>
        </w:rPr>
        <w:t xml:space="preserve"> застосуванн</w:t>
      </w:r>
      <w:r w:rsidRPr="00617CE7">
        <w:rPr>
          <w:lang w:val="uk-UA"/>
        </w:rPr>
        <w:t>я</w:t>
      </w:r>
      <w:r w:rsidR="004334FF" w:rsidRPr="00617CE7">
        <w:rPr>
          <w:lang w:val="uk-UA"/>
        </w:rPr>
        <w:t xml:space="preserve"> препарату відповідно до листівки-вкладки зазвичай побічні явища і ускладнення не відзначаються.</w:t>
      </w:r>
    </w:p>
    <w:p w14:paraId="53F4F3B1" w14:textId="5DB7BC0A" w:rsidR="004334FF" w:rsidRPr="00617CE7" w:rsidRDefault="004334FF" w:rsidP="004334FF">
      <w:pPr>
        <w:ind w:firstLine="708"/>
        <w:jc w:val="both"/>
        <w:rPr>
          <w:lang w:val="uk-UA"/>
        </w:rPr>
      </w:pPr>
      <w:r w:rsidRPr="00617CE7">
        <w:rPr>
          <w:lang w:val="uk-UA"/>
        </w:rPr>
        <w:t>У  тварини з  гіперчутлив</w:t>
      </w:r>
      <w:r w:rsidR="00E27E0A" w:rsidRPr="00617CE7">
        <w:rPr>
          <w:lang w:val="uk-UA"/>
        </w:rPr>
        <w:t>і</w:t>
      </w:r>
      <w:r w:rsidRPr="00617CE7">
        <w:rPr>
          <w:lang w:val="uk-UA"/>
        </w:rPr>
        <w:t xml:space="preserve">стю  до компонентів препарату можливі наступні побічні дії: </w:t>
      </w:r>
      <w:r w:rsidR="00500EF3" w:rsidRPr="00617CE7">
        <w:rPr>
          <w:lang w:val="uk-UA"/>
        </w:rPr>
        <w:t xml:space="preserve">гіперсалівація, </w:t>
      </w:r>
      <w:r w:rsidRPr="00617CE7">
        <w:rPr>
          <w:lang w:val="uk-UA"/>
        </w:rPr>
        <w:t xml:space="preserve">прояви шкірних реакцій (свербіж, почервоніння,  набряки),  зміна кольору сечі (зумовлено виведенням нітроксоліну через нирки),  нудота або розлади </w:t>
      </w:r>
      <w:r w:rsidR="00500EF3" w:rsidRPr="00617CE7">
        <w:rPr>
          <w:lang w:val="uk-UA"/>
        </w:rPr>
        <w:t>травлення</w:t>
      </w:r>
      <w:r w:rsidRPr="00617CE7">
        <w:rPr>
          <w:lang w:val="uk-UA"/>
        </w:rPr>
        <w:t>: діарея або запор.</w:t>
      </w:r>
    </w:p>
    <w:p w14:paraId="7735BD3E" w14:textId="77777777" w:rsidR="004334FF" w:rsidRPr="00617CE7" w:rsidRDefault="004334FF" w:rsidP="004334FF">
      <w:pPr>
        <w:ind w:firstLine="708"/>
        <w:jc w:val="both"/>
        <w:rPr>
          <w:lang w:val="uk-UA"/>
        </w:rPr>
      </w:pPr>
      <w:r w:rsidRPr="00617CE7">
        <w:t xml:space="preserve">Через наявність дротаверину </w:t>
      </w:r>
      <w:r w:rsidR="004957B9" w:rsidRPr="00617CE7">
        <w:rPr>
          <w:lang w:val="uk-UA"/>
        </w:rPr>
        <w:t>за</w:t>
      </w:r>
      <w:r w:rsidRPr="00617CE7">
        <w:t xml:space="preserve"> значно</w:t>
      </w:r>
      <w:r w:rsidR="004957B9" w:rsidRPr="00617CE7">
        <w:rPr>
          <w:lang w:val="uk-UA"/>
        </w:rPr>
        <w:t>го</w:t>
      </w:r>
      <w:r w:rsidRPr="00617CE7">
        <w:t xml:space="preserve"> перевищен</w:t>
      </w:r>
      <w:r w:rsidR="004957B9" w:rsidRPr="00617CE7">
        <w:rPr>
          <w:lang w:val="uk-UA"/>
        </w:rPr>
        <w:t>ня</w:t>
      </w:r>
      <w:r w:rsidRPr="00617CE7">
        <w:t xml:space="preserve"> дози можливе зниження артеріального тиску, що проявляється млявістю або слабкістю тварини.</w:t>
      </w:r>
    </w:p>
    <w:p w14:paraId="63A9DB99" w14:textId="77777777" w:rsidR="004334FF" w:rsidRPr="00617CE7" w:rsidRDefault="004334FF" w:rsidP="004334FF">
      <w:pPr>
        <w:ind w:firstLine="708"/>
        <w:jc w:val="both"/>
        <w:rPr>
          <w:b/>
          <w:snapToGrid w:val="0"/>
        </w:rPr>
      </w:pPr>
      <w:r w:rsidRPr="00617CE7">
        <w:rPr>
          <w:b/>
          <w:snapToGrid w:val="0"/>
        </w:rPr>
        <w:t>5.5 Особливі застереження при використанні</w:t>
      </w:r>
    </w:p>
    <w:p w14:paraId="065A61F7" w14:textId="77777777" w:rsidR="004334FF" w:rsidRPr="00617CE7" w:rsidRDefault="004334FF" w:rsidP="004334FF">
      <w:pPr>
        <w:ind w:firstLine="708"/>
        <w:jc w:val="both"/>
      </w:pPr>
      <w:r w:rsidRPr="00617CE7">
        <w:t xml:space="preserve">Препарат </w:t>
      </w:r>
      <w:r w:rsidRPr="00617CE7">
        <w:rPr>
          <w:lang w:val="uk-UA"/>
        </w:rPr>
        <w:t>застосовувати згідно з листівкою-вкладкою</w:t>
      </w:r>
      <w:r w:rsidRPr="00617CE7">
        <w:t xml:space="preserve">. </w:t>
      </w:r>
    </w:p>
    <w:p w14:paraId="546CEAFD" w14:textId="77777777" w:rsidR="004334FF" w:rsidRPr="00617CE7" w:rsidRDefault="004334FF" w:rsidP="004334FF">
      <w:pPr>
        <w:shd w:val="clear" w:color="auto" w:fill="FFFFFF"/>
        <w:ind w:firstLine="708"/>
        <w:jc w:val="both"/>
        <w:rPr>
          <w:spacing w:val="-1"/>
          <w:lang w:val="uk-UA"/>
        </w:rPr>
      </w:pPr>
      <w:r w:rsidRPr="00617CE7">
        <w:rPr>
          <w:spacing w:val="-1"/>
          <w:lang w:val="uk-UA"/>
        </w:rPr>
        <w:t>Слід дотримуватися рекомендованих доз.</w:t>
      </w:r>
    </w:p>
    <w:p w14:paraId="717FD6D5" w14:textId="77777777" w:rsidR="004334FF" w:rsidRPr="00617CE7" w:rsidRDefault="004334FF" w:rsidP="004334FF">
      <w:pPr>
        <w:ind w:firstLine="708"/>
        <w:jc w:val="both"/>
        <w:rPr>
          <w:lang w:val="uk-UA"/>
        </w:rPr>
      </w:pPr>
      <w:r w:rsidRPr="00617CE7">
        <w:rPr>
          <w:lang w:val="uk-UA"/>
        </w:rPr>
        <w:t>Пропуск чергової дози препарату може призвести до зниження ефективності лікування. Під час пропуску чергової дози препарату застосування препарату необхідно якнайшвидше відновити в тій же дозі за тією ж схемою.</w:t>
      </w:r>
    </w:p>
    <w:p w14:paraId="50618AEF" w14:textId="77777777" w:rsidR="004334FF" w:rsidRPr="00617CE7" w:rsidRDefault="004334FF" w:rsidP="004334FF">
      <w:pPr>
        <w:ind w:firstLine="708"/>
        <w:jc w:val="both"/>
        <w:rPr>
          <w:lang w:val="uk-UA"/>
        </w:rPr>
      </w:pPr>
      <w:r w:rsidRPr="00617CE7">
        <w:rPr>
          <w:lang w:val="uk-UA"/>
        </w:rPr>
        <w:t xml:space="preserve">Застосування ветеринарного лікарського засобу повинно ґрунтуватись на ідентифікації та тестуванні на чутливість цільових патогенів до нітроксоліну. Якщо це неможливо, лікування повинно базуватись на епізоотичній інформації про чутливість цільових патогенів на місцевому/регіональному рівні. </w:t>
      </w:r>
    </w:p>
    <w:p w14:paraId="491BDFD8" w14:textId="77777777" w:rsidR="004334FF" w:rsidRPr="00617CE7" w:rsidRDefault="004334FF" w:rsidP="004334FF">
      <w:pPr>
        <w:ind w:firstLine="708"/>
        <w:jc w:val="both"/>
        <w:rPr>
          <w:color w:val="000000"/>
          <w:shd w:val="clear" w:color="auto" w:fill="FFFFFF"/>
          <w:lang w:val="uk-UA"/>
        </w:rPr>
      </w:pPr>
      <w:r w:rsidRPr="00617CE7">
        <w:rPr>
          <w:color w:val="000000"/>
          <w:shd w:val="clear" w:color="auto" w:fill="FFFFFF"/>
          <w:lang w:val="uk-UA"/>
        </w:rPr>
        <w:t xml:space="preserve">Через наявність у складі препарату  лактози та глюкози </w:t>
      </w:r>
      <w:r w:rsidR="004957B9" w:rsidRPr="00617CE7">
        <w:rPr>
          <w:color w:val="000000"/>
          <w:shd w:val="clear" w:color="auto" w:fill="FFFFFF"/>
          <w:lang w:val="uk-UA"/>
        </w:rPr>
        <w:t>за</w:t>
      </w:r>
      <w:r w:rsidRPr="00617CE7">
        <w:rPr>
          <w:color w:val="000000"/>
          <w:shd w:val="clear" w:color="auto" w:fill="FFFFFF"/>
          <w:lang w:val="uk-UA"/>
        </w:rPr>
        <w:t xml:space="preserve"> гіперглікемії, цукрово</w:t>
      </w:r>
      <w:r w:rsidR="004957B9" w:rsidRPr="00617CE7">
        <w:rPr>
          <w:color w:val="000000"/>
          <w:shd w:val="clear" w:color="auto" w:fill="FFFFFF"/>
          <w:lang w:val="uk-UA"/>
        </w:rPr>
        <w:t>го</w:t>
      </w:r>
      <w:r w:rsidRPr="00617CE7">
        <w:rPr>
          <w:color w:val="000000"/>
          <w:shd w:val="clear" w:color="auto" w:fill="FFFFFF"/>
          <w:lang w:val="uk-UA"/>
        </w:rPr>
        <w:t xml:space="preserve"> діабет</w:t>
      </w:r>
      <w:r w:rsidR="004957B9" w:rsidRPr="00617CE7">
        <w:rPr>
          <w:color w:val="000000"/>
          <w:shd w:val="clear" w:color="auto" w:fill="FFFFFF"/>
          <w:lang w:val="uk-UA"/>
        </w:rPr>
        <w:t>у</w:t>
      </w:r>
      <w:r w:rsidRPr="00617CE7">
        <w:rPr>
          <w:color w:val="000000"/>
          <w:shd w:val="clear" w:color="auto" w:fill="FFFFFF"/>
          <w:lang w:val="uk-UA"/>
        </w:rPr>
        <w:t xml:space="preserve"> та алергії на молочні продукти у тварин застосування препарату можливе тільки після консультації з </w:t>
      </w:r>
      <w:r w:rsidRPr="00617CE7">
        <w:rPr>
          <w:lang w:val="uk-UA"/>
        </w:rPr>
        <w:t>лікарем</w:t>
      </w:r>
      <w:r w:rsidR="004957B9" w:rsidRPr="00617CE7">
        <w:rPr>
          <w:lang w:val="uk-UA"/>
        </w:rPr>
        <w:t xml:space="preserve"> ветеринарної медицини</w:t>
      </w:r>
      <w:r w:rsidRPr="00617CE7">
        <w:rPr>
          <w:color w:val="000000"/>
          <w:shd w:val="clear" w:color="auto" w:fill="FFFFFF"/>
          <w:lang w:val="uk-UA"/>
        </w:rPr>
        <w:t>.</w:t>
      </w:r>
    </w:p>
    <w:p w14:paraId="4D674652" w14:textId="77777777" w:rsidR="004334FF" w:rsidRPr="00617CE7" w:rsidRDefault="004334FF" w:rsidP="004334FF">
      <w:pPr>
        <w:widowControl w:val="0"/>
        <w:ind w:right="454" w:firstLine="708"/>
        <w:jc w:val="both"/>
        <w:rPr>
          <w:b/>
          <w:snapToGrid w:val="0"/>
        </w:rPr>
      </w:pPr>
      <w:r w:rsidRPr="00617CE7">
        <w:rPr>
          <w:b/>
          <w:snapToGrid w:val="0"/>
        </w:rPr>
        <w:t>5.6 Використання під час вагітності, лактації, несучості</w:t>
      </w:r>
    </w:p>
    <w:p w14:paraId="0E01A45D" w14:textId="77777777" w:rsidR="00500EF3" w:rsidRPr="00617CE7" w:rsidRDefault="00500EF3" w:rsidP="00500EF3">
      <w:pPr>
        <w:shd w:val="clear" w:color="auto" w:fill="FFFFFF"/>
        <w:ind w:firstLine="708"/>
        <w:jc w:val="both"/>
        <w:rPr>
          <w:lang w:val="uk-UA"/>
        </w:rPr>
      </w:pPr>
      <w:r w:rsidRPr="00617CE7">
        <w:lastRenderedPageBreak/>
        <w:t>Безпека препарату для вагітних та лактуючих тварин не встановлена. Застосування препарату допускається лише у випадках, коли очікувана користь для матері значно перевищує потенційний ризик для плоду або новонароджених тварин. Рішення про застосування приймає лікар ветеринарної медицини після оцінки стану тварини</w:t>
      </w:r>
      <w:r w:rsidRPr="00617CE7">
        <w:rPr>
          <w:lang w:val="uk-UA"/>
        </w:rPr>
        <w:t>.</w:t>
      </w:r>
    </w:p>
    <w:p w14:paraId="700B3ED3" w14:textId="77777777" w:rsidR="004334FF" w:rsidRPr="00617CE7" w:rsidRDefault="004334FF" w:rsidP="004334FF">
      <w:pPr>
        <w:shd w:val="clear" w:color="auto" w:fill="FFFFFF"/>
        <w:ind w:firstLine="708"/>
        <w:jc w:val="both"/>
        <w:rPr>
          <w:b/>
          <w:snapToGrid w:val="0"/>
          <w:lang w:val="uk-UA"/>
        </w:rPr>
      </w:pPr>
      <w:r w:rsidRPr="00617CE7">
        <w:rPr>
          <w:b/>
          <w:snapToGrid w:val="0"/>
          <w:lang w:val="uk-UA"/>
        </w:rPr>
        <w:t>5.7 Взаємодія з іншими засобами та інші форми взаємодії</w:t>
      </w:r>
    </w:p>
    <w:p w14:paraId="7A7629F2" w14:textId="77777777" w:rsidR="00500EF3" w:rsidRPr="00617CE7" w:rsidRDefault="00500EF3" w:rsidP="001D2E80">
      <w:pPr>
        <w:shd w:val="clear" w:color="auto" w:fill="FFFFFF"/>
        <w:ind w:firstLine="708"/>
        <w:jc w:val="both"/>
        <w:rPr>
          <w:lang w:val="uk-UA"/>
        </w:rPr>
      </w:pPr>
      <w:r w:rsidRPr="00617CE7">
        <w:rPr>
          <w:lang w:val="uk-UA"/>
        </w:rPr>
        <w:t xml:space="preserve">Спостерігається синергізм (посилення ефекту) при поєднанні нітроксоліну з тетрациклінами, нітрофуранами та налідиксовою кислотою. </w:t>
      </w:r>
    </w:p>
    <w:p w14:paraId="22342E83" w14:textId="58F61CDE" w:rsidR="00500EF3" w:rsidRPr="00617CE7" w:rsidRDefault="00500EF3" w:rsidP="001D2E80">
      <w:pPr>
        <w:shd w:val="clear" w:color="auto" w:fill="FFFFFF"/>
        <w:ind w:firstLine="708"/>
        <w:jc w:val="both"/>
        <w:rPr>
          <w:lang w:val="uk-UA"/>
        </w:rPr>
      </w:pPr>
      <w:r w:rsidRPr="00617CE7">
        <w:rPr>
          <w:lang w:val="uk-UA"/>
        </w:rPr>
        <w:t>Препарати, що містять магній, алюміній або кальцій, можуть знижувати всмоктування нітроксоліну в травно</w:t>
      </w:r>
      <w:r w:rsidR="00102A12" w:rsidRPr="00617CE7">
        <w:rPr>
          <w:lang w:val="uk-UA"/>
        </w:rPr>
        <w:t>му</w:t>
      </w:r>
      <w:r w:rsidRPr="00617CE7">
        <w:rPr>
          <w:lang w:val="uk-UA"/>
        </w:rPr>
        <w:t xml:space="preserve"> канал</w:t>
      </w:r>
      <w:r w:rsidR="00102A12" w:rsidRPr="00617CE7">
        <w:rPr>
          <w:lang w:val="uk-UA"/>
        </w:rPr>
        <w:t>і</w:t>
      </w:r>
      <w:r w:rsidRPr="00617CE7">
        <w:rPr>
          <w:lang w:val="uk-UA"/>
        </w:rPr>
        <w:t xml:space="preserve"> (утворюючи неактивні комплекси). Рекомендовано витримувати інтервал 2 години між прийомами. </w:t>
      </w:r>
    </w:p>
    <w:p w14:paraId="46E92C55" w14:textId="77777777" w:rsidR="00500EF3" w:rsidRPr="00617CE7" w:rsidRDefault="00500EF3" w:rsidP="001D2E80">
      <w:pPr>
        <w:shd w:val="clear" w:color="auto" w:fill="FFFFFF"/>
        <w:ind w:firstLine="708"/>
        <w:jc w:val="both"/>
        <w:rPr>
          <w:lang w:val="uk-UA"/>
        </w:rPr>
      </w:pPr>
      <w:r w:rsidRPr="00617CE7">
        <w:rPr>
          <w:lang w:val="uk-UA"/>
        </w:rPr>
        <w:t>При одночасному застосуванні з іншими спазмолітиками (наприклад, атропіном) спостерігається посилення розслаблюючої дії на гладеньку мускулатуру сечовивідних шляхів.</w:t>
      </w:r>
    </w:p>
    <w:p w14:paraId="7A56A36C" w14:textId="77777777" w:rsidR="00500EF3" w:rsidRPr="00617CE7" w:rsidRDefault="00500EF3" w:rsidP="001D2E80">
      <w:pPr>
        <w:shd w:val="clear" w:color="auto" w:fill="FFFFFF"/>
        <w:ind w:firstLine="708"/>
        <w:jc w:val="both"/>
        <w:rPr>
          <w:i/>
        </w:rPr>
      </w:pPr>
      <w:r w:rsidRPr="00617CE7">
        <w:t>Одночасне застосування з активованим вугіллям або іншими сорбентами знижує концентрацію діючих речовин у крові.</w:t>
      </w:r>
      <w:r w:rsidRPr="00617CE7">
        <w:rPr>
          <w:i/>
        </w:rPr>
        <w:t xml:space="preserve"> </w:t>
      </w:r>
    </w:p>
    <w:p w14:paraId="68C871AC" w14:textId="77777777" w:rsidR="004334FF" w:rsidRPr="00617CE7" w:rsidRDefault="004334FF" w:rsidP="004334FF">
      <w:pPr>
        <w:widowControl w:val="0"/>
        <w:ind w:right="454" w:firstLine="708"/>
        <w:jc w:val="both"/>
        <w:rPr>
          <w:b/>
          <w:snapToGrid w:val="0"/>
          <w:lang w:val="uk-UA"/>
        </w:rPr>
      </w:pPr>
      <w:r w:rsidRPr="00617CE7">
        <w:rPr>
          <w:b/>
          <w:snapToGrid w:val="0"/>
        </w:rPr>
        <w:t>5.8 Дози і способи введення тваринам різного віку</w:t>
      </w:r>
    </w:p>
    <w:p w14:paraId="6CBDD508" w14:textId="77777777" w:rsidR="004334FF" w:rsidRPr="00617CE7" w:rsidRDefault="004334FF" w:rsidP="004334FF">
      <w:pPr>
        <w:ind w:firstLine="708"/>
        <w:jc w:val="both"/>
        <w:rPr>
          <w:lang w:val="uk-UA"/>
        </w:rPr>
      </w:pPr>
      <w:r w:rsidRPr="00617CE7">
        <w:rPr>
          <w:lang w:val="uk-UA"/>
        </w:rPr>
        <w:t xml:space="preserve">Таблетки застосовують тваринам індивідуально з кормом або вводять безпосередньо на корінь язика з лікувальною метою 3 рази на добу протягом 7-14 днів, </w:t>
      </w:r>
      <w:r w:rsidR="00E27E0A" w:rsidRPr="00617CE7">
        <w:rPr>
          <w:lang w:val="uk-UA"/>
        </w:rPr>
        <w:t>у</w:t>
      </w:r>
      <w:r w:rsidRPr="00617CE7">
        <w:rPr>
          <w:lang w:val="uk-UA"/>
        </w:rPr>
        <w:t xml:space="preserve"> наступних дозах:</w:t>
      </w:r>
    </w:p>
    <w:p w14:paraId="49A29648" w14:textId="77777777" w:rsidR="004334FF" w:rsidRPr="00617CE7" w:rsidRDefault="004334FF" w:rsidP="004334FF">
      <w:pPr>
        <w:ind w:firstLine="709"/>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946"/>
        <w:gridCol w:w="3544"/>
      </w:tblGrid>
      <w:tr w:rsidR="004334FF" w:rsidRPr="00617CE7" w14:paraId="0CC9162E" w14:textId="77777777" w:rsidTr="00A52C0F">
        <w:tc>
          <w:tcPr>
            <w:tcW w:w="1869" w:type="dxa"/>
            <w:vMerge w:val="restart"/>
            <w:shd w:val="clear" w:color="auto" w:fill="auto"/>
          </w:tcPr>
          <w:p w14:paraId="7D6C2417" w14:textId="77777777" w:rsidR="004334FF" w:rsidRPr="00617CE7" w:rsidRDefault="004334FF" w:rsidP="00A52C0F">
            <w:pPr>
              <w:jc w:val="center"/>
              <w:rPr>
                <w:b/>
                <w:lang w:val="uk-UA"/>
              </w:rPr>
            </w:pPr>
            <w:r w:rsidRPr="00617CE7">
              <w:rPr>
                <w:b/>
                <w:lang w:val="uk-UA"/>
              </w:rPr>
              <w:t>Маса тіла тварини (кг)</w:t>
            </w:r>
          </w:p>
        </w:tc>
        <w:tc>
          <w:tcPr>
            <w:tcW w:w="6490" w:type="dxa"/>
            <w:gridSpan w:val="2"/>
            <w:shd w:val="clear" w:color="auto" w:fill="auto"/>
          </w:tcPr>
          <w:p w14:paraId="38B181B0" w14:textId="77777777" w:rsidR="004334FF" w:rsidRPr="00617CE7" w:rsidRDefault="004334FF" w:rsidP="00A52C0F">
            <w:pPr>
              <w:jc w:val="center"/>
              <w:rPr>
                <w:b/>
                <w:lang w:val="uk-UA"/>
              </w:rPr>
            </w:pPr>
            <w:r w:rsidRPr="00617CE7">
              <w:rPr>
                <w:b/>
                <w:lang w:val="uk-UA"/>
              </w:rPr>
              <w:t xml:space="preserve">Кількість таблеток </w:t>
            </w:r>
            <w:r w:rsidRPr="00617CE7">
              <w:rPr>
                <w:b/>
                <w:bCs/>
                <w:lang w:val="uk-UA"/>
              </w:rPr>
              <w:t>АНТИ ЦИСТИТ (разова доза)</w:t>
            </w:r>
          </w:p>
        </w:tc>
      </w:tr>
      <w:tr w:rsidR="004334FF" w:rsidRPr="00617CE7" w14:paraId="28033D36" w14:textId="77777777" w:rsidTr="00A52C0F">
        <w:tc>
          <w:tcPr>
            <w:tcW w:w="1869" w:type="dxa"/>
            <w:vMerge/>
            <w:shd w:val="clear" w:color="auto" w:fill="auto"/>
          </w:tcPr>
          <w:p w14:paraId="1964A301" w14:textId="77777777" w:rsidR="004334FF" w:rsidRPr="00617CE7" w:rsidRDefault="004334FF" w:rsidP="00A52C0F">
            <w:pPr>
              <w:jc w:val="both"/>
              <w:rPr>
                <w:b/>
                <w:lang w:val="uk-UA"/>
              </w:rPr>
            </w:pPr>
          </w:p>
        </w:tc>
        <w:tc>
          <w:tcPr>
            <w:tcW w:w="2946" w:type="dxa"/>
            <w:shd w:val="clear" w:color="auto" w:fill="auto"/>
          </w:tcPr>
          <w:p w14:paraId="44CE0AFF" w14:textId="77777777" w:rsidR="004334FF" w:rsidRPr="00617CE7" w:rsidRDefault="004334FF" w:rsidP="00A52C0F">
            <w:pPr>
              <w:jc w:val="both"/>
              <w:rPr>
                <w:b/>
                <w:lang w:val="uk-UA"/>
              </w:rPr>
            </w:pPr>
            <w:r w:rsidRPr="00617CE7">
              <w:rPr>
                <w:b/>
                <w:lang w:val="uk-UA"/>
              </w:rPr>
              <w:t>Таблетка масою 120 мг</w:t>
            </w:r>
          </w:p>
        </w:tc>
        <w:tc>
          <w:tcPr>
            <w:tcW w:w="3544" w:type="dxa"/>
            <w:shd w:val="clear" w:color="auto" w:fill="auto"/>
          </w:tcPr>
          <w:p w14:paraId="2F88A3DE" w14:textId="77777777" w:rsidR="004334FF" w:rsidRPr="00617CE7" w:rsidRDefault="004334FF" w:rsidP="00A52C0F">
            <w:pPr>
              <w:jc w:val="both"/>
              <w:rPr>
                <w:b/>
                <w:lang w:val="uk-UA"/>
              </w:rPr>
            </w:pPr>
            <w:r w:rsidRPr="00617CE7">
              <w:rPr>
                <w:b/>
                <w:lang w:val="uk-UA"/>
              </w:rPr>
              <w:t>Таблетка масою 240 мг</w:t>
            </w:r>
          </w:p>
        </w:tc>
      </w:tr>
      <w:tr w:rsidR="004334FF" w:rsidRPr="00617CE7" w14:paraId="6501D131" w14:textId="77777777" w:rsidTr="00A52C0F">
        <w:tc>
          <w:tcPr>
            <w:tcW w:w="1869" w:type="dxa"/>
            <w:shd w:val="clear" w:color="auto" w:fill="auto"/>
          </w:tcPr>
          <w:p w14:paraId="1F5017FC" w14:textId="77777777" w:rsidR="004334FF" w:rsidRPr="00617CE7" w:rsidRDefault="004334FF" w:rsidP="00A52C0F">
            <w:pPr>
              <w:jc w:val="center"/>
              <w:rPr>
                <w:lang w:val="uk-UA"/>
              </w:rPr>
            </w:pPr>
            <w:r w:rsidRPr="00617CE7">
              <w:rPr>
                <w:lang w:val="uk-UA"/>
              </w:rPr>
              <w:t>До 5 кг</w:t>
            </w:r>
          </w:p>
        </w:tc>
        <w:tc>
          <w:tcPr>
            <w:tcW w:w="2946" w:type="dxa"/>
            <w:shd w:val="clear" w:color="auto" w:fill="auto"/>
          </w:tcPr>
          <w:p w14:paraId="5EB4F071" w14:textId="77777777" w:rsidR="004334FF" w:rsidRPr="00617CE7" w:rsidRDefault="004334FF" w:rsidP="00A52C0F">
            <w:pPr>
              <w:jc w:val="center"/>
              <w:rPr>
                <w:lang w:val="uk-UA"/>
              </w:rPr>
            </w:pPr>
            <w:r w:rsidRPr="00617CE7">
              <w:rPr>
                <w:lang w:val="uk-UA"/>
              </w:rPr>
              <w:t>1</w:t>
            </w:r>
          </w:p>
        </w:tc>
        <w:tc>
          <w:tcPr>
            <w:tcW w:w="3544" w:type="dxa"/>
            <w:shd w:val="clear" w:color="auto" w:fill="auto"/>
          </w:tcPr>
          <w:p w14:paraId="5E790D58" w14:textId="77777777" w:rsidR="004334FF" w:rsidRPr="00617CE7" w:rsidRDefault="004334FF" w:rsidP="00A52C0F">
            <w:pPr>
              <w:jc w:val="center"/>
              <w:rPr>
                <w:lang w:val="uk-UA"/>
              </w:rPr>
            </w:pPr>
            <w:r w:rsidRPr="00617CE7">
              <w:rPr>
                <w:lang w:val="uk-UA"/>
              </w:rPr>
              <w:t>-</w:t>
            </w:r>
          </w:p>
        </w:tc>
      </w:tr>
      <w:tr w:rsidR="004334FF" w:rsidRPr="00617CE7" w14:paraId="6E27298A" w14:textId="77777777" w:rsidTr="00A52C0F">
        <w:tc>
          <w:tcPr>
            <w:tcW w:w="1869" w:type="dxa"/>
            <w:shd w:val="clear" w:color="auto" w:fill="auto"/>
          </w:tcPr>
          <w:p w14:paraId="11C3380B" w14:textId="77777777" w:rsidR="004334FF" w:rsidRPr="00617CE7" w:rsidRDefault="004334FF" w:rsidP="00A52C0F">
            <w:pPr>
              <w:jc w:val="center"/>
              <w:rPr>
                <w:lang w:val="uk-UA"/>
              </w:rPr>
            </w:pPr>
            <w:r w:rsidRPr="00617CE7">
              <w:rPr>
                <w:lang w:val="uk-UA"/>
              </w:rPr>
              <w:t>˃5-10</w:t>
            </w:r>
          </w:p>
        </w:tc>
        <w:tc>
          <w:tcPr>
            <w:tcW w:w="2946" w:type="dxa"/>
            <w:shd w:val="clear" w:color="auto" w:fill="auto"/>
          </w:tcPr>
          <w:p w14:paraId="0949BF6A" w14:textId="77777777" w:rsidR="004334FF" w:rsidRPr="00617CE7" w:rsidRDefault="004334FF" w:rsidP="00A52C0F">
            <w:pPr>
              <w:jc w:val="center"/>
              <w:rPr>
                <w:lang w:val="uk-UA"/>
              </w:rPr>
            </w:pPr>
            <w:r w:rsidRPr="00617CE7">
              <w:rPr>
                <w:lang w:val="uk-UA"/>
              </w:rPr>
              <w:t>1+1/2</w:t>
            </w:r>
          </w:p>
        </w:tc>
        <w:tc>
          <w:tcPr>
            <w:tcW w:w="3544" w:type="dxa"/>
            <w:shd w:val="clear" w:color="auto" w:fill="auto"/>
          </w:tcPr>
          <w:p w14:paraId="6D40E892" w14:textId="77777777" w:rsidR="004334FF" w:rsidRPr="00617CE7" w:rsidRDefault="004334FF" w:rsidP="00A52C0F">
            <w:pPr>
              <w:jc w:val="center"/>
              <w:rPr>
                <w:lang w:val="uk-UA"/>
              </w:rPr>
            </w:pPr>
            <w:r w:rsidRPr="00617CE7">
              <w:rPr>
                <w:lang w:val="uk-UA"/>
              </w:rPr>
              <w:t>-</w:t>
            </w:r>
          </w:p>
        </w:tc>
      </w:tr>
      <w:tr w:rsidR="004334FF" w:rsidRPr="00617CE7" w14:paraId="72BDE3D4" w14:textId="77777777" w:rsidTr="00A52C0F">
        <w:tc>
          <w:tcPr>
            <w:tcW w:w="1869" w:type="dxa"/>
            <w:shd w:val="clear" w:color="auto" w:fill="auto"/>
          </w:tcPr>
          <w:p w14:paraId="6F7180C0" w14:textId="77777777" w:rsidR="004334FF" w:rsidRPr="00617CE7" w:rsidRDefault="004334FF" w:rsidP="00A52C0F">
            <w:pPr>
              <w:jc w:val="center"/>
              <w:rPr>
                <w:lang w:val="uk-UA"/>
              </w:rPr>
            </w:pPr>
            <w:r w:rsidRPr="00617CE7">
              <w:rPr>
                <w:lang w:val="uk-UA"/>
              </w:rPr>
              <w:t>˃10</w:t>
            </w:r>
          </w:p>
        </w:tc>
        <w:tc>
          <w:tcPr>
            <w:tcW w:w="2946" w:type="dxa"/>
            <w:shd w:val="clear" w:color="auto" w:fill="auto"/>
          </w:tcPr>
          <w:p w14:paraId="70653C0F" w14:textId="77777777" w:rsidR="004334FF" w:rsidRPr="00617CE7" w:rsidRDefault="004334FF" w:rsidP="00A52C0F">
            <w:pPr>
              <w:jc w:val="center"/>
              <w:rPr>
                <w:lang w:val="uk-UA"/>
              </w:rPr>
            </w:pPr>
            <w:r w:rsidRPr="00617CE7">
              <w:rPr>
                <w:lang w:val="uk-UA"/>
              </w:rPr>
              <w:t xml:space="preserve">2 </w:t>
            </w:r>
          </w:p>
        </w:tc>
        <w:tc>
          <w:tcPr>
            <w:tcW w:w="3544" w:type="dxa"/>
            <w:shd w:val="clear" w:color="auto" w:fill="auto"/>
          </w:tcPr>
          <w:p w14:paraId="76BE0475" w14:textId="77777777" w:rsidR="004334FF" w:rsidRPr="00617CE7" w:rsidRDefault="004334FF" w:rsidP="00A52C0F">
            <w:pPr>
              <w:jc w:val="center"/>
              <w:rPr>
                <w:lang w:val="uk-UA"/>
              </w:rPr>
            </w:pPr>
            <w:r w:rsidRPr="00617CE7">
              <w:rPr>
                <w:lang w:val="uk-UA"/>
              </w:rPr>
              <w:t>1</w:t>
            </w:r>
          </w:p>
        </w:tc>
      </w:tr>
      <w:tr w:rsidR="004334FF" w:rsidRPr="00617CE7" w14:paraId="003ABCEE" w14:textId="77777777" w:rsidTr="00A52C0F">
        <w:tc>
          <w:tcPr>
            <w:tcW w:w="1869" w:type="dxa"/>
            <w:shd w:val="clear" w:color="auto" w:fill="auto"/>
          </w:tcPr>
          <w:p w14:paraId="79DA286F" w14:textId="77777777" w:rsidR="004334FF" w:rsidRPr="00617CE7" w:rsidRDefault="004334FF" w:rsidP="00A52C0F">
            <w:pPr>
              <w:jc w:val="center"/>
              <w:rPr>
                <w:lang w:val="uk-UA"/>
              </w:rPr>
            </w:pPr>
            <w:r w:rsidRPr="00617CE7">
              <w:rPr>
                <w:lang w:val="uk-UA"/>
              </w:rPr>
              <w:t>˃ 10-20</w:t>
            </w:r>
          </w:p>
        </w:tc>
        <w:tc>
          <w:tcPr>
            <w:tcW w:w="2946" w:type="dxa"/>
            <w:shd w:val="clear" w:color="auto" w:fill="auto"/>
          </w:tcPr>
          <w:p w14:paraId="414E243C" w14:textId="77777777" w:rsidR="004334FF" w:rsidRPr="00617CE7" w:rsidRDefault="004334FF" w:rsidP="00A52C0F">
            <w:pPr>
              <w:jc w:val="center"/>
              <w:rPr>
                <w:lang w:val="uk-UA"/>
              </w:rPr>
            </w:pPr>
            <w:r w:rsidRPr="00617CE7">
              <w:rPr>
                <w:lang w:val="uk-UA"/>
              </w:rPr>
              <w:t>-</w:t>
            </w:r>
          </w:p>
        </w:tc>
        <w:tc>
          <w:tcPr>
            <w:tcW w:w="3544" w:type="dxa"/>
            <w:shd w:val="clear" w:color="auto" w:fill="auto"/>
          </w:tcPr>
          <w:p w14:paraId="6DD0D9A7" w14:textId="77777777" w:rsidR="004334FF" w:rsidRPr="00617CE7" w:rsidRDefault="004334FF" w:rsidP="00A52C0F">
            <w:pPr>
              <w:jc w:val="center"/>
              <w:rPr>
                <w:lang w:val="uk-UA"/>
              </w:rPr>
            </w:pPr>
            <w:r w:rsidRPr="00617CE7">
              <w:rPr>
                <w:lang w:val="uk-UA"/>
              </w:rPr>
              <w:t>1+1/2</w:t>
            </w:r>
          </w:p>
        </w:tc>
      </w:tr>
      <w:tr w:rsidR="004334FF" w:rsidRPr="00617CE7" w14:paraId="297D9D03" w14:textId="77777777" w:rsidTr="00A52C0F">
        <w:tc>
          <w:tcPr>
            <w:tcW w:w="1869" w:type="dxa"/>
            <w:shd w:val="clear" w:color="auto" w:fill="auto"/>
          </w:tcPr>
          <w:p w14:paraId="686EA13E" w14:textId="77777777" w:rsidR="004334FF" w:rsidRPr="00617CE7" w:rsidRDefault="004334FF" w:rsidP="00A52C0F">
            <w:pPr>
              <w:jc w:val="center"/>
              <w:rPr>
                <w:lang w:val="uk-UA"/>
              </w:rPr>
            </w:pPr>
            <w:r w:rsidRPr="00617CE7">
              <w:rPr>
                <w:lang w:val="uk-UA"/>
              </w:rPr>
              <w:t>˃ 20-30</w:t>
            </w:r>
          </w:p>
        </w:tc>
        <w:tc>
          <w:tcPr>
            <w:tcW w:w="2946" w:type="dxa"/>
            <w:shd w:val="clear" w:color="auto" w:fill="auto"/>
          </w:tcPr>
          <w:p w14:paraId="772CBCDC" w14:textId="77777777" w:rsidR="004334FF" w:rsidRPr="00617CE7" w:rsidRDefault="004334FF" w:rsidP="00A52C0F">
            <w:pPr>
              <w:jc w:val="center"/>
              <w:rPr>
                <w:lang w:val="uk-UA"/>
              </w:rPr>
            </w:pPr>
            <w:r w:rsidRPr="00617CE7">
              <w:rPr>
                <w:lang w:val="uk-UA"/>
              </w:rPr>
              <w:t>-</w:t>
            </w:r>
          </w:p>
        </w:tc>
        <w:tc>
          <w:tcPr>
            <w:tcW w:w="3544" w:type="dxa"/>
            <w:shd w:val="clear" w:color="auto" w:fill="auto"/>
          </w:tcPr>
          <w:p w14:paraId="0A563D62" w14:textId="77777777" w:rsidR="004334FF" w:rsidRPr="00617CE7" w:rsidRDefault="004334FF" w:rsidP="00A52C0F">
            <w:pPr>
              <w:jc w:val="center"/>
              <w:rPr>
                <w:lang w:val="uk-UA"/>
              </w:rPr>
            </w:pPr>
            <w:r w:rsidRPr="00617CE7">
              <w:rPr>
                <w:lang w:val="uk-UA"/>
              </w:rPr>
              <w:t>Від 1+1/2 до 2</w:t>
            </w:r>
          </w:p>
        </w:tc>
      </w:tr>
      <w:tr w:rsidR="004334FF" w:rsidRPr="00617CE7" w14:paraId="49ADD86B" w14:textId="77777777" w:rsidTr="00A52C0F">
        <w:tc>
          <w:tcPr>
            <w:tcW w:w="1869" w:type="dxa"/>
            <w:shd w:val="clear" w:color="auto" w:fill="auto"/>
          </w:tcPr>
          <w:p w14:paraId="52FD4FB6" w14:textId="77777777" w:rsidR="004334FF" w:rsidRPr="00617CE7" w:rsidRDefault="004334FF" w:rsidP="00A52C0F">
            <w:pPr>
              <w:jc w:val="center"/>
              <w:rPr>
                <w:lang w:val="uk-UA"/>
              </w:rPr>
            </w:pPr>
            <w:r w:rsidRPr="00617CE7">
              <w:rPr>
                <w:lang w:val="uk-UA"/>
              </w:rPr>
              <w:t>˃ 30-40</w:t>
            </w:r>
          </w:p>
        </w:tc>
        <w:tc>
          <w:tcPr>
            <w:tcW w:w="2946" w:type="dxa"/>
            <w:shd w:val="clear" w:color="auto" w:fill="auto"/>
          </w:tcPr>
          <w:p w14:paraId="5AE7C7DE" w14:textId="77777777" w:rsidR="004334FF" w:rsidRPr="00617CE7" w:rsidRDefault="004334FF" w:rsidP="00A52C0F">
            <w:pPr>
              <w:jc w:val="center"/>
              <w:rPr>
                <w:lang w:val="uk-UA"/>
              </w:rPr>
            </w:pPr>
            <w:r w:rsidRPr="00617CE7">
              <w:rPr>
                <w:lang w:val="uk-UA"/>
              </w:rPr>
              <w:t>-</w:t>
            </w:r>
          </w:p>
        </w:tc>
        <w:tc>
          <w:tcPr>
            <w:tcW w:w="3544" w:type="dxa"/>
            <w:shd w:val="clear" w:color="auto" w:fill="auto"/>
          </w:tcPr>
          <w:p w14:paraId="08EB65D2" w14:textId="77777777" w:rsidR="004334FF" w:rsidRPr="00617CE7" w:rsidRDefault="004334FF" w:rsidP="00A52C0F">
            <w:pPr>
              <w:jc w:val="center"/>
              <w:rPr>
                <w:lang w:val="uk-UA"/>
              </w:rPr>
            </w:pPr>
            <w:r w:rsidRPr="00617CE7">
              <w:rPr>
                <w:lang w:val="uk-UA"/>
              </w:rPr>
              <w:t>Від 2 до 3</w:t>
            </w:r>
          </w:p>
        </w:tc>
      </w:tr>
      <w:tr w:rsidR="004334FF" w:rsidRPr="00617CE7" w14:paraId="15279B51" w14:textId="77777777" w:rsidTr="00A52C0F">
        <w:tc>
          <w:tcPr>
            <w:tcW w:w="1869" w:type="dxa"/>
            <w:shd w:val="clear" w:color="auto" w:fill="auto"/>
          </w:tcPr>
          <w:p w14:paraId="2D546461" w14:textId="77777777" w:rsidR="004334FF" w:rsidRPr="00617CE7" w:rsidRDefault="004334FF" w:rsidP="00A52C0F">
            <w:pPr>
              <w:jc w:val="center"/>
              <w:rPr>
                <w:lang w:val="uk-UA"/>
              </w:rPr>
            </w:pPr>
            <w:r w:rsidRPr="00617CE7">
              <w:rPr>
                <w:lang w:val="uk-UA"/>
              </w:rPr>
              <w:t>˃ 40</w:t>
            </w:r>
          </w:p>
        </w:tc>
        <w:tc>
          <w:tcPr>
            <w:tcW w:w="2946" w:type="dxa"/>
            <w:shd w:val="clear" w:color="auto" w:fill="auto"/>
          </w:tcPr>
          <w:p w14:paraId="199B991C" w14:textId="77777777" w:rsidR="004334FF" w:rsidRPr="00617CE7" w:rsidRDefault="004334FF" w:rsidP="00A52C0F">
            <w:pPr>
              <w:jc w:val="center"/>
              <w:rPr>
                <w:lang w:val="uk-UA"/>
              </w:rPr>
            </w:pPr>
            <w:r w:rsidRPr="00617CE7">
              <w:rPr>
                <w:lang w:val="uk-UA"/>
              </w:rPr>
              <w:t>-</w:t>
            </w:r>
          </w:p>
        </w:tc>
        <w:tc>
          <w:tcPr>
            <w:tcW w:w="3544" w:type="dxa"/>
            <w:shd w:val="clear" w:color="auto" w:fill="auto"/>
          </w:tcPr>
          <w:p w14:paraId="014D7FAC" w14:textId="77777777" w:rsidR="004334FF" w:rsidRPr="00617CE7" w:rsidRDefault="004334FF" w:rsidP="00A52C0F">
            <w:pPr>
              <w:jc w:val="center"/>
              <w:rPr>
                <w:lang w:val="uk-UA"/>
              </w:rPr>
            </w:pPr>
            <w:r w:rsidRPr="00617CE7">
              <w:rPr>
                <w:lang w:val="uk-UA"/>
              </w:rPr>
              <w:t>Від 3 до 4</w:t>
            </w:r>
          </w:p>
        </w:tc>
      </w:tr>
    </w:tbl>
    <w:p w14:paraId="2B7E1DE3" w14:textId="77777777" w:rsidR="00500EF3" w:rsidRPr="00617CE7" w:rsidRDefault="00500EF3" w:rsidP="00500EF3">
      <w:pPr>
        <w:pStyle w:val="af1"/>
        <w:spacing w:before="0" w:beforeAutospacing="0" w:after="0" w:afterAutospacing="0"/>
        <w:ind w:firstLine="709"/>
        <w:jc w:val="both"/>
        <w:rPr>
          <w:lang w:val="ru-RU"/>
        </w:rPr>
      </w:pPr>
      <w:r w:rsidRPr="00617CE7">
        <w:rPr>
          <w:lang w:val="ru-RU"/>
        </w:rPr>
        <w:t>Терапевтична  разова доза діючих речовин на 1 кг маси тіла тварини становить:</w:t>
      </w:r>
    </w:p>
    <w:p w14:paraId="204D59EE" w14:textId="77777777" w:rsidR="00500EF3" w:rsidRPr="00617CE7" w:rsidRDefault="00500EF3" w:rsidP="00500EF3">
      <w:pPr>
        <w:pStyle w:val="af1"/>
        <w:spacing w:before="0" w:beforeAutospacing="0" w:after="0" w:afterAutospacing="0"/>
        <w:ind w:firstLine="709"/>
        <w:jc w:val="both"/>
        <w:rPr>
          <w:lang w:val="uk-UA"/>
        </w:rPr>
      </w:pPr>
      <w:r w:rsidRPr="00617CE7">
        <w:rPr>
          <w:bCs/>
          <w:lang w:val="ru-RU"/>
        </w:rPr>
        <w:t>нітроксолін:</w:t>
      </w:r>
      <w:r w:rsidRPr="00617CE7">
        <w:rPr>
          <w:lang w:val="ru-RU"/>
        </w:rPr>
        <w:t xml:space="preserve"> 2,5 мг та  </w:t>
      </w:r>
      <w:r w:rsidRPr="00617CE7">
        <w:rPr>
          <w:bCs/>
          <w:lang w:val="ru-RU"/>
        </w:rPr>
        <w:t>дротаверину гідрохлорид:</w:t>
      </w:r>
      <w:r w:rsidRPr="00617CE7">
        <w:rPr>
          <w:lang w:val="ru-RU"/>
        </w:rPr>
        <w:t xml:space="preserve"> 2,0 мг.</w:t>
      </w:r>
    </w:p>
    <w:p w14:paraId="527FD417" w14:textId="77777777" w:rsidR="004334FF" w:rsidRPr="00617CE7" w:rsidRDefault="004334FF" w:rsidP="004334FF">
      <w:pPr>
        <w:ind w:firstLine="709"/>
        <w:jc w:val="both"/>
        <w:rPr>
          <w:lang w:val="uk-UA"/>
        </w:rPr>
      </w:pPr>
      <w:r w:rsidRPr="00617CE7">
        <w:rPr>
          <w:lang w:val="uk-UA"/>
        </w:rPr>
        <w:t>Слід уникати пропуску чергової дози препарату, бо це може призвести до зниження ефективності лікування.</w:t>
      </w:r>
    </w:p>
    <w:p w14:paraId="0CF869A3" w14:textId="555D3200" w:rsidR="004334FF" w:rsidRPr="00617CE7" w:rsidRDefault="004334FF" w:rsidP="004334FF">
      <w:pPr>
        <w:ind w:firstLine="709"/>
        <w:jc w:val="both"/>
        <w:rPr>
          <w:lang w:val="uk-UA"/>
        </w:rPr>
      </w:pPr>
      <w:r w:rsidRPr="00617CE7">
        <w:rPr>
          <w:lang w:val="uk-UA"/>
        </w:rPr>
        <w:t>Тривалість курсу застосування лікарського препарату</w:t>
      </w:r>
      <w:r w:rsidR="00397B9C" w:rsidRPr="00617CE7">
        <w:rPr>
          <w:lang w:val="uk-UA"/>
        </w:rPr>
        <w:t>,</w:t>
      </w:r>
      <w:r w:rsidRPr="00617CE7">
        <w:rPr>
          <w:lang w:val="uk-UA"/>
        </w:rPr>
        <w:t xml:space="preserve"> а також зміни </w:t>
      </w:r>
      <w:r w:rsidR="00E27E0A" w:rsidRPr="00617CE7">
        <w:rPr>
          <w:lang w:val="uk-UA"/>
        </w:rPr>
        <w:t>в</w:t>
      </w:r>
      <w:r w:rsidRPr="00617CE7">
        <w:rPr>
          <w:lang w:val="uk-UA"/>
        </w:rPr>
        <w:t xml:space="preserve"> дозуванні визначає лікар ветеринарної медицини в залежності від  стану тварини, важкості та перебігу захворювання.</w:t>
      </w:r>
    </w:p>
    <w:p w14:paraId="30F943F8" w14:textId="77777777" w:rsidR="004334FF" w:rsidRPr="00617CE7" w:rsidRDefault="004334FF" w:rsidP="004334FF">
      <w:pPr>
        <w:widowControl w:val="0"/>
        <w:ind w:right="454" w:firstLine="709"/>
        <w:jc w:val="both"/>
        <w:rPr>
          <w:b/>
          <w:snapToGrid w:val="0"/>
        </w:rPr>
      </w:pPr>
      <w:r w:rsidRPr="00617CE7">
        <w:rPr>
          <w:b/>
          <w:snapToGrid w:val="0"/>
        </w:rPr>
        <w:t>5.9 Передозування (симптоми, невідкладні заходи, антидоти)</w:t>
      </w:r>
    </w:p>
    <w:p w14:paraId="65B14BF2" w14:textId="77777777" w:rsidR="004334FF" w:rsidRPr="00617CE7" w:rsidRDefault="004957B9" w:rsidP="004334FF">
      <w:pPr>
        <w:ind w:firstLine="709"/>
        <w:jc w:val="both"/>
        <w:rPr>
          <w:lang w:val="uk-UA"/>
        </w:rPr>
      </w:pPr>
      <w:r w:rsidRPr="00617CE7">
        <w:rPr>
          <w:lang w:val="uk-UA"/>
        </w:rPr>
        <w:t>За</w:t>
      </w:r>
      <w:r w:rsidR="004334FF" w:rsidRPr="00617CE7">
        <w:rPr>
          <w:lang w:val="uk-UA"/>
        </w:rPr>
        <w:t xml:space="preserve"> передозуванн</w:t>
      </w:r>
      <w:r w:rsidRPr="00617CE7">
        <w:rPr>
          <w:lang w:val="uk-UA"/>
        </w:rPr>
        <w:t>я препарату або підвищеної</w:t>
      </w:r>
      <w:r w:rsidR="004334FF" w:rsidRPr="00617CE7">
        <w:rPr>
          <w:lang w:val="uk-UA"/>
        </w:rPr>
        <w:t xml:space="preserve"> індивідуальн</w:t>
      </w:r>
      <w:r w:rsidRPr="00617CE7">
        <w:rPr>
          <w:lang w:val="uk-UA"/>
        </w:rPr>
        <w:t>ої</w:t>
      </w:r>
      <w:r w:rsidR="004334FF" w:rsidRPr="00617CE7">
        <w:rPr>
          <w:lang w:val="uk-UA"/>
        </w:rPr>
        <w:t xml:space="preserve"> чутливості тварин до препарату під час лікування може спостерігатися надмірне слиновиділення, розлад роботи травного тракту, пригнічений стан, тремор  тощо. </w:t>
      </w:r>
      <w:r w:rsidRPr="00617CE7">
        <w:rPr>
          <w:lang w:val="uk-UA"/>
        </w:rPr>
        <w:t>За</w:t>
      </w:r>
      <w:r w:rsidR="004334FF" w:rsidRPr="00617CE7">
        <w:rPr>
          <w:lang w:val="uk-UA"/>
        </w:rPr>
        <w:t xml:space="preserve"> появ</w:t>
      </w:r>
      <w:r w:rsidRPr="00617CE7">
        <w:rPr>
          <w:lang w:val="uk-UA"/>
        </w:rPr>
        <w:t>и</w:t>
      </w:r>
      <w:r w:rsidR="004334FF" w:rsidRPr="00617CE7">
        <w:rPr>
          <w:lang w:val="uk-UA"/>
        </w:rPr>
        <w:t xml:space="preserve"> подібних симптомів потрібно негайно звернутися до лікаря ветеринарної медицини для можливого коригування дози та рекомендацій щодо подальшого лікування, при собі мати листівку-вкладку до препарату.</w:t>
      </w:r>
    </w:p>
    <w:p w14:paraId="5DBB6E5C" w14:textId="77777777" w:rsidR="004334FF" w:rsidRPr="00617CE7" w:rsidRDefault="004334FF" w:rsidP="004334FF">
      <w:pPr>
        <w:pStyle w:val="cs80d9435b"/>
        <w:ind w:firstLine="709"/>
        <w:rPr>
          <w:shd w:val="clear" w:color="auto" w:fill="FFFFFF"/>
        </w:rPr>
      </w:pPr>
      <w:r w:rsidRPr="00617CE7">
        <w:rPr>
          <w:shd w:val="clear" w:color="auto" w:fill="FFFFFF"/>
        </w:rPr>
        <w:t>Слід дотримуватися рекомендованих доз.</w:t>
      </w:r>
    </w:p>
    <w:p w14:paraId="7A85AB64" w14:textId="77777777" w:rsidR="004334FF" w:rsidRPr="00617CE7" w:rsidRDefault="004334FF" w:rsidP="004334FF">
      <w:pPr>
        <w:widowControl w:val="0"/>
        <w:ind w:right="454" w:firstLine="709"/>
        <w:jc w:val="both"/>
        <w:rPr>
          <w:b/>
          <w:snapToGrid w:val="0"/>
        </w:rPr>
      </w:pPr>
      <w:r w:rsidRPr="00617CE7">
        <w:rPr>
          <w:b/>
          <w:snapToGrid w:val="0"/>
        </w:rPr>
        <w:t>5.10 Спеціальні застереження</w:t>
      </w:r>
    </w:p>
    <w:p w14:paraId="750D11B6" w14:textId="77777777" w:rsidR="004334FF" w:rsidRPr="00617CE7" w:rsidRDefault="004334FF" w:rsidP="004334FF">
      <w:pPr>
        <w:ind w:firstLine="709"/>
        <w:jc w:val="both"/>
        <w:rPr>
          <w:lang w:val="uk-UA"/>
        </w:rPr>
      </w:pPr>
      <w:r w:rsidRPr="00617CE7">
        <w:rPr>
          <w:lang w:val="uk-UA"/>
        </w:rPr>
        <w:t xml:space="preserve">Препарат застосовувати згідно з листівкою-вкладкою. </w:t>
      </w:r>
    </w:p>
    <w:p w14:paraId="116D7306" w14:textId="77777777" w:rsidR="004334FF" w:rsidRPr="00617CE7" w:rsidRDefault="004334FF" w:rsidP="004334FF">
      <w:pPr>
        <w:shd w:val="clear" w:color="auto" w:fill="FFFFFF"/>
        <w:ind w:firstLine="709"/>
        <w:jc w:val="both"/>
        <w:rPr>
          <w:spacing w:val="-1"/>
          <w:lang w:val="uk-UA"/>
        </w:rPr>
      </w:pPr>
      <w:r w:rsidRPr="00617CE7">
        <w:rPr>
          <w:spacing w:val="-1"/>
          <w:lang w:val="uk-UA"/>
        </w:rPr>
        <w:t>Слід дотримуватися рекомендованих доз.</w:t>
      </w:r>
    </w:p>
    <w:p w14:paraId="2EE2630E" w14:textId="77777777" w:rsidR="004334FF" w:rsidRPr="00617CE7" w:rsidRDefault="004334FF" w:rsidP="004334FF">
      <w:pPr>
        <w:widowControl w:val="0"/>
        <w:ind w:firstLine="709"/>
        <w:jc w:val="both"/>
        <w:rPr>
          <w:rStyle w:val="cs7fb5c6073"/>
          <w:lang w:val="uk-UA"/>
        </w:rPr>
      </w:pPr>
      <w:r w:rsidRPr="00617CE7">
        <w:rPr>
          <w:rStyle w:val="cs5efed22f10"/>
          <w:snapToGrid w:val="0"/>
          <w:lang w:val="uk-UA"/>
        </w:rPr>
        <w:t xml:space="preserve">Клінічних ознак передозування </w:t>
      </w:r>
      <w:r w:rsidR="004957B9" w:rsidRPr="00617CE7">
        <w:rPr>
          <w:rStyle w:val="cs5efed22f10"/>
          <w:snapToGrid w:val="0"/>
          <w:lang w:val="uk-UA"/>
        </w:rPr>
        <w:t>за</w:t>
      </w:r>
      <w:r w:rsidRPr="00617CE7">
        <w:rPr>
          <w:rStyle w:val="cs5efed22f10"/>
          <w:snapToGrid w:val="0"/>
          <w:lang w:val="uk-UA"/>
        </w:rPr>
        <w:t xml:space="preserve"> застосуванн</w:t>
      </w:r>
      <w:r w:rsidR="004957B9" w:rsidRPr="00617CE7">
        <w:rPr>
          <w:rStyle w:val="cs5efed22f10"/>
          <w:snapToGrid w:val="0"/>
          <w:lang w:val="uk-UA"/>
        </w:rPr>
        <w:t>я</w:t>
      </w:r>
      <w:r w:rsidRPr="00617CE7">
        <w:rPr>
          <w:rStyle w:val="cs5efed22f10"/>
          <w:snapToGrid w:val="0"/>
          <w:lang w:val="uk-UA"/>
        </w:rPr>
        <w:t xml:space="preserve"> препарату </w:t>
      </w:r>
      <w:r w:rsidR="00E27E0A" w:rsidRPr="00617CE7">
        <w:rPr>
          <w:rStyle w:val="cs5efed22f10"/>
          <w:snapToGrid w:val="0"/>
          <w:lang w:val="uk-UA"/>
        </w:rPr>
        <w:t>в</w:t>
      </w:r>
      <w:r w:rsidRPr="00617CE7">
        <w:rPr>
          <w:rStyle w:val="cs5efed22f10"/>
          <w:snapToGrid w:val="0"/>
          <w:lang w:val="uk-UA"/>
        </w:rPr>
        <w:t xml:space="preserve"> рекомендованих дозах не спостерігається.</w:t>
      </w:r>
    </w:p>
    <w:p w14:paraId="3DFEDA91" w14:textId="77777777" w:rsidR="004334FF" w:rsidRPr="00617CE7" w:rsidRDefault="004334FF" w:rsidP="004334FF">
      <w:pPr>
        <w:widowControl w:val="0"/>
        <w:ind w:right="454" w:firstLine="709"/>
        <w:jc w:val="both"/>
        <w:rPr>
          <w:b/>
          <w:snapToGrid w:val="0"/>
        </w:rPr>
      </w:pPr>
      <w:r w:rsidRPr="00617CE7">
        <w:rPr>
          <w:b/>
          <w:snapToGrid w:val="0"/>
        </w:rPr>
        <w:t>5.11 Період виведення (каренція)</w:t>
      </w:r>
    </w:p>
    <w:p w14:paraId="7513B547" w14:textId="7AEA4C57" w:rsidR="00500EF3" w:rsidRPr="00617CE7" w:rsidRDefault="00500EF3" w:rsidP="004334FF">
      <w:pPr>
        <w:ind w:right="454" w:firstLine="709"/>
        <w:jc w:val="both"/>
        <w:rPr>
          <w:b/>
          <w:lang w:val="uk-UA"/>
        </w:rPr>
      </w:pPr>
      <w:r w:rsidRPr="00617CE7">
        <w:rPr>
          <w:lang w:val="uk-UA"/>
        </w:rPr>
        <w:t>Для непродуктивних тварин не визначають</w:t>
      </w:r>
      <w:r w:rsidR="00397B9C" w:rsidRPr="00617CE7">
        <w:rPr>
          <w:b/>
          <w:lang w:val="uk-UA"/>
        </w:rPr>
        <w:t>.</w:t>
      </w:r>
    </w:p>
    <w:p w14:paraId="101E6560" w14:textId="77777777" w:rsidR="004334FF" w:rsidRPr="00617CE7" w:rsidRDefault="004334FF" w:rsidP="004334FF">
      <w:pPr>
        <w:ind w:right="454" w:firstLine="709"/>
        <w:jc w:val="both"/>
        <w:rPr>
          <w:b/>
        </w:rPr>
      </w:pPr>
      <w:r w:rsidRPr="00617CE7">
        <w:rPr>
          <w:b/>
        </w:rPr>
        <w:lastRenderedPageBreak/>
        <w:t>5.12 Спеціальні застереження для осіб і обслуговуючого персоналу</w:t>
      </w:r>
    </w:p>
    <w:p w14:paraId="7923BBA9" w14:textId="77777777" w:rsidR="004334FF" w:rsidRPr="00617CE7" w:rsidRDefault="004334FF" w:rsidP="004334FF">
      <w:pPr>
        <w:pStyle w:val="cs80d9435b"/>
        <w:ind w:firstLine="709"/>
      </w:pPr>
      <w:r w:rsidRPr="00617CE7">
        <w:rPr>
          <w:rStyle w:val="cs5efed22f6"/>
        </w:rPr>
        <w:t xml:space="preserve">Під час роботи з препаратом необхідно дотримуватись загальних правил особистої гігієни та правил роботи з ветеринарними препаратами. Людям з гіперчутливістю до компонентів препарату </w:t>
      </w:r>
      <w:r w:rsidRPr="00617CE7">
        <w:rPr>
          <w:bCs/>
        </w:rPr>
        <w:t>АНТИ ЦИСТИТ</w:t>
      </w:r>
      <w:r w:rsidRPr="00617CE7">
        <w:rPr>
          <w:b/>
          <w:bCs/>
        </w:rPr>
        <w:t xml:space="preserve"> </w:t>
      </w:r>
      <w:r w:rsidRPr="00617CE7">
        <w:rPr>
          <w:rStyle w:val="cs5efed22f6"/>
        </w:rPr>
        <w:t xml:space="preserve">слід уникати прямого контакту з таблетками. В разі появи алергічних реакцій та/або при випадковому потраплянні препарату </w:t>
      </w:r>
      <w:r w:rsidRPr="00617CE7">
        <w:rPr>
          <w:bCs/>
        </w:rPr>
        <w:t>АНТИ ЦИСТИТ</w:t>
      </w:r>
      <w:r w:rsidRPr="00617CE7">
        <w:rPr>
          <w:b/>
          <w:bCs/>
        </w:rPr>
        <w:t xml:space="preserve"> </w:t>
      </w:r>
      <w:r w:rsidRPr="00617CE7">
        <w:rPr>
          <w:rStyle w:val="cs5efed22f6"/>
        </w:rPr>
        <w:t>в організм людини необхідно звернутися до медичного закладу, маючи при собі інструкцію щодо застосування препарату або етикетку.</w:t>
      </w:r>
    </w:p>
    <w:p w14:paraId="6AE32D8A" w14:textId="77777777" w:rsidR="004334FF" w:rsidRPr="00617CE7" w:rsidRDefault="004334FF" w:rsidP="004334FF">
      <w:pPr>
        <w:widowControl w:val="0"/>
        <w:ind w:right="454" w:firstLine="709"/>
        <w:jc w:val="both"/>
        <w:rPr>
          <w:b/>
          <w:snapToGrid w:val="0"/>
        </w:rPr>
      </w:pPr>
      <w:r w:rsidRPr="00617CE7">
        <w:rPr>
          <w:b/>
          <w:snapToGrid w:val="0"/>
        </w:rPr>
        <w:t>6. Фармацевтичні особливості</w:t>
      </w:r>
    </w:p>
    <w:p w14:paraId="2856FDBF" w14:textId="77777777" w:rsidR="004334FF" w:rsidRPr="00617CE7" w:rsidRDefault="004334FF" w:rsidP="004334FF">
      <w:pPr>
        <w:pStyle w:val="31"/>
        <w:spacing w:after="0"/>
        <w:ind w:left="0" w:right="454" w:firstLine="709"/>
        <w:rPr>
          <w:b/>
          <w:sz w:val="24"/>
          <w:szCs w:val="24"/>
        </w:rPr>
      </w:pPr>
      <w:r w:rsidRPr="00617CE7">
        <w:rPr>
          <w:b/>
          <w:sz w:val="24"/>
          <w:szCs w:val="24"/>
        </w:rPr>
        <w:t>6.1 Форми несумісності (основні)</w:t>
      </w:r>
    </w:p>
    <w:p w14:paraId="2C51508B" w14:textId="1D88180E" w:rsidR="004334FF" w:rsidRPr="00617CE7" w:rsidRDefault="004334FF" w:rsidP="004334FF">
      <w:pPr>
        <w:ind w:firstLine="709"/>
        <w:jc w:val="both"/>
        <w:rPr>
          <w:bCs/>
          <w:lang w:val="uk-UA"/>
        </w:rPr>
      </w:pPr>
      <w:r w:rsidRPr="00617CE7">
        <w:rPr>
          <w:bCs/>
        </w:rPr>
        <w:t xml:space="preserve">Не застосовувати одночасно з </w:t>
      </w:r>
      <w:r w:rsidRPr="00617CE7">
        <w:rPr>
          <w:bCs/>
          <w:lang w:val="uk-UA"/>
        </w:rPr>
        <w:t>препаратами, що містять нітрофурани</w:t>
      </w:r>
      <w:r w:rsidR="006E12E3" w:rsidRPr="00617CE7">
        <w:rPr>
          <w:bCs/>
          <w:lang w:val="uk-UA"/>
        </w:rPr>
        <w:t xml:space="preserve"> </w:t>
      </w:r>
      <w:r w:rsidR="006E12E3" w:rsidRPr="00617CE7">
        <w:t>через ризик підсумовування нейротоксичного та нефротоксичного ефектів.</w:t>
      </w:r>
    </w:p>
    <w:p w14:paraId="468BBB43" w14:textId="77777777" w:rsidR="004334FF" w:rsidRPr="00617CE7" w:rsidRDefault="004334FF" w:rsidP="004334FF">
      <w:pPr>
        <w:ind w:firstLine="709"/>
        <w:jc w:val="both"/>
      </w:pPr>
      <w:r w:rsidRPr="00617CE7">
        <w:rPr>
          <w:bCs/>
        </w:rPr>
        <w:t>Не застосовувати одночасно</w:t>
      </w:r>
      <w:r w:rsidRPr="00617CE7">
        <w:rPr>
          <w:bCs/>
          <w:lang w:val="uk-UA"/>
        </w:rPr>
        <w:t xml:space="preserve"> з сорбентами, </w:t>
      </w:r>
      <w:r w:rsidR="00AB5D93" w:rsidRPr="00617CE7">
        <w:rPr>
          <w:bCs/>
          <w:lang w:val="uk-UA"/>
        </w:rPr>
        <w:t>тому що</w:t>
      </w:r>
      <w:r w:rsidRPr="00617CE7">
        <w:rPr>
          <w:bCs/>
          <w:lang w:val="uk-UA"/>
        </w:rPr>
        <w:t xml:space="preserve"> вони блокують дію препарату.</w:t>
      </w:r>
      <w:r w:rsidRPr="00617CE7">
        <w:t xml:space="preserve"> Різниця між прийомами має бути </w:t>
      </w:r>
      <w:r w:rsidRPr="00617CE7">
        <w:rPr>
          <w:bCs/>
        </w:rPr>
        <w:t>не менше 2 годин</w:t>
      </w:r>
      <w:r w:rsidRPr="00617CE7">
        <w:t>.</w:t>
      </w:r>
    </w:p>
    <w:p w14:paraId="799BE037" w14:textId="64A62805" w:rsidR="004334FF" w:rsidRPr="00617CE7" w:rsidRDefault="004334FF" w:rsidP="004334FF">
      <w:pPr>
        <w:ind w:firstLine="709"/>
        <w:jc w:val="both"/>
      </w:pPr>
      <w:r w:rsidRPr="00617CE7">
        <w:rPr>
          <w:bCs/>
        </w:rPr>
        <w:t>Не застосовувати одночасно</w:t>
      </w:r>
      <w:r w:rsidRPr="00617CE7">
        <w:rPr>
          <w:bCs/>
          <w:lang w:val="uk-UA"/>
        </w:rPr>
        <w:t xml:space="preserve"> з препаратами, що містять </w:t>
      </w:r>
      <w:r w:rsidRPr="00617CE7">
        <w:t>двовалентн</w:t>
      </w:r>
      <w:r w:rsidR="006E12E3" w:rsidRPr="00617CE7">
        <w:rPr>
          <w:lang w:val="uk-UA"/>
        </w:rPr>
        <w:t>і</w:t>
      </w:r>
      <w:r w:rsidRPr="00617CE7">
        <w:t xml:space="preserve"> метал</w:t>
      </w:r>
      <w:r w:rsidRPr="00617CE7">
        <w:rPr>
          <w:lang w:val="uk-UA"/>
        </w:rPr>
        <w:t>и: з</w:t>
      </w:r>
      <w:r w:rsidRPr="00617CE7">
        <w:t>алізо, кальцій та магній, які зв'язують нітроксолін.</w:t>
      </w:r>
      <w:r w:rsidRPr="00617CE7">
        <w:rPr>
          <w:bCs/>
          <w:lang w:val="uk-UA"/>
        </w:rPr>
        <w:t xml:space="preserve"> </w:t>
      </w:r>
      <w:r w:rsidRPr="00617CE7">
        <w:t xml:space="preserve">Різниця між прийомами має бути </w:t>
      </w:r>
      <w:r w:rsidRPr="00617CE7">
        <w:rPr>
          <w:bCs/>
        </w:rPr>
        <w:t>не менше 2 годин</w:t>
      </w:r>
      <w:r w:rsidRPr="00617CE7">
        <w:t>.</w:t>
      </w:r>
    </w:p>
    <w:p w14:paraId="6BF586E1" w14:textId="77777777" w:rsidR="004334FF" w:rsidRPr="00617CE7" w:rsidRDefault="004334FF" w:rsidP="004334FF">
      <w:pPr>
        <w:ind w:firstLine="709"/>
        <w:jc w:val="both"/>
        <w:rPr>
          <w:b/>
          <w:snapToGrid w:val="0"/>
        </w:rPr>
      </w:pPr>
      <w:r w:rsidRPr="00617CE7">
        <w:rPr>
          <w:b/>
          <w:snapToGrid w:val="0"/>
        </w:rPr>
        <w:t>6.2 Термін придатності</w:t>
      </w:r>
    </w:p>
    <w:p w14:paraId="45444AF7" w14:textId="77777777" w:rsidR="004334FF" w:rsidRPr="00617CE7" w:rsidRDefault="004334FF" w:rsidP="004334FF">
      <w:pPr>
        <w:widowControl w:val="0"/>
        <w:ind w:right="454" w:firstLine="709"/>
        <w:jc w:val="both"/>
        <w:rPr>
          <w:snapToGrid w:val="0"/>
        </w:rPr>
      </w:pPr>
      <w:r w:rsidRPr="00617CE7">
        <w:rPr>
          <w:rStyle w:val="cs5efed22f13"/>
          <w:snapToGrid w:val="0"/>
          <w:lang w:val="uk-UA"/>
        </w:rPr>
        <w:t>3</w:t>
      </w:r>
      <w:r w:rsidRPr="00617CE7">
        <w:rPr>
          <w:rStyle w:val="cs5efed22f13"/>
          <w:snapToGrid w:val="0"/>
        </w:rPr>
        <w:t xml:space="preserve"> роки.</w:t>
      </w:r>
    </w:p>
    <w:p w14:paraId="67FCCEDA" w14:textId="77777777" w:rsidR="004334FF" w:rsidRPr="00617CE7" w:rsidRDefault="004334FF" w:rsidP="004334FF">
      <w:pPr>
        <w:widowControl w:val="0"/>
        <w:ind w:right="454" w:firstLine="709"/>
        <w:jc w:val="both"/>
        <w:rPr>
          <w:b/>
          <w:snapToGrid w:val="0"/>
        </w:rPr>
      </w:pPr>
      <w:r w:rsidRPr="00617CE7">
        <w:rPr>
          <w:b/>
          <w:snapToGrid w:val="0"/>
        </w:rPr>
        <w:t>6.3 Особливі заходи зберігання</w:t>
      </w:r>
    </w:p>
    <w:p w14:paraId="68987B54" w14:textId="77777777" w:rsidR="004334FF" w:rsidRPr="00617CE7" w:rsidRDefault="004334FF" w:rsidP="004334FF">
      <w:pPr>
        <w:ind w:firstLine="709"/>
        <w:jc w:val="both"/>
        <w:rPr>
          <w:lang w:val="uk-UA"/>
        </w:rPr>
      </w:pPr>
      <w:r w:rsidRPr="00617CE7">
        <w:rPr>
          <w:lang w:val="uk-UA"/>
        </w:rPr>
        <w:t>Зберігають препарат у закритій упаковці виробника, окремо від продуктів харчування та кормів, у сухому, захищеному від прямих сонячних променів місці, за температури від 5 до 25 °С, у недоступному для дітей місці.</w:t>
      </w:r>
    </w:p>
    <w:p w14:paraId="3CC02234" w14:textId="77777777" w:rsidR="004334FF" w:rsidRPr="00617CE7" w:rsidRDefault="004334FF" w:rsidP="004334FF">
      <w:pPr>
        <w:widowControl w:val="0"/>
        <w:ind w:right="-36" w:firstLine="709"/>
        <w:jc w:val="both"/>
        <w:rPr>
          <w:b/>
          <w:snapToGrid w:val="0"/>
        </w:rPr>
      </w:pPr>
      <w:r w:rsidRPr="00617CE7">
        <w:rPr>
          <w:b/>
          <w:snapToGrid w:val="0"/>
        </w:rPr>
        <w:t>6.4 Природа і склад контейнера первинного пакування</w:t>
      </w:r>
    </w:p>
    <w:p w14:paraId="31ECF2D1" w14:textId="77777777" w:rsidR="004334FF" w:rsidRPr="00617CE7" w:rsidRDefault="004334FF" w:rsidP="004334FF">
      <w:pPr>
        <w:shd w:val="clear" w:color="auto" w:fill="FFFFFF"/>
        <w:ind w:firstLine="709"/>
        <w:jc w:val="both"/>
        <w:rPr>
          <w:lang w:val="uk-UA"/>
        </w:rPr>
      </w:pPr>
      <w:r w:rsidRPr="00617CE7">
        <w:rPr>
          <w:lang w:val="uk-UA"/>
        </w:rPr>
        <w:t>Таблетки, вагою по 120 та 240 мг у блістерах по 10 штук, блістери по 1, 2, 3 або 5 штук  в упаковці.  Банки полімерні  по 20, 30 або  50 таблеток. Вторинна упаковка- картонна коробка.</w:t>
      </w:r>
    </w:p>
    <w:p w14:paraId="6A2C122A" w14:textId="77777777" w:rsidR="004334FF" w:rsidRPr="00617CE7" w:rsidRDefault="004334FF" w:rsidP="004334FF">
      <w:pPr>
        <w:shd w:val="clear" w:color="auto" w:fill="FFFFFF"/>
        <w:ind w:firstLine="709"/>
        <w:jc w:val="both"/>
        <w:rPr>
          <w:b/>
        </w:rPr>
      </w:pPr>
      <w:r w:rsidRPr="00617CE7">
        <w:rPr>
          <w:b/>
        </w:rPr>
        <w:t>6.5 Особливі заходи безпеки при поводженні з невикористаним препаратом або із його залишками</w:t>
      </w:r>
    </w:p>
    <w:p w14:paraId="37C1D815" w14:textId="77777777" w:rsidR="004334FF" w:rsidRPr="00617CE7" w:rsidRDefault="004334FF" w:rsidP="00E27E0A">
      <w:pPr>
        <w:pStyle w:val="31"/>
        <w:spacing w:after="0"/>
        <w:ind w:left="0" w:right="-36" w:firstLine="709"/>
        <w:jc w:val="both"/>
        <w:rPr>
          <w:sz w:val="24"/>
          <w:szCs w:val="24"/>
        </w:rPr>
      </w:pPr>
      <w:r w:rsidRPr="00617CE7">
        <w:rPr>
          <w:rStyle w:val="cs5efed22f16"/>
        </w:rPr>
        <w:t>Невикористаний або протермінований препарат утилізують відповідно до вимог чинного законодавства.</w:t>
      </w:r>
    </w:p>
    <w:p w14:paraId="228B7D04" w14:textId="77777777" w:rsidR="004334FF" w:rsidRPr="00617CE7" w:rsidRDefault="004334FF" w:rsidP="004334FF">
      <w:pPr>
        <w:pStyle w:val="31"/>
        <w:spacing w:after="0"/>
        <w:ind w:left="0" w:right="454" w:firstLine="709"/>
        <w:rPr>
          <w:sz w:val="24"/>
          <w:szCs w:val="24"/>
        </w:rPr>
      </w:pPr>
      <w:r w:rsidRPr="00617CE7">
        <w:rPr>
          <w:b/>
          <w:sz w:val="24"/>
          <w:szCs w:val="24"/>
        </w:rPr>
        <w:t>7. Назва і місце знаходження власника реєстраційного посвідчення</w:t>
      </w:r>
    </w:p>
    <w:p w14:paraId="5C47BEB2" w14:textId="77777777" w:rsidR="004334FF" w:rsidRPr="00617CE7" w:rsidRDefault="004334FF" w:rsidP="004334FF">
      <w:pPr>
        <w:ind w:firstLine="709"/>
      </w:pPr>
      <w:r w:rsidRPr="00617CE7">
        <w:t xml:space="preserve">Товариство з обмеженою відповідальністю “Ветсинтез” </w:t>
      </w:r>
    </w:p>
    <w:p w14:paraId="476B8E00" w14:textId="77777777" w:rsidR="004334FF" w:rsidRPr="00617CE7" w:rsidRDefault="004334FF" w:rsidP="004334FF">
      <w:pPr>
        <w:ind w:firstLine="709"/>
      </w:pPr>
      <w:r w:rsidRPr="00617CE7">
        <w:t xml:space="preserve">61001, м. Харків, вул. </w:t>
      </w:r>
      <w:r w:rsidRPr="00617CE7">
        <w:rPr>
          <w:lang w:val="uk-UA"/>
        </w:rPr>
        <w:t>Бобанича Тараса</w:t>
      </w:r>
      <w:r w:rsidRPr="00617CE7">
        <w:t>, 30, Україна</w:t>
      </w:r>
    </w:p>
    <w:p w14:paraId="04337FF4" w14:textId="77777777" w:rsidR="004334FF" w:rsidRPr="00617CE7" w:rsidRDefault="004334FF" w:rsidP="004334FF">
      <w:pPr>
        <w:ind w:firstLine="709"/>
        <w:jc w:val="both"/>
        <w:rPr>
          <w:b/>
          <w:bCs/>
        </w:rPr>
      </w:pPr>
      <w:r w:rsidRPr="00617CE7">
        <w:rPr>
          <w:b/>
          <w:bCs/>
        </w:rPr>
        <w:t>8. Назва та місцезнаходження виробника (виробників)</w:t>
      </w:r>
    </w:p>
    <w:p w14:paraId="46C060F9" w14:textId="77777777" w:rsidR="004334FF" w:rsidRPr="00617CE7" w:rsidRDefault="004334FF" w:rsidP="004334FF">
      <w:pPr>
        <w:ind w:firstLine="709"/>
      </w:pPr>
      <w:r w:rsidRPr="00617CE7">
        <w:t xml:space="preserve">Товариство з обмеженою відповідальністю “Ветсинтез” </w:t>
      </w:r>
    </w:p>
    <w:p w14:paraId="5D55062C" w14:textId="77777777" w:rsidR="004334FF" w:rsidRPr="00617CE7" w:rsidRDefault="004334FF" w:rsidP="004334FF">
      <w:pPr>
        <w:ind w:firstLine="709"/>
      </w:pPr>
      <w:r w:rsidRPr="00617CE7">
        <w:t xml:space="preserve">61001, м. Харків, вул. </w:t>
      </w:r>
      <w:r w:rsidRPr="00617CE7">
        <w:rPr>
          <w:lang w:val="uk-UA"/>
        </w:rPr>
        <w:t>Бобанича Тараса</w:t>
      </w:r>
      <w:r w:rsidRPr="00617CE7">
        <w:t>, 30, Україна</w:t>
      </w:r>
    </w:p>
    <w:p w14:paraId="21DABE65" w14:textId="77777777" w:rsidR="004334FF" w:rsidRPr="000F6A7E" w:rsidRDefault="004334FF" w:rsidP="004334FF">
      <w:pPr>
        <w:ind w:right="454" w:firstLine="709"/>
        <w:jc w:val="both"/>
        <w:rPr>
          <w:b/>
        </w:rPr>
      </w:pPr>
      <w:r w:rsidRPr="00617CE7">
        <w:rPr>
          <w:b/>
        </w:rPr>
        <w:t>9. Додаткова інформація</w:t>
      </w:r>
    </w:p>
    <w:p w14:paraId="5FC6FE8F" w14:textId="77777777" w:rsidR="00DB10F8" w:rsidRDefault="00DB10F8"/>
    <w:sectPr w:rsidR="00DB10F8" w:rsidSect="004334FF">
      <w:headerReference w:type="default" r:id="rId7"/>
      <w:footerReference w:type="default" r:id="rId8"/>
      <w:headerReference w:type="firs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DBC9" w14:textId="77777777" w:rsidR="00CB0162" w:rsidRDefault="00CB0162" w:rsidP="004334FF">
      <w:r>
        <w:separator/>
      </w:r>
    </w:p>
  </w:endnote>
  <w:endnote w:type="continuationSeparator" w:id="0">
    <w:p w14:paraId="0267EEA2" w14:textId="77777777" w:rsidR="00CB0162" w:rsidRDefault="00CB0162" w:rsidP="0043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358771"/>
      <w:docPartObj>
        <w:docPartGallery w:val="Page Numbers (Bottom of Page)"/>
        <w:docPartUnique/>
      </w:docPartObj>
    </w:sdtPr>
    <w:sdtEndPr/>
    <w:sdtContent>
      <w:p w14:paraId="352F0117" w14:textId="4BE9B6CC" w:rsidR="007E0F10" w:rsidRDefault="00892B77">
        <w:pPr>
          <w:pStyle w:val="a8"/>
          <w:jc w:val="center"/>
        </w:pPr>
        <w:r>
          <w:fldChar w:fldCharType="begin"/>
        </w:r>
        <w:r w:rsidR="007E0F10">
          <w:instrText>PAGE   \* MERGEFORMAT</w:instrText>
        </w:r>
        <w:r>
          <w:fldChar w:fldCharType="separate"/>
        </w:r>
        <w:r w:rsidR="00617CE7">
          <w:rPr>
            <w:noProof/>
          </w:rPr>
          <w:t>4</w:t>
        </w:r>
        <w:r>
          <w:fldChar w:fldCharType="end"/>
        </w:r>
      </w:p>
    </w:sdtContent>
  </w:sdt>
  <w:p w14:paraId="67499F01" w14:textId="77777777" w:rsidR="007E0F10" w:rsidRDefault="007E0F1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356753"/>
      <w:docPartObj>
        <w:docPartGallery w:val="Page Numbers (Bottom of Page)"/>
        <w:docPartUnique/>
      </w:docPartObj>
    </w:sdtPr>
    <w:sdtEndPr/>
    <w:sdtContent>
      <w:p w14:paraId="7773F8FE" w14:textId="56E57AA4" w:rsidR="007E0F10" w:rsidRDefault="00892B77">
        <w:pPr>
          <w:pStyle w:val="a8"/>
          <w:jc w:val="center"/>
        </w:pPr>
        <w:r>
          <w:fldChar w:fldCharType="begin"/>
        </w:r>
        <w:r w:rsidR="007E0F10">
          <w:instrText>PAGE   \* MERGEFORMAT</w:instrText>
        </w:r>
        <w:r>
          <w:fldChar w:fldCharType="separate"/>
        </w:r>
        <w:r w:rsidR="00617CE7">
          <w:rPr>
            <w:noProof/>
          </w:rPr>
          <w:t>1</w:t>
        </w:r>
        <w:r>
          <w:fldChar w:fldCharType="end"/>
        </w:r>
      </w:p>
    </w:sdtContent>
  </w:sdt>
  <w:p w14:paraId="3724173E" w14:textId="77777777" w:rsidR="007E0F10" w:rsidRDefault="007E0F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4ED50" w14:textId="77777777" w:rsidR="00CB0162" w:rsidRDefault="00CB0162" w:rsidP="004334FF">
      <w:r>
        <w:separator/>
      </w:r>
    </w:p>
  </w:footnote>
  <w:footnote w:type="continuationSeparator" w:id="0">
    <w:p w14:paraId="2562B196" w14:textId="77777777" w:rsidR="00CB0162" w:rsidRDefault="00CB0162" w:rsidP="0043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0CF2" w14:textId="77777777" w:rsidR="004957B9" w:rsidRDefault="004957B9" w:rsidP="004334FF">
    <w:pPr>
      <w:pStyle w:val="a6"/>
      <w:jc w:val="right"/>
      <w:rPr>
        <w:lang w:val="uk-UA"/>
      </w:rPr>
    </w:pPr>
    <w:r>
      <w:rPr>
        <w:lang w:val="uk-UA"/>
      </w:rPr>
      <w:t>Продовження додатку 1</w:t>
    </w:r>
  </w:p>
  <w:p w14:paraId="71909626" w14:textId="77777777" w:rsidR="004957B9" w:rsidRDefault="004957B9" w:rsidP="004334FF">
    <w:pPr>
      <w:pStyle w:val="a6"/>
      <w:jc w:val="right"/>
    </w:pPr>
    <w:r>
      <w:rPr>
        <w:lang w:val="uk-UA"/>
      </w:rPr>
      <w:t>до реєстраційного посвідчення</w:t>
    </w:r>
  </w:p>
  <w:p w14:paraId="52DD21C5" w14:textId="77777777" w:rsidR="004957B9" w:rsidRDefault="004957B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0E00" w14:textId="77777777" w:rsidR="004957B9" w:rsidRDefault="004957B9" w:rsidP="004334FF">
    <w:pPr>
      <w:pStyle w:val="a6"/>
      <w:jc w:val="right"/>
      <w:rPr>
        <w:lang w:val="uk-UA"/>
      </w:rPr>
    </w:pPr>
    <w:r>
      <w:rPr>
        <w:lang w:val="uk-UA"/>
      </w:rPr>
      <w:t>Додаток 1</w:t>
    </w:r>
  </w:p>
  <w:p w14:paraId="7277FDFF" w14:textId="77777777" w:rsidR="004957B9" w:rsidRDefault="004957B9" w:rsidP="004334FF">
    <w:pPr>
      <w:pStyle w:val="a6"/>
      <w:jc w:val="right"/>
    </w:pPr>
    <w:r>
      <w:rPr>
        <w:lang w:val="uk-UA"/>
      </w:rPr>
      <w:t>до реєстраційного посвідчення</w:t>
    </w:r>
  </w:p>
  <w:p w14:paraId="00582457" w14:textId="77777777" w:rsidR="004957B9" w:rsidRDefault="004957B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3B4E"/>
    <w:rsid w:val="000848E1"/>
    <w:rsid w:val="000E0A3F"/>
    <w:rsid w:val="00102A12"/>
    <w:rsid w:val="00171125"/>
    <w:rsid w:val="00184D48"/>
    <w:rsid w:val="001C03C7"/>
    <w:rsid w:val="001D2E80"/>
    <w:rsid w:val="002C46AD"/>
    <w:rsid w:val="0031619E"/>
    <w:rsid w:val="00335671"/>
    <w:rsid w:val="00397B9C"/>
    <w:rsid w:val="003C6EE0"/>
    <w:rsid w:val="003E6EC0"/>
    <w:rsid w:val="00426035"/>
    <w:rsid w:val="004334FF"/>
    <w:rsid w:val="004843B2"/>
    <w:rsid w:val="004957B9"/>
    <w:rsid w:val="004E528D"/>
    <w:rsid w:val="00500EF3"/>
    <w:rsid w:val="005805AF"/>
    <w:rsid w:val="00586083"/>
    <w:rsid w:val="005D767C"/>
    <w:rsid w:val="00617CE7"/>
    <w:rsid w:val="00635869"/>
    <w:rsid w:val="006E12E3"/>
    <w:rsid w:val="006F4279"/>
    <w:rsid w:val="00706725"/>
    <w:rsid w:val="007E0F10"/>
    <w:rsid w:val="00825B0C"/>
    <w:rsid w:val="008371BC"/>
    <w:rsid w:val="00892B77"/>
    <w:rsid w:val="008A6904"/>
    <w:rsid w:val="00901AF4"/>
    <w:rsid w:val="009B292B"/>
    <w:rsid w:val="00A52C0F"/>
    <w:rsid w:val="00AB5D93"/>
    <w:rsid w:val="00AC4BD1"/>
    <w:rsid w:val="00AC78CC"/>
    <w:rsid w:val="00BC26AC"/>
    <w:rsid w:val="00BD435C"/>
    <w:rsid w:val="00C37432"/>
    <w:rsid w:val="00CB0162"/>
    <w:rsid w:val="00D01109"/>
    <w:rsid w:val="00D03B4E"/>
    <w:rsid w:val="00D11F1B"/>
    <w:rsid w:val="00DB10F8"/>
    <w:rsid w:val="00DC0F84"/>
    <w:rsid w:val="00E22ED2"/>
    <w:rsid w:val="00E27E0A"/>
    <w:rsid w:val="00F75CAB"/>
    <w:rsid w:val="00FB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4815"/>
  <w15:docId w15:val="{CC9E5083-1EEA-42D5-BEFB-C17A9A73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4FF"/>
    <w:pPr>
      <w:spacing w:after="0" w:line="240" w:lineRule="auto"/>
    </w:pPr>
    <w:rPr>
      <w:rFonts w:eastAsia="Times New Roman"/>
      <w:sz w:val="24"/>
      <w:szCs w:val="24"/>
      <w:lang w:eastAsia="ru-RU"/>
    </w:rPr>
  </w:style>
  <w:style w:type="paragraph" w:styleId="1">
    <w:name w:val="heading 1"/>
    <w:basedOn w:val="a"/>
    <w:next w:val="a"/>
    <w:link w:val="10"/>
    <w:uiPriority w:val="9"/>
    <w:qFormat/>
    <w:rsid w:val="00184D48"/>
    <w:pPr>
      <w:keepNext/>
      <w:keepLines/>
      <w:spacing w:before="360" w:after="80" w:line="360" w:lineRule="auto"/>
      <w:jc w:val="center"/>
      <w:outlineLvl w:val="0"/>
    </w:pPr>
    <w:rPr>
      <w:rFonts w:eastAsiaTheme="majorEastAsia" w:cstheme="majorBidi"/>
      <w:b/>
      <w:color w:val="000000" w:themeColor="text1"/>
      <w:sz w:val="28"/>
      <w:szCs w:val="40"/>
      <w:lang w:eastAsia="en-US"/>
    </w:rPr>
  </w:style>
  <w:style w:type="paragraph" w:styleId="2">
    <w:name w:val="heading 2"/>
    <w:basedOn w:val="a"/>
    <w:next w:val="a"/>
    <w:link w:val="20"/>
    <w:uiPriority w:val="9"/>
    <w:unhideWhenUsed/>
    <w:qFormat/>
    <w:rsid w:val="00901AF4"/>
    <w:pPr>
      <w:keepNext/>
      <w:keepLines/>
      <w:spacing w:before="480" w:after="480" w:line="360" w:lineRule="auto"/>
      <w:ind w:firstLine="709"/>
      <w:jc w:val="both"/>
      <w:outlineLvl w:val="1"/>
    </w:pPr>
    <w:rPr>
      <w:rFonts w:eastAsiaTheme="majorEastAsia" w:cstheme="majorBidi"/>
      <w:b/>
      <w:color w:val="000000" w:themeColor="text1"/>
      <w:sz w:val="28"/>
      <w:szCs w:val="26"/>
      <w:lang w:eastAsia="en-US"/>
    </w:rPr>
  </w:style>
  <w:style w:type="paragraph" w:styleId="3">
    <w:name w:val="heading 3"/>
    <w:basedOn w:val="a"/>
    <w:next w:val="a"/>
    <w:link w:val="30"/>
    <w:rsid w:val="00FB221A"/>
    <w:pPr>
      <w:keepNext/>
      <w:keepLines/>
      <w:spacing w:before="480" w:after="480" w:line="360" w:lineRule="auto"/>
      <w:ind w:firstLine="709"/>
      <w:jc w:val="both"/>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8"/>
    <w:rPr>
      <w:rFonts w:eastAsiaTheme="majorEastAsia" w:cstheme="majorBidi"/>
      <w:b/>
      <w:color w:val="000000" w:themeColor="text1"/>
      <w:sz w:val="28"/>
      <w:szCs w:val="40"/>
    </w:rPr>
  </w:style>
  <w:style w:type="paragraph" w:customStyle="1" w:styleId="a3">
    <w:name w:val="Курсачи"/>
    <w:basedOn w:val="a"/>
    <w:link w:val="a4"/>
    <w:qFormat/>
    <w:rsid w:val="008A6904"/>
    <w:pPr>
      <w:spacing w:line="360" w:lineRule="auto"/>
      <w:ind w:firstLine="709"/>
      <w:jc w:val="both"/>
    </w:pPr>
    <w:rPr>
      <w:rFonts w:eastAsiaTheme="minorHAnsi"/>
      <w:sz w:val="28"/>
      <w:szCs w:val="22"/>
      <w:lang w:eastAsia="en-US"/>
    </w:rPr>
  </w:style>
  <w:style w:type="character" w:customStyle="1" w:styleId="a4">
    <w:name w:val="Курсачи Знак"/>
    <w:basedOn w:val="a0"/>
    <w:link w:val="a3"/>
    <w:rsid w:val="008A6904"/>
    <w:rPr>
      <w:sz w:val="28"/>
    </w:rPr>
  </w:style>
  <w:style w:type="character" w:customStyle="1" w:styleId="20">
    <w:name w:val="Заголовок 2 Знак"/>
    <w:basedOn w:val="a0"/>
    <w:link w:val="2"/>
    <w:uiPriority w:val="9"/>
    <w:rsid w:val="00901AF4"/>
    <w:rPr>
      <w:rFonts w:eastAsiaTheme="majorEastAsia" w:cstheme="majorBidi"/>
      <w:b/>
      <w:color w:val="000000" w:themeColor="text1"/>
      <w:sz w:val="28"/>
      <w:szCs w:val="26"/>
    </w:rPr>
  </w:style>
  <w:style w:type="character" w:customStyle="1" w:styleId="30">
    <w:name w:val="Заголовок 3 Знак"/>
    <w:basedOn w:val="a0"/>
    <w:link w:val="3"/>
    <w:rsid w:val="00FB221A"/>
    <w:rPr>
      <w:rFonts w:eastAsia="Times New Roman"/>
      <w:b/>
      <w:sz w:val="28"/>
      <w:szCs w:val="28"/>
      <w:lang w:val="uk-UA" w:eastAsia="ru-RU"/>
    </w:rPr>
  </w:style>
  <w:style w:type="paragraph" w:customStyle="1" w:styleId="a5">
    <w:name w:val="Таблиця"/>
    <w:basedOn w:val="a"/>
    <w:qFormat/>
    <w:rsid w:val="000848E1"/>
    <w:pPr>
      <w:spacing w:line="256" w:lineRule="auto"/>
    </w:pPr>
    <w:rPr>
      <w:rFonts w:eastAsiaTheme="minorHAnsi" w:cstheme="minorBidi"/>
      <w:bCs/>
      <w:kern w:val="2"/>
      <w:sz w:val="28"/>
      <w:szCs w:val="22"/>
      <w:lang w:val="uk-UA" w:eastAsia="en-US"/>
    </w:rPr>
  </w:style>
  <w:style w:type="paragraph" w:styleId="31">
    <w:name w:val="Body Text Indent 3"/>
    <w:basedOn w:val="a"/>
    <w:link w:val="32"/>
    <w:rsid w:val="004334FF"/>
    <w:pPr>
      <w:spacing w:after="120"/>
      <w:ind w:left="283"/>
    </w:pPr>
    <w:rPr>
      <w:sz w:val="16"/>
      <w:szCs w:val="16"/>
    </w:rPr>
  </w:style>
  <w:style w:type="character" w:customStyle="1" w:styleId="32">
    <w:name w:val="Основний текст з відступом 3 Знак"/>
    <w:basedOn w:val="a0"/>
    <w:link w:val="31"/>
    <w:rsid w:val="004334FF"/>
    <w:rPr>
      <w:rFonts w:eastAsia="Times New Roman"/>
      <w:sz w:val="16"/>
      <w:szCs w:val="16"/>
      <w:lang w:eastAsia="ru-RU"/>
    </w:rPr>
  </w:style>
  <w:style w:type="paragraph" w:customStyle="1" w:styleId="11">
    <w:name w:val="Обычный1"/>
    <w:rsid w:val="004334FF"/>
    <w:pPr>
      <w:widowControl w:val="0"/>
      <w:spacing w:after="0" w:line="240" w:lineRule="auto"/>
    </w:pPr>
    <w:rPr>
      <w:rFonts w:eastAsia="Times New Roman"/>
      <w:snapToGrid w:val="0"/>
      <w:sz w:val="20"/>
      <w:szCs w:val="20"/>
      <w:lang w:eastAsia="ru-RU"/>
    </w:rPr>
  </w:style>
  <w:style w:type="character" w:customStyle="1" w:styleId="cs5efed22f1">
    <w:name w:val="cs5efed22f1"/>
    <w:rsid w:val="004334FF"/>
    <w:rPr>
      <w:rFonts w:ascii="Times New Roman" w:hAnsi="Times New Roman" w:cs="Times New Roman" w:hint="default"/>
      <w:b w:val="0"/>
      <w:bCs w:val="0"/>
      <w:i w:val="0"/>
      <w:iCs w:val="0"/>
      <w:color w:val="000000"/>
      <w:sz w:val="24"/>
      <w:szCs w:val="24"/>
      <w:shd w:val="clear" w:color="auto" w:fill="auto"/>
    </w:rPr>
  </w:style>
  <w:style w:type="paragraph" w:customStyle="1" w:styleId="cs80d9435b">
    <w:name w:val="cs80d9435b"/>
    <w:basedOn w:val="a"/>
    <w:rsid w:val="004334FF"/>
    <w:pPr>
      <w:jc w:val="both"/>
    </w:pPr>
    <w:rPr>
      <w:lang w:val="uk-UA" w:eastAsia="uk-UA"/>
    </w:rPr>
  </w:style>
  <w:style w:type="character" w:customStyle="1" w:styleId="cs7fb5c6073">
    <w:name w:val="cs7fb5c6073"/>
    <w:basedOn w:val="a0"/>
    <w:rsid w:val="004334FF"/>
  </w:style>
  <w:style w:type="character" w:customStyle="1" w:styleId="cs5efed22f5">
    <w:name w:val="cs5efed22f5"/>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6">
    <w:name w:val="cs5efed22f6"/>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10">
    <w:name w:val="cs5efed22f10"/>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13">
    <w:name w:val="cs5efed22f13"/>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16">
    <w:name w:val="cs5efed22f16"/>
    <w:rsid w:val="004334FF"/>
    <w:rPr>
      <w:rFonts w:ascii="Times New Roman" w:hAnsi="Times New Roman" w:cs="Times New Roman" w:hint="default"/>
      <w:b w:val="0"/>
      <w:bCs w:val="0"/>
      <w:i w:val="0"/>
      <w:iCs w:val="0"/>
      <w:color w:val="000000"/>
      <w:sz w:val="24"/>
      <w:szCs w:val="24"/>
      <w:shd w:val="clear" w:color="auto" w:fill="auto"/>
    </w:rPr>
  </w:style>
  <w:style w:type="paragraph" w:styleId="a6">
    <w:name w:val="header"/>
    <w:basedOn w:val="a"/>
    <w:link w:val="a7"/>
    <w:uiPriority w:val="99"/>
    <w:unhideWhenUsed/>
    <w:rsid w:val="004334FF"/>
    <w:pPr>
      <w:tabs>
        <w:tab w:val="center" w:pos="4677"/>
        <w:tab w:val="right" w:pos="9355"/>
      </w:tabs>
    </w:pPr>
  </w:style>
  <w:style w:type="character" w:customStyle="1" w:styleId="a7">
    <w:name w:val="Верхній колонтитул Знак"/>
    <w:basedOn w:val="a0"/>
    <w:link w:val="a6"/>
    <w:uiPriority w:val="99"/>
    <w:rsid w:val="004334FF"/>
    <w:rPr>
      <w:rFonts w:eastAsia="Times New Roman"/>
      <w:sz w:val="24"/>
      <w:szCs w:val="24"/>
      <w:lang w:eastAsia="ru-RU"/>
    </w:rPr>
  </w:style>
  <w:style w:type="paragraph" w:styleId="a8">
    <w:name w:val="footer"/>
    <w:basedOn w:val="a"/>
    <w:link w:val="a9"/>
    <w:uiPriority w:val="99"/>
    <w:unhideWhenUsed/>
    <w:rsid w:val="004334FF"/>
    <w:pPr>
      <w:tabs>
        <w:tab w:val="center" w:pos="4677"/>
        <w:tab w:val="right" w:pos="9355"/>
      </w:tabs>
    </w:pPr>
  </w:style>
  <w:style w:type="character" w:customStyle="1" w:styleId="a9">
    <w:name w:val="Нижній колонтитул Знак"/>
    <w:basedOn w:val="a0"/>
    <w:link w:val="a8"/>
    <w:uiPriority w:val="99"/>
    <w:rsid w:val="004334FF"/>
    <w:rPr>
      <w:rFonts w:eastAsia="Times New Roman"/>
      <w:sz w:val="24"/>
      <w:szCs w:val="24"/>
      <w:lang w:eastAsia="ru-RU"/>
    </w:rPr>
  </w:style>
  <w:style w:type="character" w:styleId="aa">
    <w:name w:val="annotation reference"/>
    <w:basedOn w:val="a0"/>
    <w:uiPriority w:val="99"/>
    <w:semiHidden/>
    <w:unhideWhenUsed/>
    <w:rsid w:val="00F75CAB"/>
    <w:rPr>
      <w:sz w:val="16"/>
      <w:szCs w:val="16"/>
    </w:rPr>
  </w:style>
  <w:style w:type="paragraph" w:styleId="ab">
    <w:name w:val="annotation text"/>
    <w:basedOn w:val="a"/>
    <w:link w:val="ac"/>
    <w:uiPriority w:val="99"/>
    <w:semiHidden/>
    <w:unhideWhenUsed/>
    <w:rsid w:val="00F75CAB"/>
    <w:rPr>
      <w:sz w:val="20"/>
      <w:szCs w:val="20"/>
    </w:rPr>
  </w:style>
  <w:style w:type="character" w:customStyle="1" w:styleId="ac">
    <w:name w:val="Текст примітки Знак"/>
    <w:basedOn w:val="a0"/>
    <w:link w:val="ab"/>
    <w:uiPriority w:val="99"/>
    <w:semiHidden/>
    <w:rsid w:val="00F75CAB"/>
    <w:rPr>
      <w:rFonts w:eastAsia="Times New Roman"/>
      <w:sz w:val="20"/>
      <w:szCs w:val="20"/>
      <w:lang w:eastAsia="ru-RU"/>
    </w:rPr>
  </w:style>
  <w:style w:type="paragraph" w:styleId="ad">
    <w:name w:val="annotation subject"/>
    <w:basedOn w:val="ab"/>
    <w:next w:val="ab"/>
    <w:link w:val="ae"/>
    <w:uiPriority w:val="99"/>
    <w:semiHidden/>
    <w:unhideWhenUsed/>
    <w:rsid w:val="00F75CAB"/>
    <w:rPr>
      <w:b/>
      <w:bCs/>
    </w:rPr>
  </w:style>
  <w:style w:type="character" w:customStyle="1" w:styleId="ae">
    <w:name w:val="Тема примітки Знак"/>
    <w:basedOn w:val="ac"/>
    <w:link w:val="ad"/>
    <w:uiPriority w:val="99"/>
    <w:semiHidden/>
    <w:rsid w:val="00F75CAB"/>
    <w:rPr>
      <w:rFonts w:eastAsia="Times New Roman"/>
      <w:b/>
      <w:bCs/>
      <w:sz w:val="20"/>
      <w:szCs w:val="20"/>
      <w:lang w:eastAsia="ru-RU"/>
    </w:rPr>
  </w:style>
  <w:style w:type="paragraph" w:styleId="af">
    <w:name w:val="Balloon Text"/>
    <w:basedOn w:val="a"/>
    <w:link w:val="af0"/>
    <w:uiPriority w:val="99"/>
    <w:semiHidden/>
    <w:unhideWhenUsed/>
    <w:rsid w:val="00F75CAB"/>
    <w:rPr>
      <w:rFonts w:ascii="Tahoma" w:hAnsi="Tahoma" w:cs="Tahoma"/>
      <w:sz w:val="16"/>
      <w:szCs w:val="16"/>
    </w:rPr>
  </w:style>
  <w:style w:type="character" w:customStyle="1" w:styleId="af0">
    <w:name w:val="Текст у виносці Знак"/>
    <w:basedOn w:val="a0"/>
    <w:link w:val="af"/>
    <w:uiPriority w:val="99"/>
    <w:semiHidden/>
    <w:rsid w:val="00F75CAB"/>
    <w:rPr>
      <w:rFonts w:ascii="Tahoma" w:eastAsia="Times New Roman" w:hAnsi="Tahoma" w:cs="Tahoma"/>
      <w:sz w:val="16"/>
      <w:szCs w:val="16"/>
      <w:lang w:eastAsia="ru-RU"/>
    </w:rPr>
  </w:style>
  <w:style w:type="paragraph" w:styleId="af1">
    <w:name w:val="Normal (Web)"/>
    <w:basedOn w:val="a"/>
    <w:uiPriority w:val="99"/>
    <w:semiHidden/>
    <w:unhideWhenUsed/>
    <w:rsid w:val="00500EF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9911-CC17-4C2D-8DAD-ED57070D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6696</Words>
  <Characters>3818</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26</cp:revision>
  <dcterms:created xsi:type="dcterms:W3CDTF">2026-02-02T08:08:00Z</dcterms:created>
  <dcterms:modified xsi:type="dcterms:W3CDTF">2026-04-16T10:05:00Z</dcterms:modified>
</cp:coreProperties>
</file>