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2B4AA" w14:textId="77777777" w:rsidR="00BF04D0" w:rsidRPr="006D0A76" w:rsidRDefault="00E676F6">
      <w:pPr>
        <w:pStyle w:val="13"/>
        <w:ind w:firstLine="709"/>
        <w:jc w:val="right"/>
        <w:rPr>
          <w:sz w:val="24"/>
          <w:szCs w:val="24"/>
          <w:lang w:val="uk-UA"/>
        </w:rPr>
      </w:pPr>
      <w:r w:rsidRPr="006D0A76">
        <w:rPr>
          <w:sz w:val="24"/>
          <w:szCs w:val="24"/>
          <w:lang w:val="uk-UA"/>
        </w:rPr>
        <w:t>Додаток 1</w:t>
      </w:r>
    </w:p>
    <w:p w14:paraId="5E39C2D6" w14:textId="6B463D7B" w:rsidR="00BF04D0" w:rsidRPr="006D0A76" w:rsidRDefault="00E676F6">
      <w:pPr>
        <w:pStyle w:val="13"/>
        <w:ind w:firstLine="709"/>
        <w:jc w:val="right"/>
        <w:rPr>
          <w:sz w:val="24"/>
          <w:szCs w:val="24"/>
          <w:lang w:val="uk-UA"/>
        </w:rPr>
      </w:pPr>
      <w:r w:rsidRPr="006D0A76">
        <w:rPr>
          <w:sz w:val="24"/>
          <w:szCs w:val="24"/>
          <w:lang w:val="uk-UA"/>
        </w:rPr>
        <w:t>до реєстраційного посвідчення</w:t>
      </w:r>
      <w:r w:rsidR="00743125" w:rsidRPr="006D0A76">
        <w:rPr>
          <w:sz w:val="24"/>
          <w:szCs w:val="24"/>
          <w:lang w:val="uk-UA"/>
        </w:rPr>
        <w:t xml:space="preserve"> АВ</w:t>
      </w:r>
    </w:p>
    <w:p w14:paraId="68F466DA" w14:textId="77777777" w:rsidR="00BF04D0" w:rsidRPr="006D0A76" w:rsidRDefault="00BF04D0">
      <w:pPr>
        <w:pStyle w:val="13"/>
        <w:ind w:firstLine="709"/>
        <w:jc w:val="right"/>
        <w:rPr>
          <w:sz w:val="24"/>
          <w:szCs w:val="24"/>
          <w:lang w:val="uk-UA"/>
        </w:rPr>
      </w:pPr>
    </w:p>
    <w:p w14:paraId="031AB49B" w14:textId="77777777" w:rsidR="00BF04D0" w:rsidRPr="006D0A76" w:rsidRDefault="00E676F6">
      <w:pPr>
        <w:pStyle w:val="13"/>
        <w:ind w:firstLine="709"/>
        <w:jc w:val="center"/>
        <w:rPr>
          <w:b/>
          <w:sz w:val="24"/>
          <w:szCs w:val="24"/>
          <w:lang w:val="uk-UA"/>
        </w:rPr>
      </w:pPr>
      <w:r w:rsidRPr="006D0A76">
        <w:rPr>
          <w:b/>
          <w:sz w:val="24"/>
          <w:szCs w:val="24"/>
        </w:rPr>
        <w:t>Коротка характеристика препарату</w:t>
      </w:r>
    </w:p>
    <w:p w14:paraId="328F5801" w14:textId="77777777" w:rsidR="00BF04D0" w:rsidRPr="006D0A76" w:rsidRDefault="00BF04D0">
      <w:pPr>
        <w:pStyle w:val="13"/>
        <w:ind w:firstLine="709"/>
        <w:jc w:val="center"/>
        <w:rPr>
          <w:b/>
          <w:sz w:val="24"/>
          <w:szCs w:val="24"/>
          <w:lang w:val="uk-UA"/>
        </w:rPr>
      </w:pPr>
    </w:p>
    <w:p w14:paraId="402FF2F6" w14:textId="77777777" w:rsidR="00BF04D0" w:rsidRPr="006D0A76" w:rsidRDefault="00E676F6">
      <w:pPr>
        <w:ind w:firstLine="708"/>
        <w:jc w:val="both"/>
        <w:rPr>
          <w:b/>
        </w:rPr>
      </w:pPr>
      <w:r w:rsidRPr="006D0A76">
        <w:rPr>
          <w:b/>
        </w:rPr>
        <w:t>1.  Назва</w:t>
      </w:r>
    </w:p>
    <w:p w14:paraId="0A88949F" w14:textId="77777777" w:rsidR="00BF04D0" w:rsidRPr="006D0A76" w:rsidRDefault="00E676F6">
      <w:pPr>
        <w:ind w:firstLine="708"/>
        <w:rPr>
          <w:b/>
          <w:lang w:val="uk-UA"/>
        </w:rPr>
      </w:pPr>
      <w:r w:rsidRPr="006D0A76">
        <w:t>ГАБАПЕНТИН розчин</w:t>
      </w:r>
    </w:p>
    <w:p w14:paraId="34BA55A7" w14:textId="77777777" w:rsidR="00BF04D0" w:rsidRPr="006D0A76" w:rsidRDefault="00E676F6">
      <w:pPr>
        <w:pStyle w:val="13"/>
        <w:ind w:firstLine="708"/>
        <w:jc w:val="both"/>
        <w:rPr>
          <w:sz w:val="24"/>
          <w:szCs w:val="24"/>
        </w:rPr>
      </w:pPr>
      <w:r w:rsidRPr="006D0A76">
        <w:rPr>
          <w:b/>
          <w:sz w:val="24"/>
          <w:szCs w:val="24"/>
        </w:rPr>
        <w:t>2. Склад</w:t>
      </w:r>
      <w:r w:rsidRPr="006D0A76">
        <w:rPr>
          <w:sz w:val="24"/>
          <w:szCs w:val="24"/>
        </w:rPr>
        <w:t xml:space="preserve"> </w:t>
      </w:r>
    </w:p>
    <w:p w14:paraId="6B74C2DA" w14:textId="77777777" w:rsidR="00BF04D0" w:rsidRPr="006D0A76" w:rsidRDefault="00E676F6">
      <w:pPr>
        <w:widowControl w:val="0"/>
        <w:ind w:firstLine="708"/>
        <w:jc w:val="both"/>
        <w:rPr>
          <w:lang w:val="uk-UA"/>
        </w:rPr>
      </w:pPr>
      <w:r w:rsidRPr="006D0A76">
        <w:rPr>
          <w:lang w:val="uk-UA"/>
        </w:rPr>
        <w:t xml:space="preserve">1 мл препарату містить діючу речовину: </w:t>
      </w:r>
    </w:p>
    <w:p w14:paraId="79642791" w14:textId="77777777" w:rsidR="00BF04D0" w:rsidRPr="006D0A76" w:rsidRDefault="00E676F6">
      <w:pPr>
        <w:ind w:firstLine="708"/>
        <w:jc w:val="both"/>
        <w:rPr>
          <w:lang w:val="uk-UA"/>
        </w:rPr>
      </w:pPr>
      <w:r w:rsidRPr="006D0A76">
        <w:rPr>
          <w:lang w:val="uk-UA"/>
        </w:rPr>
        <w:t>габапентин</w:t>
      </w:r>
      <w:r w:rsidRPr="006D0A76">
        <w:t> </w:t>
      </w:r>
      <w:r w:rsidRPr="006D0A76">
        <w:rPr>
          <w:lang w:val="uk-UA"/>
        </w:rPr>
        <w:t xml:space="preserve"> – 50 мг.</w:t>
      </w:r>
    </w:p>
    <w:p w14:paraId="124EE7FB" w14:textId="77777777" w:rsidR="00BF04D0" w:rsidRPr="006D0A76" w:rsidRDefault="00E676F6">
      <w:pPr>
        <w:widowControl w:val="0"/>
        <w:ind w:firstLine="708"/>
        <w:jc w:val="both"/>
        <w:rPr>
          <w:lang w:val="uk-UA"/>
        </w:rPr>
      </w:pPr>
      <w:r w:rsidRPr="006D0A76">
        <w:rPr>
          <w:lang w:val="uk-UA"/>
        </w:rPr>
        <w:t>Допоміжні речовини: натрію бензоат, сукралоза, трилон Б, ароматизатор, вода очищена.</w:t>
      </w:r>
    </w:p>
    <w:p w14:paraId="782636DC" w14:textId="77777777" w:rsidR="00BF04D0" w:rsidRPr="006D0A76" w:rsidRDefault="00E676F6">
      <w:pPr>
        <w:ind w:firstLine="708"/>
        <w:jc w:val="both"/>
        <w:rPr>
          <w:b/>
          <w:lang w:val="uk-UA"/>
        </w:rPr>
      </w:pPr>
      <w:r w:rsidRPr="006D0A76">
        <w:rPr>
          <w:b/>
          <w:lang w:val="uk-UA"/>
        </w:rPr>
        <w:t>3. Фармацевтична форма</w:t>
      </w:r>
    </w:p>
    <w:p w14:paraId="6D139C57" w14:textId="77777777" w:rsidR="00BF04D0" w:rsidRPr="006D0A76" w:rsidRDefault="00E676F6">
      <w:pPr>
        <w:ind w:firstLine="708"/>
        <w:jc w:val="both"/>
        <w:rPr>
          <w:lang w:val="uk-UA"/>
        </w:rPr>
      </w:pPr>
      <w:r w:rsidRPr="006D0A76">
        <w:t>Розчин для перорального застосування</w:t>
      </w:r>
      <w:r w:rsidRPr="006D0A76">
        <w:rPr>
          <w:lang w:val="uk-UA"/>
        </w:rPr>
        <w:t>.</w:t>
      </w:r>
    </w:p>
    <w:p w14:paraId="2461B0B7" w14:textId="77777777" w:rsidR="00BF04D0" w:rsidRPr="006D0A76" w:rsidRDefault="00E676F6">
      <w:pPr>
        <w:ind w:firstLine="708"/>
        <w:jc w:val="both"/>
        <w:rPr>
          <w:b/>
          <w:lang w:val="uk-UA"/>
        </w:rPr>
      </w:pPr>
      <w:r w:rsidRPr="006D0A76">
        <w:rPr>
          <w:b/>
          <w:lang w:val="uk-UA"/>
        </w:rPr>
        <w:t>4. Фармакологічні властивості</w:t>
      </w:r>
    </w:p>
    <w:p w14:paraId="1849D4F6" w14:textId="77777777" w:rsidR="00E634AC" w:rsidRPr="006D0A76" w:rsidRDefault="00E634AC" w:rsidP="00E634AC">
      <w:pPr>
        <w:ind w:firstLine="708"/>
        <w:jc w:val="both"/>
        <w:rPr>
          <w:b/>
          <w:i/>
          <w:lang w:val="uk-UA"/>
        </w:rPr>
      </w:pPr>
      <w:r w:rsidRPr="006D0A76">
        <w:rPr>
          <w:b/>
          <w:i/>
          <w:lang w:val="uk-UA"/>
        </w:rPr>
        <w:t xml:space="preserve">АТС </w:t>
      </w:r>
      <w:r w:rsidRPr="006D0A76">
        <w:rPr>
          <w:b/>
          <w:i/>
        </w:rPr>
        <w:t>vet</w:t>
      </w:r>
      <w:r w:rsidRPr="006D0A76">
        <w:rPr>
          <w:b/>
          <w:i/>
          <w:lang w:val="uk-UA"/>
        </w:rPr>
        <w:t xml:space="preserve">  </w:t>
      </w:r>
      <w:r w:rsidRPr="006D0A76">
        <w:rPr>
          <w:b/>
          <w:bCs/>
          <w:i/>
        </w:rPr>
        <w:t>QN02</w:t>
      </w:r>
      <w:r w:rsidRPr="006D0A76">
        <w:rPr>
          <w:b/>
          <w:i/>
        </w:rPr>
        <w:t xml:space="preserve"> – ветеринарні препарати, що </w:t>
      </w:r>
      <w:r w:rsidRPr="006D0A76">
        <w:rPr>
          <w:b/>
          <w:bCs/>
          <w:i/>
        </w:rPr>
        <w:t>впливають на нервову систему</w:t>
      </w:r>
      <w:r w:rsidRPr="006D0A76">
        <w:rPr>
          <w:b/>
          <w:bCs/>
          <w:i/>
          <w:lang w:val="uk-UA"/>
        </w:rPr>
        <w:t xml:space="preserve">. Анальгетики. </w:t>
      </w:r>
      <w:r w:rsidRPr="006D0A76">
        <w:rPr>
          <w:b/>
          <w:bCs/>
          <w:i/>
        </w:rPr>
        <w:t>QN02BF01</w:t>
      </w:r>
      <w:r w:rsidRPr="006D0A76">
        <w:rPr>
          <w:b/>
          <w:i/>
        </w:rPr>
        <w:t xml:space="preserve"> – Габапентин</w:t>
      </w:r>
      <w:r w:rsidRPr="006D0A76">
        <w:rPr>
          <w:b/>
          <w:i/>
          <w:lang w:val="uk-UA"/>
        </w:rPr>
        <w:t>.</w:t>
      </w:r>
    </w:p>
    <w:p w14:paraId="637B9D75" w14:textId="77777777" w:rsidR="00E634AC" w:rsidRPr="006D0A76" w:rsidRDefault="00E634AC" w:rsidP="00E634AC">
      <w:pPr>
        <w:ind w:firstLine="708"/>
        <w:jc w:val="both"/>
        <w:rPr>
          <w:bCs/>
        </w:rPr>
      </w:pPr>
      <w:r w:rsidRPr="006D0A76">
        <w:rPr>
          <w:rStyle w:val="docdata"/>
        </w:rPr>
        <w:t>Г</w:t>
      </w:r>
      <w:r w:rsidRPr="006D0A76">
        <w:rPr>
          <w:rStyle w:val="docdata"/>
          <w:lang w:val="uk-UA"/>
        </w:rPr>
        <w:t xml:space="preserve">АБАПЕНТИН розчин для перорального застосування </w:t>
      </w:r>
      <w:r w:rsidRPr="006D0A76">
        <w:rPr>
          <w:bCs/>
          <w:lang w:val="uk-UA"/>
        </w:rPr>
        <w:t>– протисудомний та аналгетичний препарат, який застосовують для лікування болю, судом та тривожності  у собак та котів.</w:t>
      </w:r>
    </w:p>
    <w:p w14:paraId="18548545" w14:textId="77777777" w:rsidR="00E634AC" w:rsidRPr="006D0A76" w:rsidRDefault="00E634AC" w:rsidP="00E634AC">
      <w:pPr>
        <w:ind w:firstLine="708"/>
        <w:jc w:val="both"/>
        <w:rPr>
          <w:lang w:val="uk-UA"/>
        </w:rPr>
      </w:pPr>
      <w:r w:rsidRPr="006D0A76">
        <w:rPr>
          <w:lang w:val="uk-UA"/>
        </w:rPr>
        <w:t xml:space="preserve">Габапентин (1-амінометилциклогексаноцтова кислота) є структурним аналогом нейромедіатора </w:t>
      </w:r>
      <w:r w:rsidRPr="006D0A76">
        <w:t>γ</w:t>
      </w:r>
      <w:r w:rsidRPr="006D0A76">
        <w:rPr>
          <w:lang w:val="uk-UA"/>
        </w:rPr>
        <w:t>-аміномасляної кислоти, проте, його механізм дії суттєво відрізняється від класичних ГАМК-ергічних препаратів.</w:t>
      </w:r>
    </w:p>
    <w:p w14:paraId="7D8973E4" w14:textId="77777777" w:rsidR="00E634AC" w:rsidRPr="006D0A76" w:rsidRDefault="00E634AC" w:rsidP="00E634AC">
      <w:pPr>
        <w:pStyle w:val="aff2"/>
        <w:shd w:val="clear" w:color="auto" w:fill="FFFFFF"/>
        <w:spacing w:before="0" w:beforeAutospacing="0" w:after="0" w:afterAutospacing="0"/>
        <w:ind w:firstLine="708"/>
        <w:jc w:val="both"/>
        <w:rPr>
          <w:color w:val="auto"/>
        </w:rPr>
      </w:pPr>
      <w:r w:rsidRPr="006D0A76">
        <w:rPr>
          <w:color w:val="auto"/>
          <w:lang w:val="uk-UA"/>
        </w:rPr>
        <w:t xml:space="preserve">Габапентин не змінює метаболізм ГАМК (гама-аміномасляної кислоти) та не має спорідненості до ГАМК А- або ГАМК В-рецепторів. </w:t>
      </w:r>
      <w:r w:rsidRPr="006D0A76">
        <w:rPr>
          <w:color w:val="auto"/>
        </w:rPr>
        <w:t xml:space="preserve">Він не зв’язується з іншими нейротрансмітерними рецепторами головного мозку та не взаємодіє з натрієвими каналами. </w:t>
      </w:r>
    </w:p>
    <w:p w14:paraId="1D2FEB24" w14:textId="77777777" w:rsidR="00E634AC" w:rsidRPr="006D0A76" w:rsidRDefault="00E634AC" w:rsidP="00E634AC">
      <w:pPr>
        <w:ind w:firstLine="708"/>
        <w:jc w:val="both"/>
        <w:rPr>
          <w:lang w:val="uk-UA"/>
        </w:rPr>
      </w:pPr>
      <w:r w:rsidRPr="006D0A76">
        <w:rPr>
          <w:lang w:val="uk-UA"/>
        </w:rPr>
        <w:t xml:space="preserve">Основний механізм дії габапентину пов'язаний із вибірковою взаємодією з </w:t>
      </w:r>
      <w:r w:rsidRPr="006D0A76">
        <w:t>α</w:t>
      </w:r>
      <w:r w:rsidRPr="006D0A76">
        <w:rPr>
          <w:lang w:val="uk-UA"/>
        </w:rPr>
        <w:t>₂</w:t>
      </w:r>
      <w:r w:rsidRPr="006D0A76">
        <w:t>δ</w:t>
      </w:r>
      <w:r w:rsidRPr="006D0A76">
        <w:rPr>
          <w:lang w:val="uk-UA"/>
        </w:rPr>
        <w:t>-</w:t>
      </w:r>
      <w:r w:rsidRPr="006D0A76">
        <w:t xml:space="preserve">(альфа2-дельта) </w:t>
      </w:r>
      <w:r w:rsidRPr="006D0A76">
        <w:rPr>
          <w:lang w:val="uk-UA"/>
        </w:rPr>
        <w:t>субодиницею потенціал-залежних кальцієвих каналів у пресинаптичних нейронах центральної нервової системи,</w:t>
      </w:r>
      <w:r w:rsidRPr="006D0A76">
        <w:t xml:space="preserve"> що</w:t>
      </w:r>
      <w:r w:rsidRPr="006D0A76">
        <w:rPr>
          <w:lang w:val="uk-UA"/>
        </w:rPr>
        <w:t xml:space="preserve"> спричиняє</w:t>
      </w:r>
      <w:r w:rsidRPr="006D0A76">
        <w:t xml:space="preserve"> протисудомний ефект у тварин</w:t>
      </w:r>
      <w:r w:rsidRPr="006D0A76">
        <w:rPr>
          <w:lang w:val="uk-UA"/>
        </w:rPr>
        <w:t>,</w:t>
      </w:r>
      <w:r w:rsidRPr="006D0A76">
        <w:t xml:space="preserve"> а також</w:t>
      </w:r>
      <w:r w:rsidRPr="006D0A76">
        <w:rPr>
          <w:lang w:val="uk-UA"/>
        </w:rPr>
        <w:t xml:space="preserve"> призводить до зменшення викиду збуджувальних нейромедіаторів (глутамату, субстанції </w:t>
      </w:r>
      <w:r w:rsidRPr="006D0A76">
        <w:t>P</w:t>
      </w:r>
      <w:r w:rsidRPr="006D0A76">
        <w:rPr>
          <w:lang w:val="uk-UA"/>
        </w:rPr>
        <w:t>, норадреналіну) у різних відділах центральної нервової системи, що, у свою чергу, знижує нейронну гіперактивність та центральну сенситизацію, характерну для невропатичного болю та тривожних станів.</w:t>
      </w:r>
      <w:r w:rsidRPr="006D0A76">
        <w:t xml:space="preserve"> Широкий спектр скринінгових досліджень встановив, що габапентин не зв’язується з іншими мішенями, крім α2-δ.</w:t>
      </w:r>
    </w:p>
    <w:p w14:paraId="525C7A8D" w14:textId="77777777" w:rsidR="00E634AC" w:rsidRPr="006D0A76" w:rsidRDefault="00E634AC" w:rsidP="00E634AC">
      <w:pPr>
        <w:pStyle w:val="aff2"/>
        <w:shd w:val="clear" w:color="auto" w:fill="FFFFFF"/>
        <w:spacing w:before="0" w:beforeAutospacing="0" w:after="0" w:afterAutospacing="0"/>
        <w:ind w:firstLine="708"/>
        <w:jc w:val="both"/>
        <w:rPr>
          <w:strike/>
          <w:color w:val="auto"/>
        </w:rPr>
      </w:pPr>
      <w:r w:rsidRPr="006D0A76">
        <w:rPr>
          <w:color w:val="auto"/>
          <w:lang w:val="uk-UA"/>
        </w:rPr>
        <w:t xml:space="preserve">Габапентин має протисудомні властивості, що робить його корисним засобом для додаткової терапії тварин з рефрактерними нападами або тих, чий поточний режим лікування вже недостатньо ефективний. </w:t>
      </w:r>
    </w:p>
    <w:p w14:paraId="40D64F16" w14:textId="77777777" w:rsidR="00E634AC" w:rsidRPr="006D0A76" w:rsidRDefault="00E634AC" w:rsidP="00E634AC">
      <w:pPr>
        <w:ind w:firstLine="708"/>
        <w:jc w:val="both"/>
        <w:rPr>
          <w:lang w:val="uk-UA"/>
        </w:rPr>
      </w:pPr>
      <w:r w:rsidRPr="006D0A76">
        <w:t>Габапентин можна застосовувати для зменшення тривожності у тварин загалом, а особливо при страху грози, вибухів чи салюту, а також у ситуаціях стресу, пов’язаного з перевезенням, відвідуванням ветеринарного лікаря чи грумера. Він знижує вивільнення збуджувальних нейротрансмітерів у мозку, що запобігає наростанню тривожності та дарує тварині відчуття спокою.</w:t>
      </w:r>
    </w:p>
    <w:p w14:paraId="78A4CCFD" w14:textId="77777777" w:rsidR="00E634AC" w:rsidRPr="006D0A76" w:rsidRDefault="00E634AC" w:rsidP="00E634AC">
      <w:pPr>
        <w:ind w:firstLine="708"/>
        <w:jc w:val="both"/>
        <w:rPr>
          <w:lang w:val="uk-UA"/>
        </w:rPr>
      </w:pPr>
      <w:r w:rsidRPr="006D0A76">
        <w:t xml:space="preserve">Габапентин чинить аналгетичний ефект як на рівні спинного мозку, так і у вищих центрах головного мозку. Механізм його дії пов’язаний зі зниженням нейрональної загибелі та пригніченням вивільнення нейротрансмітерів моноамінової групи. Завдяки цьому </w:t>
      </w:r>
      <w:r w:rsidRPr="006D0A76">
        <w:rPr>
          <w:lang w:val="uk-UA"/>
        </w:rPr>
        <w:t xml:space="preserve">габапентин </w:t>
      </w:r>
      <w:r w:rsidRPr="006D0A76">
        <w:t xml:space="preserve">ефективно </w:t>
      </w:r>
      <w:r w:rsidRPr="006D0A76">
        <w:rPr>
          <w:lang w:val="uk-UA"/>
        </w:rPr>
        <w:t>полегшує</w:t>
      </w:r>
      <w:r w:rsidRPr="006D0A76">
        <w:t xml:space="preserve"> хронічний та невропатичний біль. Найчастіше </w:t>
      </w:r>
      <w:r w:rsidRPr="006D0A76">
        <w:rPr>
          <w:lang w:val="uk-UA"/>
        </w:rPr>
        <w:t>його</w:t>
      </w:r>
      <w:r w:rsidRPr="006D0A76">
        <w:t xml:space="preserve"> застосовують </w:t>
      </w:r>
      <w:r w:rsidRPr="006D0A76">
        <w:rPr>
          <w:lang w:val="uk-UA"/>
        </w:rPr>
        <w:t>за</w:t>
      </w:r>
      <w:r w:rsidRPr="006D0A76">
        <w:t xml:space="preserve"> хронічно</w:t>
      </w:r>
      <w:r w:rsidRPr="006D0A76">
        <w:rPr>
          <w:lang w:val="uk-UA"/>
        </w:rPr>
        <w:t>го</w:t>
      </w:r>
      <w:r w:rsidRPr="006D0A76">
        <w:t xml:space="preserve"> больово</w:t>
      </w:r>
      <w:r w:rsidRPr="006D0A76">
        <w:rPr>
          <w:lang w:val="uk-UA"/>
        </w:rPr>
        <w:t>го</w:t>
      </w:r>
      <w:r w:rsidRPr="006D0A76">
        <w:t xml:space="preserve"> синдром</w:t>
      </w:r>
      <w:r w:rsidRPr="006D0A76">
        <w:rPr>
          <w:lang w:val="uk-UA"/>
        </w:rPr>
        <w:t>у</w:t>
      </w:r>
      <w:r w:rsidRPr="006D0A76">
        <w:t xml:space="preserve">, зумовленому дегенеративними патологіями суглобів, зокрема артритом, а також </w:t>
      </w:r>
      <w:r w:rsidRPr="006D0A76">
        <w:rPr>
          <w:lang w:val="uk-UA"/>
        </w:rPr>
        <w:t>за</w:t>
      </w:r>
      <w:r w:rsidRPr="006D0A76">
        <w:t xml:space="preserve"> невралгі</w:t>
      </w:r>
      <w:r w:rsidRPr="006D0A76">
        <w:rPr>
          <w:lang w:val="uk-UA"/>
        </w:rPr>
        <w:t>ї</w:t>
      </w:r>
      <w:r w:rsidRPr="006D0A76">
        <w:t>. Крім того, він демонструє синергічний ефект у комбінації з іншими анальгетиками — нестероїдними протизапальними засобами (НПЗЗ) та опіоїдами — що підвищує ефективність контролю болю, пов’язаного з хірургічними втручаннями.</w:t>
      </w:r>
    </w:p>
    <w:p w14:paraId="63DDD2FA" w14:textId="77777777" w:rsidR="00E634AC" w:rsidRPr="006D0A76" w:rsidRDefault="00E634AC" w:rsidP="00E634AC">
      <w:pPr>
        <w:pStyle w:val="aff2"/>
        <w:shd w:val="clear" w:color="auto" w:fill="FFFFFF"/>
        <w:spacing w:before="0" w:beforeAutospacing="0" w:after="0" w:afterAutospacing="0"/>
        <w:ind w:firstLine="708"/>
        <w:jc w:val="both"/>
        <w:rPr>
          <w:color w:val="auto"/>
        </w:rPr>
      </w:pPr>
      <w:r w:rsidRPr="006D0A76">
        <w:rPr>
          <w:color w:val="auto"/>
        </w:rPr>
        <w:t xml:space="preserve">Після </w:t>
      </w:r>
      <w:r w:rsidRPr="006D0A76">
        <w:rPr>
          <w:color w:val="auto"/>
          <w:lang w:val="uk-UA"/>
        </w:rPr>
        <w:t>перорального</w:t>
      </w:r>
      <w:r w:rsidRPr="006D0A76">
        <w:rPr>
          <w:color w:val="auto"/>
        </w:rPr>
        <w:t xml:space="preserve"> застосування собакам та котам у дозі </w:t>
      </w:r>
      <w:r w:rsidRPr="006D0A76">
        <w:rPr>
          <w:bCs/>
          <w:color w:val="auto"/>
        </w:rPr>
        <w:t>10–20 мг</w:t>
      </w:r>
      <w:r w:rsidRPr="006D0A76">
        <w:rPr>
          <w:bCs/>
          <w:color w:val="auto"/>
          <w:lang w:val="uk-UA"/>
        </w:rPr>
        <w:t xml:space="preserve"> габапентину на 1 кг </w:t>
      </w:r>
      <w:r w:rsidRPr="006D0A76">
        <w:rPr>
          <w:color w:val="auto"/>
        </w:rPr>
        <w:t xml:space="preserve">маси тіла максимальна концентрація в плазмі </w:t>
      </w:r>
      <w:r w:rsidRPr="006D0A76">
        <w:rPr>
          <w:color w:val="auto"/>
          <w:lang w:val="uk-UA"/>
        </w:rPr>
        <w:t xml:space="preserve">крові </w:t>
      </w:r>
      <w:r w:rsidRPr="006D0A76">
        <w:rPr>
          <w:color w:val="auto"/>
        </w:rPr>
        <w:t>досягається через 2-3 години.</w:t>
      </w:r>
      <w:r w:rsidRPr="006D0A76">
        <w:rPr>
          <w:color w:val="auto"/>
          <w:lang w:val="uk-UA"/>
        </w:rPr>
        <w:t xml:space="preserve"> </w:t>
      </w:r>
      <w:r w:rsidRPr="006D0A76">
        <w:rPr>
          <w:color w:val="auto"/>
        </w:rPr>
        <w:t xml:space="preserve">Період напіввиведення </w:t>
      </w:r>
      <w:r w:rsidRPr="006D0A76">
        <w:rPr>
          <w:color w:val="auto"/>
          <w:lang w:val="uk-UA"/>
        </w:rPr>
        <w:t>в</w:t>
      </w:r>
      <w:r w:rsidRPr="006D0A76">
        <w:rPr>
          <w:color w:val="auto"/>
        </w:rPr>
        <w:t xml:space="preserve"> собак і котів становить 6–8 годин</w:t>
      </w:r>
      <w:r w:rsidRPr="006D0A76">
        <w:rPr>
          <w:color w:val="auto"/>
          <w:lang w:val="uk-UA"/>
        </w:rPr>
        <w:t>.</w:t>
      </w:r>
      <w:r w:rsidRPr="006D0A76">
        <w:rPr>
          <w:color w:val="auto"/>
        </w:rPr>
        <w:t xml:space="preserve"> Абсолютна біодоступність </w:t>
      </w:r>
      <w:r w:rsidRPr="006D0A76">
        <w:rPr>
          <w:color w:val="auto"/>
          <w:lang w:val="uk-UA"/>
        </w:rPr>
        <w:t xml:space="preserve">габапентину </w:t>
      </w:r>
      <w:r w:rsidRPr="006D0A76">
        <w:rPr>
          <w:color w:val="auto"/>
        </w:rPr>
        <w:t>становить близько 60%. Прийом корму не впливає на фармакокінетику</w:t>
      </w:r>
      <w:r w:rsidRPr="006D0A76">
        <w:rPr>
          <w:color w:val="auto"/>
          <w:lang w:val="uk-UA"/>
        </w:rPr>
        <w:t xml:space="preserve"> габапентину</w:t>
      </w:r>
      <w:r w:rsidRPr="006D0A76">
        <w:rPr>
          <w:color w:val="auto"/>
        </w:rPr>
        <w:t xml:space="preserve">. Фармакокінетика не змінюється </w:t>
      </w:r>
      <w:r w:rsidRPr="006D0A76">
        <w:rPr>
          <w:color w:val="auto"/>
          <w:lang w:val="uk-UA"/>
        </w:rPr>
        <w:t>за</w:t>
      </w:r>
      <w:r w:rsidRPr="006D0A76">
        <w:rPr>
          <w:color w:val="auto"/>
        </w:rPr>
        <w:t xml:space="preserve"> повторно</w:t>
      </w:r>
      <w:r w:rsidRPr="006D0A76">
        <w:rPr>
          <w:color w:val="auto"/>
          <w:lang w:val="uk-UA"/>
        </w:rPr>
        <w:t>го</w:t>
      </w:r>
      <w:r w:rsidRPr="006D0A76">
        <w:rPr>
          <w:color w:val="auto"/>
        </w:rPr>
        <w:t xml:space="preserve"> застосуванн</w:t>
      </w:r>
      <w:r w:rsidRPr="006D0A76">
        <w:rPr>
          <w:color w:val="auto"/>
          <w:lang w:val="uk-UA"/>
        </w:rPr>
        <w:t>я</w:t>
      </w:r>
      <w:r w:rsidRPr="006D0A76">
        <w:rPr>
          <w:color w:val="auto"/>
        </w:rPr>
        <w:t>.</w:t>
      </w:r>
    </w:p>
    <w:p w14:paraId="6C19A921" w14:textId="77777777" w:rsidR="006D0A76" w:rsidRDefault="006D0A76" w:rsidP="006D0A76">
      <w:pPr>
        <w:pStyle w:val="13"/>
        <w:ind w:firstLine="709"/>
        <w:jc w:val="right"/>
        <w:rPr>
          <w:sz w:val="24"/>
          <w:szCs w:val="24"/>
          <w:lang w:val="uk-UA"/>
        </w:rPr>
      </w:pPr>
    </w:p>
    <w:p w14:paraId="0DAB7BE0" w14:textId="0A5B5006" w:rsidR="006D0A76" w:rsidRPr="006D0A76" w:rsidRDefault="006D0A76" w:rsidP="006D0A76">
      <w:pPr>
        <w:pStyle w:val="13"/>
        <w:ind w:firstLine="709"/>
        <w:jc w:val="right"/>
        <w:rPr>
          <w:sz w:val="24"/>
          <w:szCs w:val="24"/>
          <w:lang w:val="uk-UA"/>
        </w:rPr>
      </w:pPr>
      <w:r w:rsidRPr="006D0A76">
        <w:rPr>
          <w:sz w:val="24"/>
          <w:szCs w:val="24"/>
          <w:lang w:val="uk-UA"/>
        </w:rPr>
        <w:lastRenderedPageBreak/>
        <w:t>Продовження додатку 1</w:t>
      </w:r>
    </w:p>
    <w:p w14:paraId="41CF4869" w14:textId="06BC00BE" w:rsidR="006D0A76" w:rsidRDefault="006D0A76" w:rsidP="006D0A76">
      <w:pPr>
        <w:ind w:left="6372" w:firstLine="708"/>
        <w:jc w:val="both"/>
      </w:pPr>
      <w:r w:rsidRPr="006D0A76">
        <w:rPr>
          <w:lang w:val="uk-UA"/>
        </w:rPr>
        <w:t>до реєстраційного посвідчення</w:t>
      </w:r>
    </w:p>
    <w:p w14:paraId="4FF3ACA4" w14:textId="54224574" w:rsidR="00E634AC" w:rsidRPr="006D0A76" w:rsidRDefault="00E634AC" w:rsidP="00E634AC">
      <w:pPr>
        <w:ind w:firstLine="708"/>
        <w:jc w:val="both"/>
      </w:pPr>
      <w:r w:rsidRPr="006D0A76">
        <w:t>Габапентин практично не зв'язується з білками плазми</w:t>
      </w:r>
      <w:r w:rsidRPr="006D0A76">
        <w:rPr>
          <w:lang w:val="uk-UA"/>
        </w:rPr>
        <w:t xml:space="preserve"> крові</w:t>
      </w:r>
      <w:r w:rsidRPr="006D0A76">
        <w:t xml:space="preserve">, виводиться нирками в незмінному вигляді, не піддається метаболізму в організмі </w:t>
      </w:r>
      <w:r w:rsidRPr="006D0A76">
        <w:rPr>
          <w:lang w:val="uk-UA"/>
        </w:rPr>
        <w:t>в</w:t>
      </w:r>
      <w:r w:rsidRPr="006D0A76">
        <w:t xml:space="preserve"> кішок, у собак частково метаболізується в печінці. Кліренс габапентину з плазми</w:t>
      </w:r>
      <w:r w:rsidRPr="006D0A76">
        <w:rPr>
          <w:lang w:val="uk-UA"/>
        </w:rPr>
        <w:t xml:space="preserve"> крові </w:t>
      </w:r>
      <w:r w:rsidRPr="006D0A76">
        <w:t xml:space="preserve">знижується </w:t>
      </w:r>
      <w:r w:rsidRPr="006D0A76">
        <w:rPr>
          <w:lang w:val="uk-UA"/>
        </w:rPr>
        <w:t>у</w:t>
      </w:r>
      <w:r w:rsidRPr="006D0A76">
        <w:t xml:space="preserve"> </w:t>
      </w:r>
      <w:r w:rsidRPr="006D0A76">
        <w:rPr>
          <w:lang w:val="uk-UA"/>
        </w:rPr>
        <w:t>старих</w:t>
      </w:r>
      <w:r w:rsidRPr="006D0A76">
        <w:t xml:space="preserve"> тварин та </w:t>
      </w:r>
      <w:r w:rsidRPr="006D0A76">
        <w:rPr>
          <w:lang w:val="uk-UA"/>
        </w:rPr>
        <w:t>тварин</w:t>
      </w:r>
      <w:r w:rsidRPr="006D0A76">
        <w:t xml:space="preserve"> з порушеною функцією нирок. Константа швидкості виведення, кліренс із плазми та нирковий кліренс прямо пропорціональні кліренсу креатиніну. </w:t>
      </w:r>
    </w:p>
    <w:p w14:paraId="5232F807" w14:textId="77777777" w:rsidR="00E634AC" w:rsidRPr="006D0A76" w:rsidRDefault="00E634AC" w:rsidP="00E634AC">
      <w:pPr>
        <w:ind w:firstLine="708"/>
        <w:jc w:val="both"/>
        <w:rPr>
          <w:b/>
        </w:rPr>
      </w:pPr>
      <w:r w:rsidRPr="006D0A76">
        <w:rPr>
          <w:b/>
        </w:rPr>
        <w:t>5. Клінічні особливості</w:t>
      </w:r>
    </w:p>
    <w:p w14:paraId="08620654" w14:textId="77777777" w:rsidR="00E634AC" w:rsidRPr="006D0A76" w:rsidRDefault="00E634AC" w:rsidP="00E634AC">
      <w:pPr>
        <w:ind w:firstLine="708"/>
        <w:jc w:val="both"/>
        <w:rPr>
          <w:b/>
        </w:rPr>
      </w:pPr>
      <w:r w:rsidRPr="006D0A76">
        <w:rPr>
          <w:b/>
        </w:rPr>
        <w:t>5.1 Вид тварин</w:t>
      </w:r>
    </w:p>
    <w:p w14:paraId="33997991" w14:textId="77777777" w:rsidR="00E634AC" w:rsidRPr="006D0A76" w:rsidRDefault="00E634AC" w:rsidP="00E634AC">
      <w:pPr>
        <w:ind w:firstLine="708"/>
        <w:jc w:val="both"/>
        <w:rPr>
          <w:i/>
          <w:iCs/>
          <w:lang w:val="uk-UA" w:eastAsia="en-US"/>
        </w:rPr>
      </w:pPr>
      <w:r w:rsidRPr="006D0A76">
        <w:rPr>
          <w:lang w:val="uk-UA" w:eastAsia="en-US"/>
        </w:rPr>
        <w:t>Собаки та коти.</w:t>
      </w:r>
    </w:p>
    <w:p w14:paraId="21D97A3B" w14:textId="77777777" w:rsidR="00E634AC" w:rsidRPr="006D0A76" w:rsidRDefault="00E634AC" w:rsidP="00E634AC">
      <w:pPr>
        <w:ind w:firstLine="708"/>
        <w:jc w:val="both"/>
        <w:rPr>
          <w:lang w:val="uk-UA"/>
        </w:rPr>
      </w:pPr>
      <w:r w:rsidRPr="006D0A76">
        <w:rPr>
          <w:b/>
          <w:lang w:val="uk-UA"/>
        </w:rPr>
        <w:t>5.2 Показання до застосування</w:t>
      </w:r>
      <w:r w:rsidRPr="006D0A76">
        <w:rPr>
          <w:lang w:val="uk-UA"/>
        </w:rPr>
        <w:t xml:space="preserve"> </w:t>
      </w:r>
    </w:p>
    <w:p w14:paraId="2F32F902" w14:textId="77777777" w:rsidR="00E634AC" w:rsidRPr="006D0A76" w:rsidRDefault="00E634AC" w:rsidP="00E634AC">
      <w:pPr>
        <w:ind w:firstLine="708"/>
        <w:jc w:val="both"/>
        <w:rPr>
          <w:lang w:val="uk-UA"/>
        </w:rPr>
      </w:pPr>
      <w:r w:rsidRPr="006D0A76">
        <w:rPr>
          <w:lang w:val="uk-UA"/>
        </w:rPr>
        <w:t>Препарат</w:t>
      </w:r>
      <w:r w:rsidRPr="006D0A76">
        <w:rPr>
          <w:b/>
          <w:lang w:val="uk-UA"/>
        </w:rPr>
        <w:t xml:space="preserve"> </w:t>
      </w:r>
      <w:r w:rsidRPr="006D0A76">
        <w:rPr>
          <w:lang w:val="uk-UA"/>
        </w:rPr>
        <w:t xml:space="preserve">застосовують котам та собакам для профілактики та зменшення впливу стресу, усунення поведінкових розладів, усунення підвищеної тривожності, в тому числі, під час відвідування ветеринарного лікаря, проведення діагностичних досліджень, при транспортуванні та грумінгу в тварин, а  також для лікування тварин за больового синдрому та для корекції поведінки. </w:t>
      </w:r>
    </w:p>
    <w:p w14:paraId="518797D2" w14:textId="77777777" w:rsidR="00E634AC" w:rsidRPr="006D0A76" w:rsidRDefault="00E634AC" w:rsidP="00E634AC">
      <w:pPr>
        <w:ind w:firstLine="708"/>
        <w:jc w:val="both"/>
      </w:pPr>
      <w:r w:rsidRPr="006D0A76">
        <w:rPr>
          <w:b/>
        </w:rPr>
        <w:t>5.3 Протипоказання</w:t>
      </w:r>
      <w:r w:rsidRPr="006D0A76">
        <w:t xml:space="preserve"> </w:t>
      </w:r>
    </w:p>
    <w:p w14:paraId="59D821D0" w14:textId="77777777" w:rsidR="00E634AC" w:rsidRPr="006D0A76" w:rsidRDefault="00E634AC" w:rsidP="00E634AC">
      <w:pPr>
        <w:ind w:firstLine="708"/>
        <w:jc w:val="both"/>
        <w:rPr>
          <w:rStyle w:val="cs5efed22f5"/>
          <w:color w:val="auto"/>
          <w:lang w:val="uk-UA"/>
        </w:rPr>
      </w:pPr>
      <w:r w:rsidRPr="006D0A76">
        <w:rPr>
          <w:rStyle w:val="cs5efed22f5"/>
          <w:color w:val="auto"/>
          <w:lang w:val="uk-UA"/>
        </w:rPr>
        <w:t xml:space="preserve">Не застосовувати тваринам із відомою </w:t>
      </w:r>
      <w:r w:rsidRPr="006D0A76">
        <w:rPr>
          <w:rStyle w:val="aff4"/>
          <w:b w:val="0"/>
          <w:i w:val="0"/>
          <w:lang w:val="uk-UA"/>
        </w:rPr>
        <w:t>підвищеною індивідуальною чутливістю до компонентів препарату</w:t>
      </w:r>
      <w:r w:rsidRPr="006D0A76">
        <w:rPr>
          <w:rStyle w:val="aff4"/>
          <w:lang w:val="uk-UA"/>
        </w:rPr>
        <w:t>,</w:t>
      </w:r>
      <w:r w:rsidRPr="006D0A76">
        <w:rPr>
          <w:i/>
          <w:lang w:val="uk-UA"/>
        </w:rPr>
        <w:t xml:space="preserve"> </w:t>
      </w:r>
      <w:r w:rsidRPr="006D0A76">
        <w:rPr>
          <w:lang w:val="uk-UA"/>
        </w:rPr>
        <w:t>а також з вираженим порушенням функції нирок і печінки</w:t>
      </w:r>
      <w:r w:rsidRPr="006D0A76">
        <w:rPr>
          <w:rStyle w:val="cs5efed22f5"/>
          <w:color w:val="auto"/>
          <w:lang w:val="uk-UA"/>
        </w:rPr>
        <w:t>!</w:t>
      </w:r>
    </w:p>
    <w:p w14:paraId="53961030" w14:textId="77777777" w:rsidR="00E634AC" w:rsidRPr="006D0A76" w:rsidRDefault="00E634AC" w:rsidP="00E634AC">
      <w:pPr>
        <w:ind w:firstLine="708"/>
        <w:jc w:val="both"/>
        <w:rPr>
          <w:rStyle w:val="cs5efed22f5"/>
          <w:bCs/>
          <w:iCs/>
          <w:color w:val="auto"/>
          <w:lang w:val="uk-UA"/>
        </w:rPr>
      </w:pPr>
      <w:r w:rsidRPr="006D0A76">
        <w:rPr>
          <w:shd w:val="clear" w:color="auto" w:fill="FFFFFF"/>
          <w:lang w:val="uk-UA"/>
        </w:rPr>
        <w:t>Не застосовувати вагітним та лактуючим тваринам.</w:t>
      </w:r>
    </w:p>
    <w:p w14:paraId="3EF7E34B" w14:textId="77777777" w:rsidR="00E634AC" w:rsidRPr="006D0A76" w:rsidRDefault="00E634AC" w:rsidP="00E634AC">
      <w:pPr>
        <w:ind w:firstLine="708"/>
        <w:jc w:val="both"/>
        <w:rPr>
          <w:b/>
          <w:bCs/>
          <w:lang w:val="uk-UA"/>
        </w:rPr>
      </w:pPr>
      <w:r w:rsidRPr="006D0A76">
        <w:rPr>
          <w:b/>
          <w:bCs/>
          <w:lang w:val="uk-UA"/>
        </w:rPr>
        <w:t>Не застосовувати без призначення ветеринарного лікаря.</w:t>
      </w:r>
    </w:p>
    <w:p w14:paraId="46D796A0" w14:textId="77777777" w:rsidR="00E634AC" w:rsidRPr="006D0A76" w:rsidRDefault="00E634AC" w:rsidP="00E634AC">
      <w:pPr>
        <w:ind w:firstLine="708"/>
        <w:jc w:val="both"/>
        <w:rPr>
          <w:rStyle w:val="docdata"/>
          <w:lang w:val="uk-UA"/>
        </w:rPr>
      </w:pPr>
      <w:r w:rsidRPr="006D0A76">
        <w:t>Не застосовувати препарат продуктивним тваринам!</w:t>
      </w:r>
    </w:p>
    <w:p w14:paraId="57BA64EB" w14:textId="77777777" w:rsidR="00E634AC" w:rsidRPr="006D0A76" w:rsidRDefault="00E634AC" w:rsidP="00E634AC">
      <w:pPr>
        <w:shd w:val="clear" w:color="auto" w:fill="FFFFFF"/>
        <w:ind w:firstLine="708"/>
        <w:rPr>
          <w:b/>
          <w:lang w:val="uk-UA"/>
        </w:rPr>
      </w:pPr>
      <w:r w:rsidRPr="006D0A76">
        <w:rPr>
          <w:b/>
          <w:lang w:val="uk-UA"/>
        </w:rPr>
        <w:t>5.4 Побічна дія</w:t>
      </w:r>
    </w:p>
    <w:p w14:paraId="24BE81AF" w14:textId="77777777" w:rsidR="00E634AC" w:rsidRPr="006D0A76" w:rsidRDefault="00E634AC" w:rsidP="00E634AC">
      <w:pPr>
        <w:ind w:firstLine="708"/>
        <w:jc w:val="both"/>
        <w:rPr>
          <w:lang w:val="uk-UA"/>
        </w:rPr>
      </w:pPr>
      <w:r w:rsidRPr="006D0A76">
        <w:rPr>
          <w:lang w:val="uk-UA"/>
        </w:rPr>
        <w:t>За застосування препарату відповідно до листівки-вкладки зазвичай побічні явища і ускладнення не відзначаються.</w:t>
      </w:r>
    </w:p>
    <w:p w14:paraId="3B81E925" w14:textId="77777777" w:rsidR="00E634AC" w:rsidRPr="006D0A76" w:rsidRDefault="00E634AC" w:rsidP="00E634AC">
      <w:pPr>
        <w:ind w:firstLine="708"/>
        <w:jc w:val="both"/>
        <w:rPr>
          <w:lang w:val="uk-UA"/>
        </w:rPr>
      </w:pPr>
      <w:r w:rsidRPr="006D0A76">
        <w:rPr>
          <w:lang w:val="uk-UA"/>
        </w:rPr>
        <w:t xml:space="preserve">У деяких тварин, особливо це стосується котів, можливе посилення слиновиділення, що зникає само собою без застосування лікарських засобів. У котів можливе збільшення апетиту. В рідкісних випадках у тварин, що мають гіперчутливість до компонентів препарату, можлива поява неврологічних явищ: м'язовий тремор, судоми, пригнічення, блювання та порушення роботи травного каналу. </w:t>
      </w:r>
    </w:p>
    <w:p w14:paraId="01DA10BA" w14:textId="77777777" w:rsidR="00E634AC" w:rsidRPr="006D0A76" w:rsidRDefault="00E634AC" w:rsidP="00E634AC">
      <w:pPr>
        <w:widowControl w:val="0"/>
        <w:ind w:right="454" w:firstLine="708"/>
        <w:jc w:val="both"/>
        <w:rPr>
          <w:b/>
        </w:rPr>
      </w:pPr>
      <w:r w:rsidRPr="006D0A76">
        <w:rPr>
          <w:b/>
        </w:rPr>
        <w:t>5.5 Особливі застереження при використанні</w:t>
      </w:r>
    </w:p>
    <w:p w14:paraId="25C072B5" w14:textId="77777777" w:rsidR="00E634AC" w:rsidRPr="006D0A76" w:rsidRDefault="00E634AC" w:rsidP="00E634AC">
      <w:pPr>
        <w:ind w:firstLine="708"/>
        <w:jc w:val="both"/>
        <w:rPr>
          <w:bCs/>
          <w:lang w:val="uk-UA"/>
        </w:rPr>
      </w:pPr>
      <w:r w:rsidRPr="006D0A76">
        <w:rPr>
          <w:bCs/>
          <w:lang w:val="uk-UA"/>
        </w:rPr>
        <w:t>Не застосовувати без призначення ветеринарного лікаря.</w:t>
      </w:r>
    </w:p>
    <w:p w14:paraId="62FD5A01" w14:textId="77777777" w:rsidR="00E634AC" w:rsidRPr="006D0A76" w:rsidRDefault="00E634AC" w:rsidP="00E634AC">
      <w:pPr>
        <w:ind w:firstLine="708"/>
        <w:jc w:val="both"/>
      </w:pPr>
      <w:r w:rsidRPr="006D0A76">
        <w:t xml:space="preserve">Препарат </w:t>
      </w:r>
      <w:r w:rsidRPr="006D0A76">
        <w:rPr>
          <w:lang w:val="uk-UA"/>
        </w:rPr>
        <w:t>застосовувати згідно з листівкою-вкладкою</w:t>
      </w:r>
      <w:r w:rsidRPr="006D0A76">
        <w:t xml:space="preserve">. </w:t>
      </w:r>
    </w:p>
    <w:p w14:paraId="2C72B773" w14:textId="77777777" w:rsidR="00E634AC" w:rsidRPr="006D0A76" w:rsidRDefault="00E634AC" w:rsidP="00E634AC">
      <w:pPr>
        <w:shd w:val="clear" w:color="auto" w:fill="FFFFFF"/>
        <w:ind w:firstLine="708"/>
        <w:jc w:val="both"/>
        <w:rPr>
          <w:spacing w:val="-1"/>
          <w:lang w:val="uk-UA"/>
        </w:rPr>
      </w:pPr>
      <w:r w:rsidRPr="006D0A76">
        <w:rPr>
          <w:spacing w:val="-1"/>
          <w:lang w:val="uk-UA"/>
        </w:rPr>
        <w:t>Слід дотримуватися рекомендованих доз.</w:t>
      </w:r>
    </w:p>
    <w:p w14:paraId="47F47D82" w14:textId="77777777" w:rsidR="00E634AC" w:rsidRPr="006D0A76" w:rsidRDefault="00E634AC" w:rsidP="00E634AC">
      <w:pPr>
        <w:ind w:firstLine="708"/>
        <w:jc w:val="both"/>
        <w:rPr>
          <w:lang w:val="uk-UA"/>
        </w:rPr>
      </w:pPr>
      <w:r w:rsidRPr="006D0A76">
        <w:rPr>
          <w:lang w:val="uk-UA"/>
        </w:rPr>
        <w:t xml:space="preserve">Тваринам із нирковою недостатністю ГАБАПЕНТИН розчин слід призначати обережно, з урахуванням можливих ризиків та  корекцією дозування або кратності застосування. </w:t>
      </w:r>
    </w:p>
    <w:p w14:paraId="097FD00D" w14:textId="77777777" w:rsidR="00E634AC" w:rsidRPr="006D0A76" w:rsidRDefault="00E634AC" w:rsidP="00E634AC">
      <w:pPr>
        <w:pStyle w:val="cs3266721a"/>
        <w:ind w:firstLine="708"/>
        <w:rPr>
          <w:rFonts w:eastAsia="Calibri"/>
          <w:lang w:eastAsia="zh-CN"/>
        </w:rPr>
      </w:pPr>
      <w:r w:rsidRPr="006D0A76">
        <w:rPr>
          <w:rFonts w:eastAsia="Calibri"/>
          <w:lang w:eastAsia="zh-CN"/>
        </w:rPr>
        <w:t xml:space="preserve">Після прийому антациду, </w:t>
      </w:r>
      <w:r w:rsidRPr="006D0A76">
        <w:rPr>
          <w:lang w:eastAsia="ru-RU"/>
        </w:rPr>
        <w:t>що містить алюміній та магній</w:t>
      </w:r>
      <w:r w:rsidRPr="006D0A76">
        <w:rPr>
          <w:rFonts w:eastAsia="Calibri"/>
          <w:lang w:eastAsia="zh-CN"/>
        </w:rPr>
        <w:t>, препарат застосовують через 2 години.</w:t>
      </w:r>
    </w:p>
    <w:p w14:paraId="075D44D0" w14:textId="77777777" w:rsidR="00E634AC" w:rsidRPr="006D0A76" w:rsidRDefault="00E634AC" w:rsidP="00E634AC">
      <w:pPr>
        <w:widowControl w:val="0"/>
        <w:tabs>
          <w:tab w:val="left" w:pos="9355"/>
        </w:tabs>
        <w:ind w:right="-1" w:firstLine="708"/>
        <w:jc w:val="both"/>
        <w:rPr>
          <w:rFonts w:eastAsia="Calibri"/>
          <w:lang w:eastAsia="zh-CN"/>
        </w:rPr>
      </w:pPr>
      <w:r w:rsidRPr="006D0A76">
        <w:rPr>
          <w:rFonts w:eastAsia="Calibri"/>
          <w:lang w:eastAsia="zh-CN"/>
        </w:rPr>
        <w:t>Якщо тварина приймала ГАБАПЕНТИН розчин протягом тривалого часу (понад 14 діб),</w:t>
      </w:r>
      <w:r w:rsidRPr="006D0A76">
        <w:rPr>
          <w:rFonts w:eastAsia="Calibri"/>
          <w:lang w:val="uk-UA" w:eastAsia="zh-CN"/>
        </w:rPr>
        <w:t xml:space="preserve"> необхідно зменшити</w:t>
      </w:r>
      <w:r w:rsidRPr="006D0A76">
        <w:rPr>
          <w:rFonts w:eastAsia="Calibri"/>
          <w:lang w:eastAsia="zh-CN"/>
        </w:rPr>
        <w:t xml:space="preserve"> дозу препарату поступово перед повною відміною. Рекомендована схема</w:t>
      </w:r>
      <w:r w:rsidRPr="006D0A76">
        <w:rPr>
          <w:rFonts w:eastAsia="Calibri"/>
          <w:lang w:val="uk-UA" w:eastAsia="zh-CN"/>
        </w:rPr>
        <w:t xml:space="preserve"> </w:t>
      </w:r>
      <w:r w:rsidRPr="006D0A76">
        <w:rPr>
          <w:rFonts w:eastAsia="Calibri"/>
          <w:lang w:eastAsia="zh-CN"/>
        </w:rPr>
        <w:t xml:space="preserve">відміни </w:t>
      </w:r>
      <w:r w:rsidRPr="006D0A76">
        <w:rPr>
          <w:rFonts w:eastAsia="Calibri"/>
          <w:lang w:val="uk-UA" w:eastAsia="zh-CN"/>
        </w:rPr>
        <w:t>за</w:t>
      </w:r>
      <w:r w:rsidRPr="006D0A76">
        <w:rPr>
          <w:rFonts w:eastAsia="Calibri"/>
          <w:lang w:eastAsia="zh-CN"/>
        </w:rPr>
        <w:t xml:space="preserve"> тривало</w:t>
      </w:r>
      <w:r w:rsidRPr="006D0A76">
        <w:rPr>
          <w:rFonts w:eastAsia="Calibri"/>
          <w:lang w:val="uk-UA" w:eastAsia="zh-CN"/>
        </w:rPr>
        <w:t>го</w:t>
      </w:r>
      <w:r w:rsidRPr="006D0A76">
        <w:rPr>
          <w:rFonts w:eastAsia="Calibri"/>
          <w:lang w:eastAsia="zh-CN"/>
        </w:rPr>
        <w:t xml:space="preserve"> застосуванн</w:t>
      </w:r>
      <w:r w:rsidRPr="006D0A76">
        <w:rPr>
          <w:rFonts w:eastAsia="Calibri"/>
          <w:lang w:val="uk-UA" w:eastAsia="zh-CN"/>
        </w:rPr>
        <w:t>я</w:t>
      </w:r>
      <w:r w:rsidRPr="006D0A76">
        <w:rPr>
          <w:rFonts w:eastAsia="Calibri"/>
          <w:lang w:eastAsia="zh-CN"/>
        </w:rPr>
        <w:t xml:space="preserve"> передбачає поступове зниження дозування</w:t>
      </w:r>
      <w:r w:rsidRPr="006D0A76">
        <w:rPr>
          <w:rFonts w:eastAsia="Calibri"/>
          <w:lang w:val="uk-UA" w:eastAsia="zh-CN"/>
        </w:rPr>
        <w:t xml:space="preserve"> </w:t>
      </w:r>
      <w:r w:rsidRPr="006D0A76">
        <w:rPr>
          <w:rFonts w:eastAsia="Calibri"/>
          <w:lang w:eastAsia="zh-CN"/>
        </w:rPr>
        <w:t xml:space="preserve">протягом 7–14 діб (зазвичай на 25–50% кожні 3–5 </w:t>
      </w:r>
      <w:r w:rsidRPr="006D0A76">
        <w:rPr>
          <w:rFonts w:eastAsia="Calibri"/>
          <w:lang w:val="uk-UA" w:eastAsia="zh-CN"/>
        </w:rPr>
        <w:t>діб</w:t>
      </w:r>
      <w:r w:rsidRPr="006D0A76">
        <w:rPr>
          <w:rFonts w:eastAsia="Calibri"/>
          <w:lang w:eastAsia="zh-CN"/>
        </w:rPr>
        <w:t>) під наглядом лікаря</w:t>
      </w:r>
      <w:r w:rsidRPr="006D0A76">
        <w:rPr>
          <w:rFonts w:eastAsia="Calibri"/>
          <w:lang w:val="uk-UA" w:eastAsia="zh-CN"/>
        </w:rPr>
        <w:t xml:space="preserve"> </w:t>
      </w:r>
      <w:r w:rsidRPr="006D0A76">
        <w:rPr>
          <w:rFonts w:eastAsia="Calibri"/>
          <w:lang w:eastAsia="zh-CN"/>
        </w:rPr>
        <w:t>ветеринарної медицини, щоб уникнути ризику виникнення «рикошетного» болю або</w:t>
      </w:r>
      <w:r w:rsidRPr="006D0A76">
        <w:rPr>
          <w:rFonts w:eastAsia="Calibri"/>
          <w:lang w:val="uk-UA" w:eastAsia="zh-CN"/>
        </w:rPr>
        <w:t xml:space="preserve"> </w:t>
      </w:r>
      <w:r w:rsidRPr="006D0A76">
        <w:rPr>
          <w:rFonts w:eastAsia="Calibri"/>
          <w:lang w:eastAsia="zh-CN"/>
        </w:rPr>
        <w:t>посилення тривожності.</w:t>
      </w:r>
      <w:r w:rsidRPr="006D0A76">
        <w:rPr>
          <w:rFonts w:eastAsia="Calibri"/>
          <w:b/>
          <w:lang w:eastAsia="zh-CN"/>
        </w:rPr>
        <w:t xml:space="preserve"> </w:t>
      </w:r>
    </w:p>
    <w:p w14:paraId="2D442159" w14:textId="77777777" w:rsidR="00E634AC" w:rsidRPr="006D0A76" w:rsidRDefault="00E634AC" w:rsidP="00E634AC">
      <w:pPr>
        <w:widowControl w:val="0"/>
        <w:ind w:right="454" w:firstLine="708"/>
        <w:jc w:val="both"/>
        <w:rPr>
          <w:b/>
        </w:rPr>
      </w:pPr>
      <w:r w:rsidRPr="006D0A76">
        <w:rPr>
          <w:b/>
        </w:rPr>
        <w:t>5.6 Використання під час вагітності, лактації, несучості</w:t>
      </w:r>
    </w:p>
    <w:p w14:paraId="29C01499" w14:textId="77777777" w:rsidR="00E634AC" w:rsidRPr="006D0A76" w:rsidRDefault="00E634AC" w:rsidP="00E634AC">
      <w:pPr>
        <w:ind w:firstLine="708"/>
        <w:jc w:val="both"/>
        <w:rPr>
          <w:lang w:val="uk-UA"/>
        </w:rPr>
      </w:pPr>
      <w:r w:rsidRPr="006D0A76">
        <w:rPr>
          <w:shd w:val="clear" w:color="auto" w:fill="FFFFFF"/>
          <w:lang w:val="uk-UA"/>
        </w:rPr>
        <w:t>Не застосовувати вагітним та лактуючим тваринам.</w:t>
      </w:r>
    </w:p>
    <w:p w14:paraId="48E2ED13" w14:textId="77777777" w:rsidR="00E634AC" w:rsidRPr="006D0A76" w:rsidRDefault="00E634AC" w:rsidP="00E634AC">
      <w:pPr>
        <w:shd w:val="clear" w:color="auto" w:fill="FFFFFF"/>
        <w:ind w:firstLine="708"/>
        <w:jc w:val="both"/>
        <w:rPr>
          <w:b/>
          <w:lang w:val="uk-UA"/>
        </w:rPr>
      </w:pPr>
      <w:r w:rsidRPr="006D0A76">
        <w:rPr>
          <w:b/>
          <w:lang w:val="uk-UA"/>
        </w:rPr>
        <w:t>5.7 Взаємодія з іншими засобами та інші форми взаємодії</w:t>
      </w:r>
    </w:p>
    <w:p w14:paraId="44ADD449" w14:textId="77777777" w:rsidR="00E634AC" w:rsidRPr="006D0A76" w:rsidRDefault="00E634AC" w:rsidP="00E634AC">
      <w:pPr>
        <w:pStyle w:val="cs3266721a"/>
        <w:ind w:firstLine="708"/>
        <w:rPr>
          <w:rFonts w:eastAsia="Calibri"/>
          <w:lang w:eastAsia="zh-CN"/>
        </w:rPr>
      </w:pPr>
      <w:r w:rsidRPr="006D0A76">
        <w:rPr>
          <w:rFonts w:eastAsia="Calibri"/>
          <w:lang w:eastAsia="zh-CN"/>
        </w:rPr>
        <w:t xml:space="preserve">Після прийому антациду, </w:t>
      </w:r>
      <w:r w:rsidRPr="006D0A76">
        <w:rPr>
          <w:lang w:eastAsia="ru-RU"/>
        </w:rPr>
        <w:t>що містить алюміній та магній</w:t>
      </w:r>
      <w:r w:rsidRPr="006D0A76">
        <w:rPr>
          <w:rFonts w:eastAsia="Calibri"/>
          <w:lang w:eastAsia="zh-CN"/>
        </w:rPr>
        <w:t>, препарат застосовують через 2 години.</w:t>
      </w:r>
    </w:p>
    <w:p w14:paraId="5BB5BAF3" w14:textId="77777777" w:rsidR="00E634AC" w:rsidRPr="006D0A76" w:rsidRDefault="00E634AC" w:rsidP="00E634AC">
      <w:pPr>
        <w:pStyle w:val="cs3266721a"/>
        <w:ind w:firstLine="708"/>
      </w:pPr>
      <w:r w:rsidRPr="006D0A76">
        <w:t>Препарат посилює дію нестероїдних протизапальних засобів (НПЗЗ) та опіоїдних анальгетиків за хронічного та невропатичного болю. При одночасному застосуванні з опіоїдами може спостерігатися підвищення концентрації габапентину в плазмі та ризик пригнічення ЦНС.</w:t>
      </w:r>
    </w:p>
    <w:p w14:paraId="65D1F296" w14:textId="1AE3DF9C" w:rsidR="00E634AC" w:rsidRPr="006D0A76" w:rsidRDefault="00E634AC" w:rsidP="00E634AC">
      <w:pPr>
        <w:pStyle w:val="cs3266721a"/>
        <w:ind w:firstLine="708"/>
      </w:pPr>
      <w:r w:rsidRPr="006D0A76">
        <w:t>Спільне застосування з депресантами центральної нервової системи (фенобарбітал, антигістамінні препарати, транквілізатори) посилює седативну дію та може викликати виражену сонливість.</w:t>
      </w:r>
    </w:p>
    <w:p w14:paraId="7C6AA55F" w14:textId="77777777" w:rsidR="006D0A76" w:rsidRDefault="006D0A76" w:rsidP="005F3C80">
      <w:pPr>
        <w:pStyle w:val="13"/>
        <w:ind w:firstLine="709"/>
        <w:jc w:val="right"/>
        <w:rPr>
          <w:sz w:val="24"/>
          <w:szCs w:val="24"/>
          <w:lang w:val="uk-UA"/>
        </w:rPr>
      </w:pPr>
    </w:p>
    <w:p w14:paraId="3C02C196" w14:textId="6D4B4A34" w:rsidR="005F3C80" w:rsidRPr="006D0A76" w:rsidRDefault="005F3C80" w:rsidP="005F3C80">
      <w:pPr>
        <w:pStyle w:val="13"/>
        <w:ind w:firstLine="709"/>
        <w:jc w:val="right"/>
        <w:rPr>
          <w:sz w:val="24"/>
          <w:szCs w:val="24"/>
          <w:lang w:val="uk-UA"/>
        </w:rPr>
      </w:pPr>
      <w:bookmarkStart w:id="0" w:name="_GoBack"/>
      <w:bookmarkEnd w:id="0"/>
      <w:r w:rsidRPr="006D0A76">
        <w:rPr>
          <w:sz w:val="24"/>
          <w:szCs w:val="24"/>
          <w:lang w:val="uk-UA"/>
        </w:rPr>
        <w:lastRenderedPageBreak/>
        <w:t>Продовження додатку 1</w:t>
      </w:r>
    </w:p>
    <w:p w14:paraId="3306137A" w14:textId="50C979A6" w:rsidR="005F3C80" w:rsidRPr="006D0A76" w:rsidRDefault="005F3C80" w:rsidP="005F3C80">
      <w:pPr>
        <w:pStyle w:val="cs3266721a"/>
        <w:ind w:left="6372" w:firstLine="708"/>
        <w:rPr>
          <w:rFonts w:eastAsia="Calibri"/>
          <w:lang w:eastAsia="zh-CN"/>
        </w:rPr>
      </w:pPr>
      <w:r w:rsidRPr="006D0A76">
        <w:t>до реєстраційного посвідчення</w:t>
      </w:r>
    </w:p>
    <w:p w14:paraId="42545D6D" w14:textId="77777777" w:rsidR="00E634AC" w:rsidRPr="006D0A76" w:rsidRDefault="00E634AC" w:rsidP="00E634AC">
      <w:pPr>
        <w:widowControl w:val="0"/>
        <w:ind w:firstLine="708"/>
        <w:jc w:val="both"/>
        <w:rPr>
          <w:b/>
          <w:lang w:val="uk-UA"/>
        </w:rPr>
      </w:pPr>
      <w:r w:rsidRPr="006D0A76">
        <w:rPr>
          <w:b/>
        </w:rPr>
        <w:t>5.8 Дози і способи введення тваринам різного віку</w:t>
      </w:r>
    </w:p>
    <w:p w14:paraId="3990FEE2" w14:textId="77777777" w:rsidR="00E634AC" w:rsidRPr="006D0A76" w:rsidRDefault="00E634AC" w:rsidP="00E634AC">
      <w:pPr>
        <w:ind w:firstLine="708"/>
        <w:jc w:val="both"/>
      </w:pPr>
      <w:r w:rsidRPr="006D0A76">
        <w:rPr>
          <w:lang w:val="uk-UA"/>
        </w:rPr>
        <w:t>Перорально, самостійно або з невеликою кількістю корму:</w:t>
      </w:r>
    </w:p>
    <w:p w14:paraId="0A8EE73E" w14:textId="77777777" w:rsidR="00E634AC" w:rsidRPr="006D0A76" w:rsidRDefault="00E634AC" w:rsidP="00E634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  <w:rPr>
          <w:lang w:val="uk-UA"/>
        </w:rPr>
      </w:pPr>
      <w:r w:rsidRPr="006D0A76">
        <w:rPr>
          <w:b/>
          <w:bCs/>
          <w:lang w:val="uk-UA"/>
        </w:rPr>
        <w:t xml:space="preserve">- за больового синдрому </w:t>
      </w:r>
      <w:r w:rsidRPr="006D0A76">
        <w:rPr>
          <w:bCs/>
          <w:lang w:val="uk-UA"/>
        </w:rPr>
        <w:t xml:space="preserve">собакам та котам доза становить </w:t>
      </w:r>
      <w:r w:rsidRPr="006D0A76">
        <w:rPr>
          <w:b/>
          <w:bCs/>
          <w:lang w:val="uk-UA"/>
        </w:rPr>
        <w:t xml:space="preserve"> </w:t>
      </w:r>
      <w:r w:rsidRPr="006D0A76">
        <w:rPr>
          <w:lang w:val="uk-UA"/>
        </w:rPr>
        <w:t>0,1- 0,3 мл препарату  (що відповідає 5 –15 мг габапентину) на 1 кг маси тіла тварини 2-3 рази на добу.</w:t>
      </w:r>
    </w:p>
    <w:p w14:paraId="2749DF69" w14:textId="77777777" w:rsidR="00E634AC" w:rsidRPr="006D0A76" w:rsidRDefault="00E634AC" w:rsidP="00E634AC">
      <w:pPr>
        <w:ind w:firstLine="708"/>
        <w:jc w:val="both"/>
        <w:rPr>
          <w:lang w:val="uk-UA"/>
        </w:rPr>
      </w:pPr>
      <w:r w:rsidRPr="006D0A76">
        <w:rPr>
          <w:lang w:val="uk-UA"/>
        </w:rPr>
        <w:t xml:space="preserve">Часте застосування в невисоких дозах підтримує мінімальні цільові концентрації габапентину в плазмі крові в собак та котів, оскільки габапентин швидко всмоктується та виводиться. </w:t>
      </w:r>
    </w:p>
    <w:p w14:paraId="580C8739" w14:textId="77777777" w:rsidR="00E634AC" w:rsidRPr="006D0A76" w:rsidRDefault="00E634AC" w:rsidP="00E634AC">
      <w:pPr>
        <w:widowControl w:val="0"/>
        <w:ind w:firstLine="567"/>
        <w:jc w:val="both"/>
        <w:rPr>
          <w:lang w:val="uk-UA"/>
        </w:rPr>
      </w:pPr>
      <w:r w:rsidRPr="006D0A76">
        <w:rPr>
          <w:lang w:val="uk-UA"/>
        </w:rPr>
        <w:t>Рекомендована тривалість застосування препарату – до 14 діб, подальше застосування тваринам повинне ґрунтуватись на індивідуальній оцінці користі і ризику лікарем ветеринарної медицини.</w:t>
      </w:r>
    </w:p>
    <w:p w14:paraId="73AC8BDE" w14:textId="77777777" w:rsidR="00E634AC" w:rsidRPr="006D0A76" w:rsidRDefault="00E634AC" w:rsidP="00E634AC">
      <w:pPr>
        <w:ind w:firstLine="708"/>
        <w:jc w:val="both"/>
        <w:rPr>
          <w:lang w:val="uk-UA"/>
        </w:rPr>
      </w:pPr>
      <w:r w:rsidRPr="006D0A76">
        <w:rPr>
          <w:b/>
          <w:bCs/>
          <w:lang w:val="uk-UA"/>
        </w:rPr>
        <w:t>- для профілактики стресу</w:t>
      </w:r>
      <w:r w:rsidRPr="006D0A76">
        <w:rPr>
          <w:lang w:val="uk-UA"/>
        </w:rPr>
        <w:t xml:space="preserve"> </w:t>
      </w:r>
      <w:r w:rsidRPr="006D0A76">
        <w:rPr>
          <w:b/>
          <w:bCs/>
          <w:lang w:val="uk-UA"/>
        </w:rPr>
        <w:t>та корекції поведінки тварин</w:t>
      </w:r>
      <w:r w:rsidRPr="006D0A76">
        <w:rPr>
          <w:lang w:val="uk-UA"/>
        </w:rPr>
        <w:t xml:space="preserve"> </w:t>
      </w:r>
      <w:r w:rsidRPr="006D0A76">
        <w:rPr>
          <w:bCs/>
          <w:iCs/>
          <w:lang w:val="uk-UA"/>
        </w:rPr>
        <w:t xml:space="preserve">(транспортування тварин, грумінг, візит до лікаря ветеринарної медицини, діагностичні дослідження, гучні звуки, інші фобії) </w:t>
      </w:r>
      <w:r w:rsidRPr="006D0A76">
        <w:rPr>
          <w:lang w:val="uk-UA"/>
        </w:rPr>
        <w:t>- за 60-90 хвилин до планової події одноразово рекомендовані наступні дози:</w:t>
      </w:r>
    </w:p>
    <w:p w14:paraId="3D7EAEA6" w14:textId="77777777" w:rsidR="00E634AC" w:rsidRPr="006D0A76" w:rsidRDefault="00E634AC" w:rsidP="00E634AC">
      <w:pPr>
        <w:pStyle w:val="aff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709"/>
        <w:jc w:val="both"/>
        <w:rPr>
          <w:rFonts w:eastAsia="Times New Roman"/>
          <w:sz w:val="24"/>
          <w:szCs w:val="24"/>
          <w:lang w:val="uk-UA"/>
        </w:rPr>
      </w:pPr>
      <w:r w:rsidRPr="006D0A76">
        <w:rPr>
          <w:rFonts w:eastAsia="Times New Roman"/>
          <w:sz w:val="24"/>
          <w:szCs w:val="24"/>
          <w:lang w:val="uk-UA"/>
        </w:rPr>
        <w:t>коти – 0,2- 0,6 мл препарату (що відповідає 10–30 мг діючої речовини) на 1 кг маси тіла тварини;</w:t>
      </w:r>
    </w:p>
    <w:p w14:paraId="3FFED877" w14:textId="77777777" w:rsidR="00E634AC" w:rsidRPr="006D0A76" w:rsidRDefault="00E634AC" w:rsidP="00E634AC">
      <w:pPr>
        <w:pStyle w:val="aff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709"/>
        <w:jc w:val="both"/>
        <w:rPr>
          <w:rFonts w:eastAsia="Times New Roman"/>
          <w:sz w:val="24"/>
          <w:szCs w:val="24"/>
          <w:lang w:val="uk-UA"/>
        </w:rPr>
      </w:pPr>
      <w:r w:rsidRPr="006D0A76">
        <w:rPr>
          <w:rFonts w:eastAsia="Times New Roman"/>
          <w:sz w:val="24"/>
          <w:szCs w:val="24"/>
          <w:lang w:val="uk-UA"/>
        </w:rPr>
        <w:t xml:space="preserve">собаки – 0,4 - 1,2 мл препарату (що відповідає 20–60 мг діючої речовини) на 1 кг маси тіла тварини. </w:t>
      </w:r>
    </w:p>
    <w:p w14:paraId="2EC335FB" w14:textId="77777777" w:rsidR="00E634AC" w:rsidRPr="006D0A76" w:rsidRDefault="00E634AC" w:rsidP="00E634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  <w:rPr>
          <w:lang w:val="uk-UA"/>
        </w:rPr>
      </w:pPr>
      <w:r w:rsidRPr="006D0A76">
        <w:rPr>
          <w:lang w:val="uk-UA"/>
        </w:rPr>
        <w:t>Для профілактики стресу в собак цей препарат не є препаратом першого вибору і має меншу ефективність, ніж для котів.</w:t>
      </w:r>
    </w:p>
    <w:p w14:paraId="11FAB57A" w14:textId="77777777" w:rsidR="00E634AC" w:rsidRPr="006D0A76" w:rsidRDefault="00E634AC" w:rsidP="00E634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  <w:rPr>
          <w:b/>
          <w:lang w:val="uk-UA"/>
        </w:rPr>
      </w:pPr>
      <w:r w:rsidRPr="006D0A76">
        <w:rPr>
          <w:b/>
          <w:lang w:val="uk-UA"/>
        </w:rPr>
        <w:t>Не застосовувати дози, більші за 100 мг габапентину на 1 кг маси тіла тварини (не більше, ніж 2 мл препарату на 1 кг маси тіла тварини)!</w:t>
      </w:r>
    </w:p>
    <w:p w14:paraId="5A10D43F" w14:textId="77777777" w:rsidR="00E634AC" w:rsidRPr="006D0A76" w:rsidRDefault="00E634AC" w:rsidP="00E634AC">
      <w:pPr>
        <w:pStyle w:val="aff3"/>
        <w:shd w:val="clear" w:color="auto" w:fill="FFFFFF"/>
        <w:spacing w:after="0"/>
        <w:ind w:left="0" w:firstLine="708"/>
        <w:jc w:val="both"/>
        <w:rPr>
          <w:sz w:val="24"/>
          <w:szCs w:val="24"/>
          <w:lang w:val="uk-UA"/>
        </w:rPr>
      </w:pPr>
      <w:r w:rsidRPr="006D0A76">
        <w:rPr>
          <w:sz w:val="24"/>
          <w:szCs w:val="24"/>
          <w:lang w:val="uk-UA"/>
        </w:rPr>
        <w:t xml:space="preserve">Доза препарату може коливатися залежно від типу нервової діяльності, стану збудження, віку та маси тіла тварини. Рекомендовано починати застосування препарату з середньої дози та підбирати індивідуальну дозу для кожної тварини (до досягнення легкого седативного ефекту), враховуючи реакцію організму  та індивідуальну чутливість кожної тварини. </w:t>
      </w:r>
    </w:p>
    <w:p w14:paraId="52AB674D" w14:textId="77777777" w:rsidR="00E634AC" w:rsidRPr="006D0A76" w:rsidRDefault="00E634AC" w:rsidP="00E634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 w:rsidRPr="006D0A76">
        <w:rPr>
          <w:lang w:val="uk-UA"/>
        </w:rPr>
        <w:t>Тривалість дії</w:t>
      </w:r>
      <w:r w:rsidRPr="006D0A76">
        <w:t xml:space="preserve"> препарат</w:t>
      </w:r>
      <w:r w:rsidRPr="006D0A76">
        <w:rPr>
          <w:lang w:val="uk-UA"/>
        </w:rPr>
        <w:t>у становить</w:t>
      </w:r>
      <w:r w:rsidRPr="006D0A76">
        <w:t xml:space="preserve"> 8-12 годин. Може спостерігатися млявість, порушення координації рухів, що пройде після закінчення дії.</w:t>
      </w:r>
    </w:p>
    <w:p w14:paraId="14A6DCD4" w14:textId="77777777" w:rsidR="00E634AC" w:rsidRPr="006D0A76" w:rsidRDefault="00E634AC" w:rsidP="00E634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  <w:rPr>
          <w:lang w:val="uk-UA"/>
        </w:rPr>
      </w:pPr>
      <w:r w:rsidRPr="006D0A76">
        <w:rPr>
          <w:lang w:val="uk-UA"/>
        </w:rPr>
        <w:t xml:space="preserve">Препарат може використовуватись у складі комплексної терапії з іншими патогенетичними засобами. Слід уникати порушення режиму застосування препарату, оскільки це може призвести до зниження терапевтичної ефективності. </w:t>
      </w:r>
    </w:p>
    <w:p w14:paraId="60725B0C" w14:textId="77777777" w:rsidR="00E634AC" w:rsidRPr="006D0A76" w:rsidRDefault="00E634AC" w:rsidP="00E634AC">
      <w:pPr>
        <w:ind w:firstLine="708"/>
        <w:jc w:val="both"/>
        <w:rPr>
          <w:lang w:val="uk-UA"/>
        </w:rPr>
      </w:pPr>
      <w:r w:rsidRPr="006D0A76">
        <w:rPr>
          <w:lang w:val="uk-UA"/>
        </w:rPr>
        <w:t>Після кожного застосування шприц-дозатор необхідно промити водою та висушити.</w:t>
      </w:r>
    </w:p>
    <w:p w14:paraId="11E4A517" w14:textId="77777777" w:rsidR="00E634AC" w:rsidRPr="006D0A76" w:rsidRDefault="00E634AC" w:rsidP="00E634AC">
      <w:pPr>
        <w:widowControl w:val="0"/>
        <w:ind w:right="454" w:firstLine="708"/>
        <w:jc w:val="both"/>
        <w:rPr>
          <w:b/>
        </w:rPr>
      </w:pPr>
      <w:r w:rsidRPr="006D0A76">
        <w:rPr>
          <w:b/>
        </w:rPr>
        <w:t>5.9 Передозування (симптоми, невідкладні заходи, антидоти)</w:t>
      </w:r>
    </w:p>
    <w:p w14:paraId="0B9E316F" w14:textId="77777777" w:rsidR="00E634AC" w:rsidRPr="006D0A76" w:rsidRDefault="00E634AC" w:rsidP="00E634AC">
      <w:pPr>
        <w:ind w:firstLine="708"/>
        <w:jc w:val="both"/>
        <w:rPr>
          <w:lang w:val="uk-UA"/>
        </w:rPr>
      </w:pPr>
      <w:r w:rsidRPr="006D0A76">
        <w:rPr>
          <w:lang w:val="uk-UA"/>
        </w:rPr>
        <w:t>За передозування препарату</w:t>
      </w:r>
      <w:r w:rsidRPr="006D0A76">
        <w:t xml:space="preserve"> Г</w:t>
      </w:r>
      <w:r w:rsidRPr="006D0A76">
        <w:rPr>
          <w:lang w:val="uk-UA"/>
        </w:rPr>
        <w:t xml:space="preserve">АБАПЕНТИН розчин у тварини може спостерігатися пригнічений стан, відмова від корму, </w:t>
      </w:r>
      <w:r w:rsidRPr="006D0A76">
        <w:t>сонливість, летаргія</w:t>
      </w:r>
      <w:r w:rsidRPr="006D0A76">
        <w:rPr>
          <w:lang w:val="uk-UA"/>
        </w:rPr>
        <w:t>, розлад травного  каналу. У цих випадках тварині призначають ентеросорбенти та засоби симптоматичної терапії.</w:t>
      </w:r>
      <w:r w:rsidRPr="006D0A76">
        <w:t xml:space="preserve"> Хворим</w:t>
      </w:r>
      <w:r w:rsidRPr="006D0A76">
        <w:rPr>
          <w:lang w:val="uk-UA"/>
        </w:rPr>
        <w:t xml:space="preserve"> тваринам</w:t>
      </w:r>
      <w:r w:rsidRPr="006D0A76">
        <w:t xml:space="preserve"> з тяжкою нирковою недостатністю може бути показаний гемодіаліз.</w:t>
      </w:r>
    </w:p>
    <w:p w14:paraId="4EDB2D24" w14:textId="77777777" w:rsidR="00E634AC" w:rsidRPr="006D0A76" w:rsidRDefault="00E634AC" w:rsidP="00E634AC">
      <w:pPr>
        <w:ind w:firstLine="708"/>
        <w:jc w:val="both"/>
        <w:rPr>
          <w:lang w:val="uk-UA"/>
        </w:rPr>
      </w:pPr>
      <w:r w:rsidRPr="006D0A76">
        <w:rPr>
          <w:lang w:val="uk-UA"/>
        </w:rPr>
        <w:t xml:space="preserve">За передозування необхідно негайно звернутися до ветеринарного лікаря, при собі мати упаковку препарату або листівку-вкладку. </w:t>
      </w:r>
    </w:p>
    <w:p w14:paraId="495F924C" w14:textId="77777777" w:rsidR="00E634AC" w:rsidRPr="006D0A76" w:rsidRDefault="00E634AC" w:rsidP="00E634AC">
      <w:pPr>
        <w:ind w:firstLine="708"/>
        <w:jc w:val="both"/>
        <w:rPr>
          <w:lang w:val="uk-UA"/>
        </w:rPr>
      </w:pPr>
      <w:r w:rsidRPr="006D0A76">
        <w:rPr>
          <w:lang w:val="uk-UA"/>
        </w:rPr>
        <w:t>При передозуванні лікування симптоматичне.</w:t>
      </w:r>
    </w:p>
    <w:p w14:paraId="727C4DBD" w14:textId="77777777" w:rsidR="00E634AC" w:rsidRPr="006D0A76" w:rsidRDefault="00E634AC" w:rsidP="00E634AC">
      <w:pPr>
        <w:pStyle w:val="cs80d9435b"/>
        <w:ind w:firstLine="708"/>
        <w:rPr>
          <w:shd w:val="clear" w:color="auto" w:fill="FFFFFF"/>
        </w:rPr>
      </w:pPr>
      <w:r w:rsidRPr="006D0A76">
        <w:rPr>
          <w:shd w:val="clear" w:color="auto" w:fill="FFFFFF"/>
        </w:rPr>
        <w:t>Слід дотримуватися рекомендованих доз.</w:t>
      </w:r>
    </w:p>
    <w:p w14:paraId="25BF4D96" w14:textId="77777777" w:rsidR="00E634AC" w:rsidRPr="006D0A76" w:rsidRDefault="00E634AC" w:rsidP="00E634AC">
      <w:pPr>
        <w:widowControl w:val="0"/>
        <w:ind w:right="454" w:firstLine="708"/>
        <w:jc w:val="both"/>
        <w:rPr>
          <w:b/>
        </w:rPr>
      </w:pPr>
      <w:r w:rsidRPr="006D0A76">
        <w:rPr>
          <w:b/>
        </w:rPr>
        <w:t>5.10 Спеціальні застереження</w:t>
      </w:r>
    </w:p>
    <w:p w14:paraId="37104C22" w14:textId="77777777" w:rsidR="00E634AC" w:rsidRPr="006D0A76" w:rsidRDefault="00E634AC" w:rsidP="00E634AC">
      <w:pPr>
        <w:ind w:firstLine="708"/>
        <w:jc w:val="both"/>
      </w:pPr>
      <w:r w:rsidRPr="006D0A76">
        <w:t xml:space="preserve">Препарат </w:t>
      </w:r>
      <w:r w:rsidRPr="006D0A76">
        <w:rPr>
          <w:lang w:val="uk-UA"/>
        </w:rPr>
        <w:t>застосовувати згідно з листівкою-вкладкою</w:t>
      </w:r>
      <w:r w:rsidRPr="006D0A76">
        <w:t xml:space="preserve">. </w:t>
      </w:r>
    </w:p>
    <w:p w14:paraId="074589A0" w14:textId="77777777" w:rsidR="00E634AC" w:rsidRPr="006D0A76" w:rsidRDefault="00E634AC" w:rsidP="00E634AC">
      <w:pPr>
        <w:shd w:val="clear" w:color="auto" w:fill="FFFFFF"/>
        <w:ind w:firstLine="708"/>
        <w:jc w:val="both"/>
        <w:rPr>
          <w:spacing w:val="-1"/>
          <w:lang w:val="uk-UA"/>
        </w:rPr>
      </w:pPr>
      <w:r w:rsidRPr="006D0A76">
        <w:rPr>
          <w:spacing w:val="-1"/>
          <w:lang w:val="uk-UA"/>
        </w:rPr>
        <w:t>Слід дотримуватися рекомендованих доз.</w:t>
      </w:r>
    </w:p>
    <w:p w14:paraId="11BD675D" w14:textId="77777777" w:rsidR="00E634AC" w:rsidRPr="006D0A76" w:rsidRDefault="00E634AC" w:rsidP="00E634AC">
      <w:pPr>
        <w:widowControl w:val="0"/>
        <w:ind w:firstLine="708"/>
        <w:jc w:val="both"/>
        <w:rPr>
          <w:rStyle w:val="cs7fb5c6073"/>
        </w:rPr>
      </w:pPr>
      <w:r w:rsidRPr="006D0A76">
        <w:rPr>
          <w:rStyle w:val="cs5efed22f10"/>
          <w:color w:val="auto"/>
        </w:rPr>
        <w:t>Клінічних ознак передозування при застосуванні препарату у рекомендованих дозах не спостерігається.</w:t>
      </w:r>
    </w:p>
    <w:p w14:paraId="2A332305" w14:textId="77777777" w:rsidR="00E634AC" w:rsidRPr="006D0A76" w:rsidRDefault="00E634AC" w:rsidP="00E634AC">
      <w:pPr>
        <w:widowControl w:val="0"/>
        <w:ind w:right="454" w:firstLine="708"/>
        <w:jc w:val="both"/>
        <w:rPr>
          <w:b/>
        </w:rPr>
      </w:pPr>
      <w:r w:rsidRPr="006D0A76">
        <w:rPr>
          <w:b/>
        </w:rPr>
        <w:t>5.11 Період виведення (каренція)</w:t>
      </w:r>
    </w:p>
    <w:p w14:paraId="06D32E31" w14:textId="77777777" w:rsidR="00E634AC" w:rsidRPr="006D0A76" w:rsidRDefault="00E634AC" w:rsidP="00E634AC">
      <w:pPr>
        <w:ind w:right="454" w:firstLine="708"/>
        <w:jc w:val="both"/>
        <w:rPr>
          <w:b/>
        </w:rPr>
      </w:pPr>
      <w:r w:rsidRPr="006D0A76">
        <w:rPr>
          <w:lang w:val="uk-UA"/>
        </w:rPr>
        <w:t>Для непродуктивних тварин не застосовується.</w:t>
      </w:r>
      <w:r w:rsidRPr="006D0A76">
        <w:rPr>
          <w:b/>
        </w:rPr>
        <w:t xml:space="preserve"> </w:t>
      </w:r>
    </w:p>
    <w:p w14:paraId="6E9FCA31" w14:textId="77777777" w:rsidR="00E634AC" w:rsidRPr="006D0A76" w:rsidRDefault="00E634AC" w:rsidP="00E634AC">
      <w:pPr>
        <w:ind w:right="454" w:firstLine="708"/>
        <w:jc w:val="both"/>
        <w:rPr>
          <w:b/>
        </w:rPr>
      </w:pPr>
      <w:r w:rsidRPr="006D0A76">
        <w:rPr>
          <w:b/>
        </w:rPr>
        <w:t>5.12 Спеціальні застереження для осіб і обслуговуючого персоналу</w:t>
      </w:r>
    </w:p>
    <w:p w14:paraId="031CA314" w14:textId="77777777" w:rsidR="00E634AC" w:rsidRPr="006D0A76" w:rsidRDefault="00E634AC" w:rsidP="00E634AC">
      <w:pPr>
        <w:pStyle w:val="cs80d9435b"/>
        <w:ind w:firstLine="708"/>
      </w:pPr>
      <w:r w:rsidRPr="006D0A76">
        <w:rPr>
          <w:rStyle w:val="cs5efed22f6"/>
          <w:color w:val="auto"/>
        </w:rPr>
        <w:t>Під час роботи з препаратом необхідно дотримуватись загальних правил особистої гігієни та правил роботи з ветеринарними препаратами.</w:t>
      </w:r>
    </w:p>
    <w:p w14:paraId="7CA8F1AE" w14:textId="77777777" w:rsidR="00E634AC" w:rsidRPr="006D0A76" w:rsidRDefault="00E634AC" w:rsidP="00E634AC">
      <w:pPr>
        <w:widowControl w:val="0"/>
        <w:ind w:right="454" w:firstLine="708"/>
        <w:jc w:val="both"/>
        <w:rPr>
          <w:b/>
        </w:rPr>
      </w:pPr>
      <w:r w:rsidRPr="006D0A76">
        <w:rPr>
          <w:b/>
        </w:rPr>
        <w:t>6. Фармацевтичні особливості</w:t>
      </w:r>
    </w:p>
    <w:p w14:paraId="784CA1FC" w14:textId="77777777" w:rsidR="00E634AC" w:rsidRPr="006D0A76" w:rsidRDefault="00E634AC" w:rsidP="00E634AC">
      <w:pPr>
        <w:pStyle w:val="33"/>
        <w:spacing w:after="0"/>
        <w:ind w:left="0" w:right="454" w:firstLine="708"/>
        <w:rPr>
          <w:b/>
          <w:sz w:val="24"/>
          <w:szCs w:val="24"/>
        </w:rPr>
      </w:pPr>
      <w:r w:rsidRPr="006D0A76">
        <w:rPr>
          <w:b/>
          <w:sz w:val="24"/>
          <w:szCs w:val="24"/>
        </w:rPr>
        <w:t>6.1 Форми несумісності (основні)</w:t>
      </w:r>
    </w:p>
    <w:p w14:paraId="560F2DE0" w14:textId="77777777" w:rsidR="005F3C80" w:rsidRPr="006D0A76" w:rsidRDefault="005F3C80" w:rsidP="005F3C80">
      <w:pPr>
        <w:pStyle w:val="13"/>
        <w:ind w:firstLine="709"/>
        <w:jc w:val="right"/>
        <w:rPr>
          <w:sz w:val="24"/>
          <w:szCs w:val="24"/>
          <w:lang w:val="uk-UA"/>
        </w:rPr>
      </w:pPr>
      <w:r w:rsidRPr="006D0A76">
        <w:rPr>
          <w:sz w:val="24"/>
          <w:szCs w:val="24"/>
          <w:lang w:val="uk-UA"/>
        </w:rPr>
        <w:lastRenderedPageBreak/>
        <w:t>Продовження додатку 1</w:t>
      </w:r>
    </w:p>
    <w:p w14:paraId="1F5FDF91" w14:textId="77777777" w:rsidR="005F3C80" w:rsidRPr="006D0A76" w:rsidRDefault="005F3C80" w:rsidP="005F3C80">
      <w:pPr>
        <w:pStyle w:val="13"/>
        <w:ind w:firstLine="709"/>
        <w:jc w:val="right"/>
        <w:rPr>
          <w:sz w:val="24"/>
          <w:szCs w:val="24"/>
          <w:lang w:val="uk-UA"/>
        </w:rPr>
      </w:pPr>
      <w:r w:rsidRPr="006D0A76">
        <w:rPr>
          <w:sz w:val="24"/>
          <w:szCs w:val="24"/>
          <w:lang w:val="uk-UA"/>
        </w:rPr>
        <w:t>до реєстраційного посвідчення</w:t>
      </w:r>
    </w:p>
    <w:p w14:paraId="2BFCAAEA" w14:textId="2EEF488B" w:rsidR="00485655" w:rsidRPr="006D0A76" w:rsidRDefault="00E634AC" w:rsidP="00E634AC">
      <w:pPr>
        <w:shd w:val="clear" w:color="auto" w:fill="FFFFFF"/>
        <w:ind w:firstLine="708"/>
        <w:jc w:val="both"/>
      </w:pPr>
      <w:r w:rsidRPr="006D0A76">
        <w:t>Не встановлені. Препарат не слід змішувати в одному шприці з іншими лікарськими засобами.</w:t>
      </w:r>
    </w:p>
    <w:p w14:paraId="795563FE" w14:textId="4246AA36" w:rsidR="00BF04D0" w:rsidRPr="006D0A76" w:rsidRDefault="00E676F6">
      <w:pPr>
        <w:shd w:val="clear" w:color="auto" w:fill="FFFFFF"/>
        <w:ind w:firstLine="708"/>
        <w:jc w:val="both"/>
        <w:rPr>
          <w:b/>
        </w:rPr>
      </w:pPr>
      <w:r w:rsidRPr="006D0A76">
        <w:rPr>
          <w:b/>
        </w:rPr>
        <w:t>6.2 Термін придатності</w:t>
      </w:r>
    </w:p>
    <w:p w14:paraId="5BEA0F58" w14:textId="77777777" w:rsidR="00BF04D0" w:rsidRPr="006D0A76" w:rsidRDefault="00E676F6">
      <w:pPr>
        <w:widowControl w:val="0"/>
        <w:ind w:right="454" w:firstLine="708"/>
        <w:jc w:val="both"/>
      </w:pPr>
      <w:r w:rsidRPr="006D0A76">
        <w:rPr>
          <w:rStyle w:val="cs5efed22f13"/>
          <w:color w:val="auto"/>
          <w:lang w:val="uk-UA"/>
        </w:rPr>
        <w:t>2</w:t>
      </w:r>
      <w:r w:rsidRPr="006D0A76">
        <w:rPr>
          <w:rStyle w:val="cs5efed22f13"/>
          <w:color w:val="auto"/>
        </w:rPr>
        <w:t xml:space="preserve"> роки.</w:t>
      </w:r>
    </w:p>
    <w:p w14:paraId="3D5B776A" w14:textId="77777777" w:rsidR="00BF04D0" w:rsidRPr="006D0A76" w:rsidRDefault="00E676F6">
      <w:pPr>
        <w:widowControl w:val="0"/>
        <w:ind w:right="454" w:firstLine="708"/>
        <w:jc w:val="both"/>
        <w:rPr>
          <w:b/>
        </w:rPr>
      </w:pPr>
      <w:r w:rsidRPr="006D0A76">
        <w:rPr>
          <w:b/>
        </w:rPr>
        <w:t>6.3 Особливі заходи зберігання</w:t>
      </w:r>
    </w:p>
    <w:p w14:paraId="7900EC2E" w14:textId="77777777" w:rsidR="00BF04D0" w:rsidRPr="006D0A76" w:rsidRDefault="00E676F6">
      <w:pPr>
        <w:spacing w:line="274" w:lineRule="exact"/>
        <w:ind w:firstLine="708"/>
        <w:jc w:val="both"/>
        <w:rPr>
          <w:lang w:val="uk-UA"/>
        </w:rPr>
      </w:pPr>
      <w:r w:rsidRPr="006D0A76">
        <w:rPr>
          <w:lang w:val="uk-UA"/>
        </w:rPr>
        <w:t>Зберігати  в сухому, захищеному від світла та недоступному для дітей та тварин місці, за температури від 2 до 25 °C</w:t>
      </w:r>
      <w:r w:rsidRPr="006D0A76">
        <w:rPr>
          <w:b/>
          <w:lang w:val="uk-UA"/>
        </w:rPr>
        <w:t xml:space="preserve">. </w:t>
      </w:r>
      <w:r w:rsidRPr="006D0A76">
        <w:rPr>
          <w:lang w:val="uk-UA"/>
        </w:rPr>
        <w:t xml:space="preserve">Не заморожувати! </w:t>
      </w:r>
    </w:p>
    <w:p w14:paraId="33719646" w14:textId="77777777" w:rsidR="00BF04D0" w:rsidRPr="006D0A76" w:rsidRDefault="00E676F6">
      <w:pPr>
        <w:spacing w:line="274" w:lineRule="exact"/>
        <w:ind w:firstLine="708"/>
        <w:jc w:val="both"/>
        <w:rPr>
          <w:lang w:val="uk-UA"/>
        </w:rPr>
      </w:pPr>
      <w:r w:rsidRPr="006D0A76">
        <w:rPr>
          <w:lang w:val="uk-UA"/>
        </w:rPr>
        <w:t xml:space="preserve">Після першого використання препарат зберігати 30 діб із щільно закритою кришкою в холодильнику  за температури від 6 до 10 °С. </w:t>
      </w:r>
    </w:p>
    <w:p w14:paraId="279ED51F" w14:textId="77777777" w:rsidR="00BF04D0" w:rsidRPr="006D0A76" w:rsidRDefault="00E676F6">
      <w:pPr>
        <w:widowControl w:val="0"/>
        <w:ind w:right="-36" w:firstLine="708"/>
        <w:jc w:val="both"/>
        <w:rPr>
          <w:b/>
        </w:rPr>
      </w:pPr>
      <w:r w:rsidRPr="006D0A76">
        <w:rPr>
          <w:b/>
        </w:rPr>
        <w:t>6.4 Природа і склад контейнера первинного пакування</w:t>
      </w:r>
    </w:p>
    <w:p w14:paraId="1362CA00" w14:textId="77777777" w:rsidR="00BF04D0" w:rsidRPr="006D0A76" w:rsidRDefault="00E676F6">
      <w:pPr>
        <w:shd w:val="clear" w:color="auto" w:fill="FFFFFF"/>
        <w:ind w:firstLine="708"/>
        <w:jc w:val="both"/>
        <w:rPr>
          <w:lang w:val="uk-UA"/>
        </w:rPr>
      </w:pPr>
      <w:r w:rsidRPr="006D0A76">
        <w:rPr>
          <w:rFonts w:eastAsia="Calibri"/>
        </w:rPr>
        <w:t>Флакони полімерні</w:t>
      </w:r>
      <w:r w:rsidRPr="006D0A76">
        <w:rPr>
          <w:rFonts w:eastAsia="Calibri"/>
          <w:lang w:val="uk-UA"/>
        </w:rPr>
        <w:t xml:space="preserve"> або скляні </w:t>
      </w:r>
      <w:r w:rsidRPr="006D0A76">
        <w:rPr>
          <w:lang w:val="uk-UA"/>
        </w:rPr>
        <w:t>по 5, 10, 20, 30, 40, 50, 100 або 200 мл у комплекті з шприцом-дозатором та листівкою-вкладкою. Вторинна упаковка – картонна коробка.</w:t>
      </w:r>
    </w:p>
    <w:p w14:paraId="4FEC1D45" w14:textId="77777777" w:rsidR="00BF04D0" w:rsidRPr="006D0A76" w:rsidRDefault="00E676F6">
      <w:pPr>
        <w:shd w:val="clear" w:color="auto" w:fill="FFFFFF"/>
        <w:ind w:firstLine="708"/>
        <w:jc w:val="both"/>
        <w:rPr>
          <w:b/>
        </w:rPr>
      </w:pPr>
      <w:r w:rsidRPr="006D0A76">
        <w:rPr>
          <w:b/>
        </w:rPr>
        <w:t>6.5 Особливі заходи безпеки при поводженні з невикористаним препаратом або із його залишками</w:t>
      </w:r>
    </w:p>
    <w:p w14:paraId="302BAD8B" w14:textId="77777777" w:rsidR="00BF04D0" w:rsidRPr="006D0A76" w:rsidRDefault="00E676F6">
      <w:pPr>
        <w:pStyle w:val="33"/>
        <w:spacing w:after="0"/>
        <w:ind w:left="0" w:right="-36" w:firstLine="708"/>
        <w:jc w:val="both"/>
        <w:rPr>
          <w:sz w:val="24"/>
          <w:szCs w:val="24"/>
        </w:rPr>
      </w:pPr>
      <w:r w:rsidRPr="006D0A76">
        <w:rPr>
          <w:rStyle w:val="cs5efed22f16"/>
          <w:color w:val="auto"/>
        </w:rPr>
        <w:t>Невикористаний або протермінований препарат утилізують відповідно до вимог чинного законодавства.</w:t>
      </w:r>
    </w:p>
    <w:p w14:paraId="16AD804B" w14:textId="77777777" w:rsidR="00BF04D0" w:rsidRPr="006D0A76" w:rsidRDefault="00E676F6">
      <w:pPr>
        <w:pStyle w:val="33"/>
        <w:spacing w:after="0"/>
        <w:ind w:left="0" w:right="454" w:firstLine="708"/>
        <w:rPr>
          <w:sz w:val="24"/>
          <w:szCs w:val="24"/>
        </w:rPr>
      </w:pPr>
      <w:r w:rsidRPr="006D0A76">
        <w:rPr>
          <w:b/>
          <w:sz w:val="24"/>
          <w:szCs w:val="24"/>
        </w:rPr>
        <w:t>7. Назва і місце знаходження власника реєстраційного посвідчення</w:t>
      </w:r>
    </w:p>
    <w:p w14:paraId="191F8C13" w14:textId="77777777" w:rsidR="00BF04D0" w:rsidRPr="006D0A76" w:rsidRDefault="00E676F6">
      <w:pPr>
        <w:ind w:firstLine="708"/>
      </w:pPr>
      <w:r w:rsidRPr="006D0A76">
        <w:t xml:space="preserve">Товариство з обмеженою відповідальністю “Ветсинтез” </w:t>
      </w:r>
    </w:p>
    <w:p w14:paraId="6A4D6BAC" w14:textId="77777777" w:rsidR="00BF04D0" w:rsidRPr="006D0A76" w:rsidRDefault="00E676F6">
      <w:pPr>
        <w:ind w:firstLine="708"/>
      </w:pPr>
      <w:r w:rsidRPr="006D0A76">
        <w:t xml:space="preserve">61001, м. Харків, вул. </w:t>
      </w:r>
      <w:r w:rsidRPr="006D0A76">
        <w:rPr>
          <w:lang w:val="uk-UA"/>
        </w:rPr>
        <w:t>Бобанича Тараса</w:t>
      </w:r>
      <w:r w:rsidRPr="006D0A76">
        <w:t>, 30, Україна</w:t>
      </w:r>
    </w:p>
    <w:p w14:paraId="37289D38" w14:textId="77777777" w:rsidR="00BF04D0" w:rsidRPr="006D0A76" w:rsidRDefault="00E676F6">
      <w:pPr>
        <w:ind w:firstLine="708"/>
        <w:jc w:val="both"/>
        <w:rPr>
          <w:b/>
          <w:bCs/>
        </w:rPr>
      </w:pPr>
      <w:r w:rsidRPr="006D0A76">
        <w:rPr>
          <w:b/>
          <w:bCs/>
        </w:rPr>
        <w:t>8. Назва та місцезнаходження виробника (виробників)</w:t>
      </w:r>
    </w:p>
    <w:p w14:paraId="2C24513A" w14:textId="77777777" w:rsidR="00BF04D0" w:rsidRPr="006D0A76" w:rsidRDefault="00E676F6">
      <w:pPr>
        <w:ind w:firstLine="708"/>
      </w:pPr>
      <w:r w:rsidRPr="006D0A76">
        <w:t xml:space="preserve">Товариство з обмеженою відповідальністю “Ветсинтез” </w:t>
      </w:r>
    </w:p>
    <w:p w14:paraId="084CD66C" w14:textId="77777777" w:rsidR="00BF04D0" w:rsidRPr="006D0A76" w:rsidRDefault="00E676F6">
      <w:pPr>
        <w:ind w:firstLine="708"/>
      </w:pPr>
      <w:r w:rsidRPr="006D0A76">
        <w:t xml:space="preserve">61001, м. Харків, вул. </w:t>
      </w:r>
      <w:r w:rsidRPr="006D0A76">
        <w:rPr>
          <w:lang w:val="uk-UA"/>
        </w:rPr>
        <w:t>Бобанича Тараса</w:t>
      </w:r>
      <w:r w:rsidRPr="006D0A76">
        <w:t>, 30, Україна</w:t>
      </w:r>
    </w:p>
    <w:p w14:paraId="06CA9121" w14:textId="77777777" w:rsidR="00BF04D0" w:rsidRPr="006D0A76" w:rsidRDefault="00E676F6">
      <w:pPr>
        <w:ind w:right="454" w:firstLine="708"/>
        <w:jc w:val="both"/>
        <w:rPr>
          <w:b/>
          <w:lang w:val="uk-UA"/>
        </w:rPr>
      </w:pPr>
      <w:r w:rsidRPr="006D0A76">
        <w:rPr>
          <w:b/>
        </w:rPr>
        <w:t>9. Додаткова інформація</w:t>
      </w:r>
    </w:p>
    <w:p w14:paraId="4F898D6A" w14:textId="4977EF22" w:rsidR="005F1E6E" w:rsidRPr="006D0A76" w:rsidRDefault="005F3C80" w:rsidP="00A7600A">
      <w:pPr>
        <w:ind w:firstLine="567"/>
        <w:jc w:val="both"/>
        <w:rPr>
          <w:b/>
          <w:lang w:val="uk-UA"/>
        </w:rPr>
      </w:pPr>
      <w:r w:rsidRPr="006D0A76">
        <w:rPr>
          <w:lang w:val="uk-UA"/>
        </w:rPr>
        <w:t>Р</w:t>
      </w:r>
      <w:r w:rsidR="00A7600A" w:rsidRPr="006D0A76">
        <w:t>екомендовано відпуск за рецептом.</w:t>
      </w:r>
    </w:p>
    <w:p w14:paraId="242E52B1" w14:textId="77777777" w:rsidR="00BF04D0" w:rsidRPr="006D0A76" w:rsidRDefault="00BF04D0"/>
    <w:sectPr w:rsidR="00BF04D0" w:rsidRPr="006D0A76" w:rsidSect="00743125">
      <w:footerReference w:type="default" r:id="rId7"/>
      <w:pgSz w:w="11906" w:h="16838"/>
      <w:pgMar w:top="567" w:right="454" w:bottom="454" w:left="1134" w:header="709" w:footer="709" w:gutter="0"/>
      <w:cols w:space="708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17C27B8F"/>
  <w16cid:commentId w16cid:paraId="00000002" w16cid:durableId="11ECA44E"/>
  <w16cid:commentId w16cid:paraId="00000003" w16cid:durableId="0482272F"/>
  <w16cid:commentId w16cid:paraId="00000004" w16cid:durableId="6D5ECD4A"/>
  <w16cid:commentId w16cid:paraId="00000005" w16cid:durableId="41C67388"/>
  <w16cid:commentId w16cid:paraId="00000006" w16cid:durableId="7CC287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8C290" w14:textId="77777777" w:rsidR="006238E0" w:rsidRDefault="006238E0">
      <w:r>
        <w:separator/>
      </w:r>
    </w:p>
  </w:endnote>
  <w:endnote w:type="continuationSeparator" w:id="0">
    <w:p w14:paraId="317DFF59" w14:textId="77777777" w:rsidR="006238E0" w:rsidRDefault="0062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7026031"/>
      <w:docPartObj>
        <w:docPartGallery w:val="Page Numbers (Bottom of Page)"/>
        <w:docPartUnique/>
      </w:docPartObj>
    </w:sdtPr>
    <w:sdtEndPr/>
    <w:sdtContent>
      <w:p w14:paraId="5A500C29" w14:textId="78086EFF" w:rsidR="00BF04D0" w:rsidRDefault="00E676F6">
        <w:pPr>
          <w:pStyle w:val="af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A76">
          <w:rPr>
            <w:noProof/>
          </w:rPr>
          <w:t>4</w:t>
        </w:r>
        <w:r>
          <w:fldChar w:fldCharType="end"/>
        </w:r>
      </w:p>
    </w:sdtContent>
  </w:sdt>
  <w:p w14:paraId="4BEF6B38" w14:textId="77777777" w:rsidR="00BF04D0" w:rsidRDefault="00BF04D0">
    <w:pPr>
      <w:pStyle w:val="af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03A51" w14:textId="77777777" w:rsidR="006238E0" w:rsidRDefault="006238E0">
      <w:r>
        <w:separator/>
      </w:r>
    </w:p>
  </w:footnote>
  <w:footnote w:type="continuationSeparator" w:id="0">
    <w:p w14:paraId="26CE4BD3" w14:textId="77777777" w:rsidR="006238E0" w:rsidRDefault="00623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B1701"/>
    <w:multiLevelType w:val="multilevel"/>
    <w:tmpl w:val="BD1EB496"/>
    <w:lvl w:ilvl="0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4D0"/>
    <w:rsid w:val="00040C2A"/>
    <w:rsid w:val="001B0692"/>
    <w:rsid w:val="00286F85"/>
    <w:rsid w:val="002F560F"/>
    <w:rsid w:val="003432D4"/>
    <w:rsid w:val="00485655"/>
    <w:rsid w:val="00540929"/>
    <w:rsid w:val="005F1E6E"/>
    <w:rsid w:val="005F3C80"/>
    <w:rsid w:val="006238E0"/>
    <w:rsid w:val="006D0A76"/>
    <w:rsid w:val="006E52EB"/>
    <w:rsid w:val="00721A8C"/>
    <w:rsid w:val="00743125"/>
    <w:rsid w:val="00850C0E"/>
    <w:rsid w:val="0093283C"/>
    <w:rsid w:val="00A7600A"/>
    <w:rsid w:val="00BF04D0"/>
    <w:rsid w:val="00E634AC"/>
    <w:rsid w:val="00E676F6"/>
    <w:rsid w:val="00FE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F1DBE"/>
  <w15:docId w15:val="{7C2CF4CA-8D94-4A34-8D55-90BD4789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000000" w:themeColor="text1"/>
      <w:sz w:val="28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80" w:after="48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3">
    <w:name w:val="heading 3"/>
    <w:basedOn w:val="a"/>
    <w:next w:val="a"/>
    <w:link w:val="30"/>
    <w:pPr>
      <w:keepNext/>
      <w:keepLines/>
      <w:spacing w:before="480" w:after="480"/>
      <w:outlineLvl w:val="2"/>
    </w:pPr>
    <w:rPr>
      <w:b/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3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ви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кінцевої ви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2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c">
    <w:name w:val="Placeholder Text"/>
    <w:basedOn w:val="a0"/>
    <w:uiPriority w:val="99"/>
    <w:semiHidden/>
    <w:rPr>
      <w:color w:val="666666"/>
    </w:r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eastAsiaTheme="majorEastAsia" w:cstheme="majorBidi"/>
      <w:b/>
      <w:color w:val="000000" w:themeColor="text1"/>
      <w:sz w:val="28"/>
      <w:szCs w:val="40"/>
    </w:rPr>
  </w:style>
  <w:style w:type="paragraph" w:customStyle="1" w:styleId="aff">
    <w:name w:val="Курсачи"/>
    <w:basedOn w:val="a"/>
    <w:link w:val="aff0"/>
    <w:qFormat/>
    <w:rPr>
      <w:sz w:val="28"/>
    </w:rPr>
  </w:style>
  <w:style w:type="character" w:customStyle="1" w:styleId="aff0">
    <w:name w:val="Курсачи Знак"/>
    <w:basedOn w:val="a0"/>
    <w:link w:val="aff"/>
    <w:rPr>
      <w:sz w:val="28"/>
    </w:rPr>
  </w:style>
  <w:style w:type="character" w:customStyle="1" w:styleId="20">
    <w:name w:val="Заголовок 2 Знак"/>
    <w:basedOn w:val="a0"/>
    <w:link w:val="2"/>
    <w:uiPriority w:val="9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rPr>
      <w:rFonts w:eastAsia="Times New Roman"/>
      <w:b/>
      <w:sz w:val="28"/>
      <w:szCs w:val="28"/>
      <w:lang w:val="uk-UA" w:eastAsia="ru-RU"/>
    </w:rPr>
  </w:style>
  <w:style w:type="paragraph" w:customStyle="1" w:styleId="aff1">
    <w:name w:val="Таблиця"/>
    <w:basedOn w:val="a"/>
    <w:qFormat/>
    <w:pPr>
      <w:spacing w:line="256" w:lineRule="auto"/>
    </w:pPr>
    <w:rPr>
      <w:rFonts w:cstheme="minorBidi"/>
      <w:bCs/>
      <w:sz w:val="28"/>
      <w:lang w:val="uk-UA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customStyle="1" w:styleId="34">
    <w:name w:val="Основний текст з відступом 3 Знак"/>
    <w:basedOn w:val="a0"/>
    <w:link w:val="33"/>
    <w:rPr>
      <w:rFonts w:eastAsia="Times New Roman"/>
      <w:sz w:val="16"/>
      <w:szCs w:val="16"/>
      <w:lang w:eastAsia="ru-RU"/>
    </w:rPr>
  </w:style>
  <w:style w:type="paragraph" w:styleId="aff2">
    <w:name w:val="Normal (Web)"/>
    <w:basedOn w:val="a"/>
    <w:uiPriority w:val="99"/>
    <w:pPr>
      <w:spacing w:before="100" w:beforeAutospacing="1" w:after="100" w:afterAutospacing="1"/>
    </w:pPr>
    <w:rPr>
      <w:color w:val="000000"/>
    </w:rPr>
  </w:style>
  <w:style w:type="paragraph" w:customStyle="1" w:styleId="13">
    <w:name w:val="Обычный1"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cs80d9435b">
    <w:name w:val="cs80d9435b"/>
    <w:basedOn w:val="a"/>
    <w:pPr>
      <w:jc w:val="both"/>
    </w:pPr>
    <w:rPr>
      <w:lang w:val="uk-UA" w:eastAsia="uk-UA"/>
    </w:rPr>
  </w:style>
  <w:style w:type="character" w:customStyle="1" w:styleId="cs7fb5c6073">
    <w:name w:val="cs7fb5c6073"/>
    <w:basedOn w:val="a0"/>
  </w:style>
  <w:style w:type="character" w:customStyle="1" w:styleId="cs5efed22f5">
    <w:name w:val="cs5efed22f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6">
    <w:name w:val="cs5efed22f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10">
    <w:name w:val="cs5efed22f1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13">
    <w:name w:val="cs5efed22f1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16">
    <w:name w:val="cs5efed22f1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docdata">
    <w:name w:val="docdata"/>
  </w:style>
  <w:style w:type="paragraph" w:styleId="aff3">
    <w:name w:val="List Paragraph"/>
    <w:basedOn w:val="a"/>
    <w:uiPriority w:val="34"/>
    <w:qFormat/>
    <w:pPr>
      <w:spacing w:after="160"/>
      <w:ind w:left="720"/>
      <w:contextualSpacing/>
    </w:pPr>
    <w:rPr>
      <w:rFonts w:eastAsia="Calibri"/>
      <w:sz w:val="28"/>
      <w:szCs w:val="22"/>
      <w:lang w:eastAsia="en-US"/>
    </w:rPr>
  </w:style>
  <w:style w:type="character" w:styleId="aff4">
    <w:name w:val="Book Title"/>
    <w:uiPriority w:val="33"/>
    <w:qFormat/>
    <w:rPr>
      <w:b/>
      <w:bCs/>
      <w:i/>
      <w:iCs/>
      <w:spacing w:val="5"/>
    </w:rPr>
  </w:style>
  <w:style w:type="paragraph" w:customStyle="1" w:styleId="cs3266721a">
    <w:name w:val="cs3266721a"/>
    <w:basedOn w:val="a"/>
    <w:pPr>
      <w:ind w:firstLine="560"/>
      <w:jc w:val="both"/>
    </w:pPr>
    <w:rPr>
      <w:lang w:val="uk-UA" w:eastAsia="uk-UA"/>
    </w:rPr>
  </w:style>
  <w:style w:type="character" w:styleId="aff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Pr>
      <w:sz w:val="20"/>
      <w:szCs w:val="20"/>
    </w:rPr>
  </w:style>
  <w:style w:type="character" w:customStyle="1" w:styleId="aff7">
    <w:name w:val="Текст примітки Знак"/>
    <w:basedOn w:val="a0"/>
    <w:link w:val="aff6"/>
    <w:uiPriority w:val="99"/>
    <w:semiHidden/>
    <w:rPr>
      <w:rFonts w:eastAsia="Times New Roman"/>
      <w:sz w:val="20"/>
      <w:szCs w:val="20"/>
      <w:lang w:eastAsia="ru-RU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Pr>
      <w:b/>
      <w:bCs/>
    </w:rPr>
  </w:style>
  <w:style w:type="character" w:customStyle="1" w:styleId="aff9">
    <w:name w:val="Тема примітки Знак"/>
    <w:basedOn w:val="aff7"/>
    <w:link w:val="aff8"/>
    <w:uiPriority w:val="99"/>
    <w:semiHidden/>
    <w:rPr>
      <w:rFonts w:eastAsia="Times New Roman"/>
      <w:b/>
      <w:bCs/>
      <w:sz w:val="20"/>
      <w:szCs w:val="20"/>
      <w:lang w:eastAsia="ru-RU"/>
    </w:rPr>
  </w:style>
  <w:style w:type="paragraph" w:styleId="affa">
    <w:name w:val="Balloon Text"/>
    <w:basedOn w:val="a"/>
    <w:link w:val="af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b">
    <w:name w:val="Текст у виносці Знак"/>
    <w:basedOn w:val="a0"/>
    <w:link w:val="af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fc">
    <w:name w:val="header"/>
    <w:basedOn w:val="a"/>
    <w:link w:val="af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fd">
    <w:name w:val="Верхній колонтитул Знак"/>
    <w:basedOn w:val="a0"/>
    <w:link w:val="affc"/>
    <w:uiPriority w:val="99"/>
    <w:rPr>
      <w:rFonts w:eastAsia="Times New Roman"/>
      <w:sz w:val="24"/>
      <w:szCs w:val="24"/>
      <w:lang w:eastAsia="ru-RU"/>
    </w:rPr>
  </w:style>
  <w:style w:type="paragraph" w:styleId="affe">
    <w:name w:val="footer"/>
    <w:basedOn w:val="a"/>
    <w:link w:val="af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f">
    <w:name w:val="Нижній колонтитул Знак"/>
    <w:basedOn w:val="a0"/>
    <w:link w:val="affe"/>
    <w:uiPriority w:val="99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7157</Words>
  <Characters>4081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admin</cp:lastModifiedBy>
  <cp:revision>26</cp:revision>
  <dcterms:created xsi:type="dcterms:W3CDTF">2026-03-12T12:40:00Z</dcterms:created>
  <dcterms:modified xsi:type="dcterms:W3CDTF">2026-04-25T09:18:00Z</dcterms:modified>
</cp:coreProperties>
</file>