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5A" w:rsidRPr="00035C5A" w:rsidRDefault="00035C5A" w:rsidP="00035C5A">
      <w:pPr>
        <w:jc w:val="right"/>
        <w:rPr>
          <w:lang w:val="uk-UA"/>
        </w:rPr>
      </w:pPr>
      <w:r w:rsidRPr="00035C5A">
        <w:rPr>
          <w:lang w:val="uk-UA"/>
        </w:rPr>
        <w:t>Додаток 1</w:t>
      </w:r>
    </w:p>
    <w:p w:rsidR="00035C5A" w:rsidRDefault="00035C5A" w:rsidP="00D54461">
      <w:pPr>
        <w:ind w:left="3540" w:firstLine="708"/>
        <w:jc w:val="right"/>
        <w:rPr>
          <w:lang w:val="uk-UA"/>
        </w:rPr>
      </w:pPr>
      <w:r w:rsidRPr="00035C5A">
        <w:rPr>
          <w:lang w:val="uk-UA"/>
        </w:rPr>
        <w:t>до реєстраційного посвідчення АВ-</w:t>
      </w:r>
      <w:r w:rsidR="00D54461">
        <w:rPr>
          <w:lang w:val="uk-UA"/>
        </w:rPr>
        <w:t>10051-01-26</w:t>
      </w:r>
    </w:p>
    <w:p w:rsidR="00035C5A" w:rsidRDefault="00035C5A" w:rsidP="00035C5A">
      <w:pPr>
        <w:ind w:left="3540" w:firstLine="708"/>
        <w:jc w:val="center"/>
        <w:rPr>
          <w:lang w:val="uk-UA"/>
        </w:rPr>
      </w:pPr>
    </w:p>
    <w:p w:rsidR="00035C5A" w:rsidRPr="00035C5A" w:rsidRDefault="00035C5A" w:rsidP="00035C5A">
      <w:pPr>
        <w:ind w:left="3540" w:firstLine="708"/>
        <w:jc w:val="center"/>
        <w:rPr>
          <w:lang w:val="uk-UA"/>
        </w:rPr>
      </w:pPr>
    </w:p>
    <w:p w:rsidR="00A7470F" w:rsidRPr="008F6BFF" w:rsidRDefault="00035C5A" w:rsidP="00A7470F">
      <w:pPr>
        <w:jc w:val="center"/>
        <w:rPr>
          <w:b/>
          <w:lang w:val="uk-UA"/>
        </w:rPr>
      </w:pPr>
      <w:r>
        <w:rPr>
          <w:b/>
          <w:lang w:val="uk-UA"/>
        </w:rPr>
        <w:t>Коротка  характеристика п</w:t>
      </w:r>
      <w:r w:rsidR="00A7470F" w:rsidRPr="008F6BFF">
        <w:rPr>
          <w:b/>
          <w:lang w:val="uk-UA"/>
        </w:rPr>
        <w:t>репарату</w:t>
      </w:r>
    </w:p>
    <w:p w:rsidR="00A7470F" w:rsidRDefault="00A7470F" w:rsidP="00A7470F">
      <w:pPr>
        <w:tabs>
          <w:tab w:val="left" w:pos="567"/>
          <w:tab w:val="left" w:pos="2148"/>
        </w:tabs>
        <w:rPr>
          <w:b/>
          <w:lang w:val="uk-UA"/>
        </w:rPr>
      </w:pPr>
    </w:p>
    <w:p w:rsidR="00A7470F" w:rsidRPr="00D63F58" w:rsidRDefault="00A7470F" w:rsidP="00A7470F">
      <w:pPr>
        <w:tabs>
          <w:tab w:val="left" w:pos="567"/>
          <w:tab w:val="left" w:pos="2148"/>
        </w:tabs>
        <w:ind w:firstLine="567"/>
        <w:rPr>
          <w:b/>
          <w:lang w:val="uk-UA"/>
        </w:rPr>
      </w:pPr>
      <w:r w:rsidRPr="00D63F58">
        <w:rPr>
          <w:b/>
          <w:lang w:val="uk-UA"/>
        </w:rPr>
        <w:t xml:space="preserve">1. </w:t>
      </w:r>
      <w:proofErr w:type="spellStart"/>
      <w:r w:rsidRPr="00D63F58">
        <w:rPr>
          <w:b/>
        </w:rPr>
        <w:t>Назва</w:t>
      </w:r>
      <w:proofErr w:type="spellEnd"/>
    </w:p>
    <w:p w:rsidR="00A7470F" w:rsidRPr="00D63F58" w:rsidRDefault="00A7470F" w:rsidP="00A7470F">
      <w:pPr>
        <w:tabs>
          <w:tab w:val="left" w:pos="567"/>
        </w:tabs>
        <w:ind w:firstLine="567"/>
        <w:rPr>
          <w:bCs/>
          <w:lang w:val="uk-UA"/>
        </w:rPr>
      </w:pPr>
      <w:r w:rsidRPr="00D63F58">
        <w:rPr>
          <w:lang w:val="uk-UA"/>
        </w:rPr>
        <w:t>ФЕРРОВЕТ</w:t>
      </w:r>
      <w:r>
        <w:rPr>
          <w:lang w:val="uk-UA"/>
        </w:rPr>
        <w:t xml:space="preserve"> ФОРТЕ</w:t>
      </w:r>
    </w:p>
    <w:p w:rsidR="00A7470F" w:rsidRPr="00D63F58" w:rsidRDefault="00A7470F" w:rsidP="00A7470F">
      <w:pPr>
        <w:tabs>
          <w:tab w:val="left" w:pos="567"/>
        </w:tabs>
        <w:ind w:firstLine="567"/>
        <w:rPr>
          <w:b/>
          <w:snapToGrid w:val="0"/>
          <w:lang w:val="uk-UA"/>
        </w:rPr>
      </w:pPr>
      <w:r w:rsidRPr="00D63F58">
        <w:rPr>
          <w:b/>
          <w:snapToGrid w:val="0"/>
        </w:rPr>
        <w:t xml:space="preserve">2. </w:t>
      </w:r>
      <w:r w:rsidRPr="00D63F58">
        <w:rPr>
          <w:b/>
          <w:snapToGrid w:val="0"/>
          <w:lang w:val="uk-UA"/>
        </w:rPr>
        <w:t>С</w:t>
      </w:r>
      <w:r w:rsidRPr="00D63F58">
        <w:rPr>
          <w:b/>
          <w:snapToGrid w:val="0"/>
        </w:rPr>
        <w:t>клад</w:t>
      </w:r>
    </w:p>
    <w:p w:rsidR="00A7470F" w:rsidRPr="00D63F58" w:rsidRDefault="00A7470F" w:rsidP="00A7470F">
      <w:pPr>
        <w:ind w:firstLine="567"/>
        <w:jc w:val="both"/>
        <w:rPr>
          <w:lang w:val="uk-UA"/>
        </w:rPr>
      </w:pPr>
      <w:r w:rsidRPr="00D63F58">
        <w:rPr>
          <w:lang w:val="uk-UA"/>
        </w:rPr>
        <w:t xml:space="preserve">1 мл препарату містить діючі речовини (мг): </w:t>
      </w:r>
    </w:p>
    <w:p w:rsidR="00A7470F" w:rsidRDefault="00A7470F" w:rsidP="00A7470F">
      <w:pPr>
        <w:shd w:val="clear" w:color="auto" w:fill="FFFFFF"/>
        <w:ind w:firstLine="567"/>
        <w:jc w:val="both"/>
        <w:rPr>
          <w:color w:val="333333"/>
          <w:lang w:val="uk-UA"/>
        </w:rPr>
      </w:pPr>
      <w:proofErr w:type="spellStart"/>
      <w:r>
        <w:rPr>
          <w:color w:val="333333"/>
          <w:lang w:val="uk-UA"/>
        </w:rPr>
        <w:t>толтразурил</w:t>
      </w:r>
      <w:proofErr w:type="spellEnd"/>
      <w:r>
        <w:rPr>
          <w:color w:val="333333"/>
          <w:lang w:val="uk-UA"/>
        </w:rPr>
        <w:t xml:space="preserve"> -  30,0;</w:t>
      </w:r>
    </w:p>
    <w:p w:rsidR="00A7470F" w:rsidRDefault="00A7470F" w:rsidP="00A90734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залізо (у комплексній сполуці заліза (ІІІ) гідроксиду з низькомолекулярним </w:t>
      </w:r>
      <w:proofErr w:type="spellStart"/>
      <w:r>
        <w:rPr>
          <w:lang w:val="uk-UA"/>
        </w:rPr>
        <w:t>декстраном</w:t>
      </w:r>
      <w:proofErr w:type="spellEnd"/>
      <w:r>
        <w:rPr>
          <w:lang w:val="uk-UA"/>
        </w:rPr>
        <w:t>)</w:t>
      </w:r>
      <w:r w:rsidR="00A90734">
        <w:rPr>
          <w:lang w:val="uk-UA"/>
        </w:rPr>
        <w:t xml:space="preserve">          </w:t>
      </w:r>
      <w:r>
        <w:rPr>
          <w:color w:val="333333"/>
          <w:lang w:val="uk-UA"/>
        </w:rPr>
        <w:t xml:space="preserve"> – 133,4. </w:t>
      </w:r>
    </w:p>
    <w:p w:rsidR="00A7470F" w:rsidRDefault="00A7470F" w:rsidP="00A7470F">
      <w:pPr>
        <w:ind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Допоміжні речовини: </w:t>
      </w:r>
      <w:proofErr w:type="spellStart"/>
      <w:r>
        <w:rPr>
          <w:lang w:val="uk-UA"/>
        </w:rPr>
        <w:t>симетиконова</w:t>
      </w:r>
      <w:proofErr w:type="spellEnd"/>
      <w:r>
        <w:rPr>
          <w:lang w:val="uk-UA"/>
        </w:rPr>
        <w:t xml:space="preserve"> емульсія, </w:t>
      </w:r>
      <w:proofErr w:type="spellStart"/>
      <w:r>
        <w:rPr>
          <w:lang w:val="uk-UA"/>
        </w:rPr>
        <w:t>докузат</w:t>
      </w:r>
      <w:proofErr w:type="spellEnd"/>
      <w:r>
        <w:rPr>
          <w:lang w:val="uk-UA"/>
        </w:rPr>
        <w:t xml:space="preserve"> натрію, натрію хлорид, спирт </w:t>
      </w:r>
      <w:proofErr w:type="spellStart"/>
      <w:r>
        <w:rPr>
          <w:lang w:val="uk-UA"/>
        </w:rPr>
        <w:t>бензиловий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полівінілпіролідон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пропіленгліколь</w:t>
      </w:r>
      <w:proofErr w:type="spellEnd"/>
      <w:r>
        <w:rPr>
          <w:lang w:val="uk-UA"/>
        </w:rPr>
        <w:t>, вода для ін'єкцій.</w:t>
      </w:r>
    </w:p>
    <w:p w:rsidR="00A7470F" w:rsidRPr="00D63F58" w:rsidRDefault="00A7470F" w:rsidP="00A7470F">
      <w:pPr>
        <w:tabs>
          <w:tab w:val="left" w:pos="567"/>
        </w:tabs>
        <w:spacing w:before="40"/>
        <w:ind w:firstLine="567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3. Фармацевтична (лікарська) форма</w:t>
      </w:r>
    </w:p>
    <w:p w:rsidR="00A7470F" w:rsidRPr="00D63F58" w:rsidRDefault="00A7470F" w:rsidP="00A7470F">
      <w:pPr>
        <w:tabs>
          <w:tab w:val="left" w:pos="567"/>
        </w:tabs>
        <w:spacing w:before="40"/>
        <w:ind w:firstLine="567"/>
        <w:rPr>
          <w:snapToGrid w:val="0"/>
          <w:lang w:val="uk-UA"/>
        </w:rPr>
      </w:pPr>
      <w:r>
        <w:rPr>
          <w:bCs/>
          <w:lang w:val="uk-UA" w:eastAsia="en-US"/>
        </w:rPr>
        <w:t>Суспензія</w:t>
      </w:r>
      <w:r w:rsidRPr="00D63F58">
        <w:rPr>
          <w:bCs/>
          <w:lang w:val="uk-UA" w:eastAsia="en-US"/>
        </w:rPr>
        <w:t xml:space="preserve"> для </w:t>
      </w:r>
      <w:r w:rsidRPr="00D63F58">
        <w:rPr>
          <w:lang w:val="uk-UA"/>
        </w:rPr>
        <w:t>ін'єкцій</w:t>
      </w:r>
      <w:r w:rsidRPr="00D63F58">
        <w:rPr>
          <w:bCs/>
          <w:lang w:val="uk-UA" w:eastAsia="en-US"/>
        </w:rPr>
        <w:t>.</w:t>
      </w:r>
    </w:p>
    <w:p w:rsidR="00A7470F" w:rsidRPr="00D63F58" w:rsidRDefault="00A7470F" w:rsidP="00A7470F">
      <w:pPr>
        <w:tabs>
          <w:tab w:val="left" w:pos="567"/>
        </w:tabs>
        <w:spacing w:before="40"/>
        <w:ind w:firstLine="567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4. Фармакологічні властивості</w:t>
      </w:r>
    </w:p>
    <w:p w:rsidR="00A7470F" w:rsidRPr="00636665" w:rsidRDefault="00A7470F" w:rsidP="00A7470F">
      <w:pPr>
        <w:shd w:val="clear" w:color="auto" w:fill="FFFFFF"/>
        <w:ind w:firstLine="567"/>
        <w:jc w:val="both"/>
        <w:rPr>
          <w:b/>
          <w:i/>
        </w:rPr>
      </w:pPr>
      <w:r w:rsidRPr="00D63F58">
        <w:rPr>
          <w:b/>
          <w:i/>
          <w:snapToGrid w:val="0"/>
          <w:lang w:val="en-US"/>
        </w:rPr>
        <w:t>ATC</w:t>
      </w:r>
      <w:r w:rsidRPr="00D63F58">
        <w:rPr>
          <w:b/>
          <w:i/>
          <w:snapToGrid w:val="0"/>
          <w:lang w:val="uk-UA"/>
        </w:rPr>
        <w:t>-</w:t>
      </w:r>
      <w:r w:rsidRPr="00D63F58">
        <w:rPr>
          <w:b/>
          <w:i/>
          <w:snapToGrid w:val="0"/>
          <w:lang w:val="en-US"/>
        </w:rPr>
        <w:t>vet</w:t>
      </w:r>
      <w:r w:rsidRPr="00D63F58">
        <w:rPr>
          <w:b/>
          <w:i/>
          <w:snapToGrid w:val="0"/>
          <w:lang w:val="uk-UA"/>
        </w:rPr>
        <w:t xml:space="preserve"> класифікаційний код: </w:t>
      </w:r>
      <w:r w:rsidRPr="00636665">
        <w:rPr>
          <w:b/>
          <w:i/>
          <w:color w:val="333333"/>
        </w:rPr>
        <w:t>Q</w:t>
      </w:r>
      <w:r w:rsidRPr="00636665">
        <w:rPr>
          <w:b/>
          <w:i/>
          <w:color w:val="333333"/>
          <w:lang w:val="uk-UA"/>
        </w:rPr>
        <w:t xml:space="preserve">Р51А, препарати проти </w:t>
      </w:r>
      <w:proofErr w:type="spellStart"/>
      <w:r w:rsidRPr="00636665">
        <w:rPr>
          <w:b/>
          <w:i/>
          <w:color w:val="333333"/>
          <w:lang w:val="uk-UA"/>
        </w:rPr>
        <w:t>протозойних</w:t>
      </w:r>
      <w:proofErr w:type="spellEnd"/>
      <w:r w:rsidRPr="00636665">
        <w:rPr>
          <w:b/>
          <w:i/>
          <w:color w:val="333333"/>
          <w:lang w:val="uk-UA"/>
        </w:rPr>
        <w:t xml:space="preserve"> інфекцій. </w:t>
      </w:r>
      <w:r w:rsidRPr="00636665">
        <w:rPr>
          <w:b/>
          <w:i/>
        </w:rPr>
        <w:t xml:space="preserve">QP51AJ01- </w:t>
      </w:r>
      <w:proofErr w:type="spellStart"/>
      <w:r w:rsidRPr="00636665">
        <w:rPr>
          <w:b/>
          <w:i/>
        </w:rPr>
        <w:t>толтразурил</w:t>
      </w:r>
      <w:proofErr w:type="spellEnd"/>
      <w:r w:rsidRPr="00636665">
        <w:rPr>
          <w:b/>
          <w:i/>
        </w:rPr>
        <w:t>.</w:t>
      </w:r>
    </w:p>
    <w:p w:rsidR="00A7470F" w:rsidRPr="00D63F58" w:rsidRDefault="00A7470F" w:rsidP="00A7470F">
      <w:pPr>
        <w:tabs>
          <w:tab w:val="left" w:pos="567"/>
        </w:tabs>
        <w:ind w:firstLine="567"/>
        <w:jc w:val="both"/>
        <w:rPr>
          <w:lang w:val="uk-UA"/>
        </w:rPr>
      </w:pPr>
      <w:r w:rsidRPr="00D63F58">
        <w:rPr>
          <w:lang w:val="uk-UA"/>
        </w:rPr>
        <w:t xml:space="preserve">Комбінований препарат, дія якого зумовлена компонентами, що входять до його складу. </w:t>
      </w:r>
    </w:p>
    <w:p w:rsidR="00A7470F" w:rsidRDefault="00A7470F" w:rsidP="00A7470F">
      <w:pPr>
        <w:shd w:val="clear" w:color="auto" w:fill="FFFFFF"/>
        <w:ind w:firstLine="567"/>
        <w:jc w:val="both"/>
      </w:pPr>
      <w:proofErr w:type="spellStart"/>
      <w:r w:rsidRPr="00636665">
        <w:rPr>
          <w:i/>
          <w:lang w:val="uk-UA"/>
        </w:rPr>
        <w:t>Толтразурил</w:t>
      </w:r>
      <w:proofErr w:type="spellEnd"/>
      <w:r>
        <w:rPr>
          <w:b/>
          <w:i/>
          <w:lang w:val="uk-UA"/>
        </w:rPr>
        <w:t xml:space="preserve"> – </w:t>
      </w:r>
      <w:proofErr w:type="spellStart"/>
      <w:r w:rsidRPr="00127294">
        <w:rPr>
          <w:lang w:val="uk-UA"/>
        </w:rPr>
        <w:t>ендопаразитицид</w:t>
      </w:r>
      <w:proofErr w:type="spellEnd"/>
      <w:r w:rsidRPr="00127294">
        <w:rPr>
          <w:bCs/>
          <w:iCs/>
          <w:lang w:val="uk-UA"/>
        </w:rPr>
        <w:t>,</w:t>
      </w:r>
      <w:r w:rsidRPr="00127294">
        <w:rPr>
          <w:lang w:val="uk-UA"/>
        </w:rPr>
        <w:t xml:space="preserve"> </w:t>
      </w:r>
      <w:r w:rsidRPr="00127294">
        <w:rPr>
          <w:rStyle w:val="cs5efed22f2"/>
          <w:rFonts w:eastAsia="Arial"/>
          <w:lang w:val="uk-UA"/>
        </w:rPr>
        <w:t>який є</w:t>
      </w:r>
      <w:r>
        <w:rPr>
          <w:rStyle w:val="cs5efed22f2"/>
          <w:rFonts w:eastAsia="Arial"/>
          <w:lang w:val="uk-UA"/>
        </w:rPr>
        <w:t xml:space="preserve"> похідним </w:t>
      </w:r>
      <w:proofErr w:type="spellStart"/>
      <w:r>
        <w:rPr>
          <w:rStyle w:val="cs5efed22f2"/>
          <w:rFonts w:eastAsia="Arial"/>
          <w:lang w:val="uk-UA"/>
        </w:rPr>
        <w:t>триазинтріону</w:t>
      </w:r>
      <w:proofErr w:type="spellEnd"/>
      <w:r>
        <w:t xml:space="preserve">. </w:t>
      </w:r>
      <w:proofErr w:type="spellStart"/>
      <w:r>
        <w:t>Толтразурил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внутрішньоклітинних</w:t>
      </w:r>
      <w:proofErr w:type="spellEnd"/>
      <w:r>
        <w:t xml:space="preserve"> </w:t>
      </w:r>
      <w:proofErr w:type="spellStart"/>
      <w:r>
        <w:t>стадій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кокцидій</w:t>
      </w:r>
      <w:proofErr w:type="spellEnd"/>
      <w:r>
        <w:t xml:space="preserve"> роду </w:t>
      </w:r>
      <w:proofErr w:type="spellStart"/>
      <w:r>
        <w:rPr>
          <w:i/>
        </w:rPr>
        <w:t>Іsospora</w:t>
      </w:r>
      <w:proofErr w:type="spellEnd"/>
      <w:r>
        <w:t xml:space="preserve"> та </w:t>
      </w:r>
      <w:proofErr w:type="spellStart"/>
      <w:r>
        <w:rPr>
          <w:i/>
        </w:rPr>
        <w:t>Eimeria</w:t>
      </w:r>
      <w:proofErr w:type="spellEnd"/>
      <w:r>
        <w:rPr>
          <w:lang w:val="uk-UA"/>
        </w:rPr>
        <w:t xml:space="preserve"> – </w:t>
      </w:r>
      <w:proofErr w:type="spellStart"/>
      <w:r>
        <w:t>мерогонії</w:t>
      </w:r>
      <w:proofErr w:type="spellEnd"/>
      <w:r>
        <w:t xml:space="preserve"> і </w:t>
      </w:r>
      <w:proofErr w:type="spellStart"/>
      <w:r>
        <w:t>гаметогонії</w:t>
      </w:r>
      <w:proofErr w:type="spellEnd"/>
      <w:r>
        <w:t xml:space="preserve">. </w:t>
      </w:r>
      <w:proofErr w:type="spellStart"/>
      <w:r>
        <w:t>Толтразурил</w:t>
      </w:r>
      <w:proofErr w:type="spellEnd"/>
      <w:r>
        <w:t xml:space="preserve"> </w:t>
      </w:r>
      <w:proofErr w:type="spellStart"/>
      <w:r>
        <w:t>блокує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</w:t>
      </w:r>
      <w:proofErr w:type="spellStart"/>
      <w:r>
        <w:t>ферменти</w:t>
      </w:r>
      <w:proofErr w:type="spellEnd"/>
      <w:r>
        <w:t xml:space="preserve"> і </w:t>
      </w:r>
      <w:r>
        <w:rPr>
          <w:lang w:val="uk-UA"/>
        </w:rPr>
        <w:t>діє</w:t>
      </w:r>
      <w:r>
        <w:t xml:space="preserve"> на </w:t>
      </w:r>
      <w:proofErr w:type="spellStart"/>
      <w:proofErr w:type="gramStart"/>
      <w:r>
        <w:t>м</w:t>
      </w:r>
      <w:proofErr w:type="gramEnd"/>
      <w:r>
        <w:t>ітохондрії</w:t>
      </w:r>
      <w:proofErr w:type="spellEnd"/>
      <w:r>
        <w:t xml:space="preserve"> і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ділення</w:t>
      </w:r>
      <w:proofErr w:type="spellEnd"/>
      <w:r>
        <w:t xml:space="preserve"> ядра </w:t>
      </w:r>
      <w:proofErr w:type="spellStart"/>
      <w:r>
        <w:t>ізоспор</w:t>
      </w:r>
      <w:proofErr w:type="spellEnd"/>
      <w:r>
        <w:t xml:space="preserve"> та </w:t>
      </w:r>
      <w:proofErr w:type="spellStart"/>
      <w:r>
        <w:t>еймерій</w:t>
      </w:r>
      <w:proofErr w:type="spellEnd"/>
      <w:r>
        <w:t xml:space="preserve">, </w:t>
      </w:r>
      <w:proofErr w:type="spellStart"/>
      <w:r>
        <w:t>порушуючи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макрогаметоцит</w:t>
      </w:r>
      <w:proofErr w:type="spellEnd"/>
      <w:r>
        <w:rPr>
          <w:lang w:val="uk-UA"/>
        </w:rPr>
        <w:t>у</w:t>
      </w:r>
      <w:r>
        <w:t xml:space="preserve"> та </w:t>
      </w:r>
      <w:proofErr w:type="spellStart"/>
      <w:r>
        <w:t>мікрогаметоцит</w:t>
      </w:r>
      <w:proofErr w:type="spellEnd"/>
      <w:r>
        <w:rPr>
          <w:lang w:val="uk-UA"/>
        </w:rPr>
        <w:t>у</w:t>
      </w:r>
      <w:r>
        <w:t xml:space="preserve">, </w:t>
      </w:r>
      <w:proofErr w:type="spellStart"/>
      <w:r>
        <w:t>виклика</w:t>
      </w:r>
      <w:r>
        <w:rPr>
          <w:lang w:val="uk-UA"/>
        </w:rPr>
        <w:t>ючи</w:t>
      </w:r>
      <w:proofErr w:type="spellEnd"/>
      <w:r>
        <w:t xml:space="preserve"> </w:t>
      </w:r>
      <w:proofErr w:type="spellStart"/>
      <w:r>
        <w:t>загибель</w:t>
      </w:r>
      <w:proofErr w:type="spellEnd"/>
      <w:r>
        <w:t xml:space="preserve"> паразита. </w:t>
      </w:r>
    </w:p>
    <w:p w:rsidR="00A7470F" w:rsidRDefault="00A7470F" w:rsidP="00A7470F">
      <w:pPr>
        <w:ind w:firstLine="567"/>
        <w:jc w:val="both"/>
        <w:rPr>
          <w:lang w:val="uk-UA"/>
        </w:rPr>
      </w:pPr>
      <w:r w:rsidRPr="00636665">
        <w:rPr>
          <w:i/>
          <w:lang w:val="uk-UA"/>
        </w:rPr>
        <w:t xml:space="preserve">Комплекс заліза (ІІІ) гідроксиду з низькомолекулярним </w:t>
      </w:r>
      <w:proofErr w:type="spellStart"/>
      <w:r w:rsidRPr="00636665">
        <w:rPr>
          <w:i/>
          <w:lang w:val="uk-UA"/>
        </w:rPr>
        <w:t>декстраном</w:t>
      </w:r>
      <w:proofErr w:type="spellEnd"/>
      <w:r>
        <w:rPr>
          <w:lang w:val="uk-UA"/>
        </w:rPr>
        <w:t xml:space="preserve"> стимулює кровотворну систему, підвищує рівень гемоглобіну, збільшує кількість еритроцитів.</w:t>
      </w:r>
    </w:p>
    <w:p w:rsidR="00A7470F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Ін'єкційні залізо-вуглеводні комплекси є </w:t>
      </w:r>
      <w:r w:rsidRPr="00CF0B9E">
        <w:rPr>
          <w:color w:val="000000" w:themeColor="text1"/>
          <w:lang w:val="uk-UA"/>
        </w:rPr>
        <w:t xml:space="preserve">визнаними  </w:t>
      </w:r>
      <w:r w:rsidR="00C06843" w:rsidRPr="00CF0B9E">
        <w:rPr>
          <w:color w:val="000000" w:themeColor="text1"/>
          <w:lang w:val="uk-UA"/>
        </w:rPr>
        <w:t xml:space="preserve">гематогенними засобами </w:t>
      </w:r>
      <w:r w:rsidRPr="00CF0B9E">
        <w:rPr>
          <w:color w:val="000000" w:themeColor="text1"/>
          <w:lang w:val="uk-UA"/>
        </w:rPr>
        <w:t xml:space="preserve">у ветеринарії </w:t>
      </w:r>
      <w:r>
        <w:rPr>
          <w:lang w:val="uk-UA"/>
        </w:rPr>
        <w:t xml:space="preserve">та ефективні для підвищення рівня гемоглобіну у поросят, вирощених в умовах інтенсивного свинарства, коли молочна дієта протягом декількох тижнів не забезпечує необхідний рівень заліза в організмі поросят. </w:t>
      </w:r>
    </w:p>
    <w:p w:rsidR="00A7470F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Період </w:t>
      </w:r>
      <w:proofErr w:type="spellStart"/>
      <w:r>
        <w:rPr>
          <w:lang w:val="uk-UA"/>
        </w:rPr>
        <w:t>напіввиведення</w:t>
      </w:r>
      <w:proofErr w:type="spellEnd"/>
      <w:r>
        <w:rPr>
          <w:lang w:val="uk-UA"/>
        </w:rPr>
        <w:t xml:space="preserve"> заліза з плазми крові становить 5 годин. Незначні кількості заліза виділяються разом із сечею. </w:t>
      </w:r>
      <w:proofErr w:type="spellStart"/>
      <w:r>
        <w:rPr>
          <w:lang w:val="uk-UA"/>
        </w:rPr>
        <w:t>Декстран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метаболізується</w:t>
      </w:r>
      <w:proofErr w:type="spellEnd"/>
      <w:r>
        <w:rPr>
          <w:lang w:val="uk-UA"/>
        </w:rPr>
        <w:t xml:space="preserve"> та виводиться нирками.</w:t>
      </w:r>
    </w:p>
    <w:p w:rsidR="00A7470F" w:rsidRDefault="00A7470F" w:rsidP="00A7470F">
      <w:pPr>
        <w:ind w:firstLine="567"/>
        <w:jc w:val="both"/>
        <w:rPr>
          <w:lang w:val="uk-UA"/>
        </w:rPr>
      </w:pPr>
      <w:r>
        <w:rPr>
          <w:lang w:val="uk-UA"/>
        </w:rPr>
        <w:t xml:space="preserve">Після введення препарату поросятам у дозі </w:t>
      </w:r>
      <w:r>
        <w:rPr>
          <w:shd w:val="clear" w:color="auto" w:fill="FFFFFF"/>
          <w:lang w:val="uk-UA"/>
        </w:rPr>
        <w:t>1,5 мл на тварину максимальні концентрації (</w:t>
      </w:r>
      <w:r>
        <w:rPr>
          <w:lang w:val="uk-UA"/>
        </w:rPr>
        <w:t>С</w:t>
      </w:r>
      <w:proofErr w:type="spellStart"/>
      <w:r>
        <w:rPr>
          <w:vertAlign w:val="subscript"/>
        </w:rPr>
        <w:t>max</w:t>
      </w:r>
      <w:proofErr w:type="spellEnd"/>
      <w:r>
        <w:rPr>
          <w:shd w:val="clear" w:color="auto" w:fill="FFFFFF"/>
          <w:lang w:val="uk-UA"/>
        </w:rPr>
        <w:t xml:space="preserve">) </w:t>
      </w:r>
      <w:proofErr w:type="spellStart"/>
      <w:r>
        <w:rPr>
          <w:shd w:val="clear" w:color="auto" w:fill="FFFFFF"/>
          <w:lang w:val="uk-UA"/>
        </w:rPr>
        <w:t>толтразурилу</w:t>
      </w:r>
      <w:proofErr w:type="spellEnd"/>
      <w:r>
        <w:rPr>
          <w:shd w:val="clear" w:color="auto" w:fill="FFFFFF"/>
          <w:lang w:val="uk-UA"/>
        </w:rPr>
        <w:t xml:space="preserve"> 7 </w:t>
      </w:r>
      <w:proofErr w:type="spellStart"/>
      <w:r>
        <w:rPr>
          <w:shd w:val="clear" w:color="auto" w:fill="FFFFFF"/>
          <w:lang w:val="uk-UA"/>
        </w:rPr>
        <w:t>мкг</w:t>
      </w:r>
      <w:proofErr w:type="spellEnd"/>
      <w:r>
        <w:rPr>
          <w:shd w:val="clear" w:color="auto" w:fill="FFFFFF"/>
          <w:lang w:val="uk-UA"/>
        </w:rPr>
        <w:t xml:space="preserve">/мл </w:t>
      </w:r>
      <w:r>
        <w:rPr>
          <w:lang w:val="uk-UA"/>
        </w:rPr>
        <w:t>досягались у середньому через 6 діб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rPr>
          <w:lang w:val="uk-UA"/>
        </w:rPr>
        <w:t xml:space="preserve"> становить від 4 </w:t>
      </w:r>
      <w:r w:rsidRPr="00CF0B9E">
        <w:rPr>
          <w:lang w:val="uk-UA"/>
        </w:rPr>
        <w:t>до 7 д</w:t>
      </w:r>
      <w:r w:rsidR="008F7805" w:rsidRPr="00CF0B9E">
        <w:rPr>
          <w:lang w:val="uk-UA"/>
        </w:rPr>
        <w:t>іб</w:t>
      </w:r>
      <w:r w:rsidRPr="00CF0B9E">
        <w:rPr>
          <w:lang w:val="uk-UA"/>
        </w:rPr>
        <w:t>).</w:t>
      </w:r>
      <w:r>
        <w:rPr>
          <w:lang w:val="uk-UA"/>
        </w:rPr>
        <w:t xml:space="preserve"> </w:t>
      </w:r>
    </w:p>
    <w:p w:rsidR="00A7470F" w:rsidRDefault="00A7470F" w:rsidP="00A7470F">
      <w:pPr>
        <w:ind w:firstLine="567"/>
        <w:jc w:val="both"/>
        <w:rPr>
          <w:lang w:val="uk-UA"/>
        </w:rPr>
      </w:pPr>
      <w:proofErr w:type="spellStart"/>
      <w:r>
        <w:t>Толтразурил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основному </w:t>
      </w:r>
      <w:proofErr w:type="spellStart"/>
      <w:r>
        <w:t>перетворюється</w:t>
      </w:r>
      <w:proofErr w:type="spellEnd"/>
      <w:r>
        <w:t xml:space="preserve"> у </w:t>
      </w:r>
      <w:proofErr w:type="spellStart"/>
      <w:r>
        <w:t>толтразурил</w:t>
      </w:r>
      <w:proofErr w:type="spellEnd"/>
      <w:r>
        <w:t xml:space="preserve"> </w:t>
      </w:r>
      <w:proofErr w:type="spellStart"/>
      <w:r>
        <w:t>сульфон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Толтразурил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сульфон</w:t>
      </w:r>
      <w:proofErr w:type="spellEnd"/>
      <w:r>
        <w:rPr>
          <w:lang w:val="uk-UA"/>
        </w:rPr>
        <w:t xml:space="preserve"> повільно виділяється (період напіврозпаду – 3 доби). </w:t>
      </w:r>
      <w:proofErr w:type="spellStart"/>
      <w:r>
        <w:t>Виводиться</w:t>
      </w:r>
      <w:proofErr w:type="spellEnd"/>
      <w:r>
        <w:t xml:space="preserve">, </w:t>
      </w:r>
      <w:proofErr w:type="gramStart"/>
      <w:r>
        <w:t>в</w:t>
      </w:r>
      <w:proofErr w:type="gramEnd"/>
      <w:r>
        <w:t xml:space="preserve"> основному, з </w:t>
      </w:r>
      <w:proofErr w:type="spellStart"/>
      <w:r>
        <w:t>фекаліями</w:t>
      </w:r>
      <w:proofErr w:type="spellEnd"/>
      <w:r>
        <w:rPr>
          <w:lang w:val="uk-UA"/>
        </w:rPr>
        <w:t>.</w:t>
      </w:r>
    </w:p>
    <w:p w:rsidR="00A7470F" w:rsidRDefault="00A7470F" w:rsidP="00A7470F">
      <w:pPr>
        <w:ind w:firstLine="567"/>
        <w:jc w:val="both"/>
      </w:pPr>
      <w:r>
        <w:rPr>
          <w:lang w:val="uk-UA"/>
        </w:rPr>
        <w:t xml:space="preserve">Після </w:t>
      </w:r>
      <w:proofErr w:type="spellStart"/>
      <w:r>
        <w:rPr>
          <w:lang w:val="uk-UA"/>
        </w:rPr>
        <w:t>парентерального</w:t>
      </w:r>
      <w:proofErr w:type="spellEnd"/>
      <w:r>
        <w:rPr>
          <w:lang w:val="uk-UA"/>
        </w:rPr>
        <w:t xml:space="preserve"> введення залізо швидко всмоктується з місця ін'єкції в капіляри та лімфатичну систему.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залізо</w:t>
      </w:r>
      <w:proofErr w:type="spellEnd"/>
      <w:r>
        <w:t xml:space="preserve"> </w:t>
      </w:r>
      <w:r>
        <w:rPr>
          <w:lang w:val="uk-UA"/>
        </w:rPr>
        <w:t>використовується</w:t>
      </w:r>
      <w:r>
        <w:t xml:space="preserve"> </w:t>
      </w:r>
      <w:proofErr w:type="spellStart"/>
      <w:r>
        <w:t>організм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</w:t>
      </w:r>
      <w:r w:rsidRPr="00636665">
        <w:t>поросят</w:t>
      </w:r>
      <w:r>
        <w:rPr>
          <w:lang w:val="uk-UA"/>
        </w:rPr>
        <w:t xml:space="preserve"> для поповнення його дефіциту</w:t>
      </w:r>
      <w:r>
        <w:t xml:space="preserve">, </w:t>
      </w:r>
      <w:proofErr w:type="spellStart"/>
      <w:r>
        <w:t>незначна</w:t>
      </w:r>
      <w:proofErr w:type="spellEnd"/>
      <w:r>
        <w:t xml:space="preserve"> </w:t>
      </w:r>
      <w:r>
        <w:rPr>
          <w:lang w:val="uk-UA"/>
        </w:rPr>
        <w:t xml:space="preserve">його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виводиться</w:t>
      </w:r>
      <w:proofErr w:type="spellEnd"/>
      <w:r>
        <w:t xml:space="preserve"> з </w:t>
      </w:r>
      <w:proofErr w:type="spellStart"/>
      <w:r>
        <w:t>організму</w:t>
      </w:r>
      <w:proofErr w:type="spellEnd"/>
      <w:r>
        <w:rPr>
          <w:lang w:val="uk-UA"/>
        </w:rPr>
        <w:t xml:space="preserve"> </w:t>
      </w:r>
      <w:r>
        <w:t xml:space="preserve">з </w:t>
      </w:r>
      <w:proofErr w:type="spellStart"/>
      <w:r>
        <w:t>фекаліями</w:t>
      </w:r>
      <w:proofErr w:type="spellEnd"/>
      <w:r>
        <w:t xml:space="preserve"> і </w:t>
      </w:r>
      <w:r>
        <w:rPr>
          <w:lang w:val="uk-UA"/>
        </w:rPr>
        <w:t xml:space="preserve">з </w:t>
      </w:r>
      <w:r>
        <w:t>сечею.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5. Клінічні особливості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5.1 Вид тварин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>
        <w:rPr>
          <w:bCs/>
          <w:lang w:val="uk-UA" w:eastAsia="en-US"/>
        </w:rPr>
        <w:t>С</w:t>
      </w:r>
      <w:r w:rsidRPr="00D63F58">
        <w:rPr>
          <w:bCs/>
          <w:lang w:val="uk-UA" w:eastAsia="en-US"/>
        </w:rPr>
        <w:t>вині (поросята)</w:t>
      </w:r>
      <w:r w:rsidRPr="00D63F58">
        <w:rPr>
          <w:bCs/>
          <w:lang w:eastAsia="en-US"/>
        </w:rPr>
        <w:t>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D63F58">
        <w:rPr>
          <w:b/>
          <w:snapToGrid w:val="0"/>
          <w:lang w:val="uk-UA" w:eastAsia="en-US"/>
        </w:rPr>
        <w:t>5.2 Показання до застосування</w:t>
      </w:r>
    </w:p>
    <w:p w:rsidR="00A7470F" w:rsidRPr="00636665" w:rsidRDefault="00A7470F" w:rsidP="00A7470F">
      <w:pPr>
        <w:ind w:firstLine="567"/>
        <w:jc w:val="both"/>
        <w:rPr>
          <w:lang w:val="uk-UA"/>
        </w:rPr>
      </w:pPr>
      <w:r>
        <w:rPr>
          <w:lang w:val="uk-UA"/>
        </w:rPr>
        <w:t>Д</w:t>
      </w:r>
      <w:r w:rsidRPr="00636665">
        <w:rPr>
          <w:lang w:val="uk-UA"/>
        </w:rPr>
        <w:t>ля профілактики залізодефіцитної анемії</w:t>
      </w:r>
      <w:r>
        <w:rPr>
          <w:lang w:val="uk-UA"/>
        </w:rPr>
        <w:t xml:space="preserve">, </w:t>
      </w:r>
      <w:r w:rsidRPr="00636665">
        <w:rPr>
          <w:lang w:val="uk-UA"/>
        </w:rPr>
        <w:t xml:space="preserve">зменшення виділення </w:t>
      </w:r>
      <w:proofErr w:type="spellStart"/>
      <w:r w:rsidRPr="00636665">
        <w:rPr>
          <w:lang w:val="uk-UA"/>
        </w:rPr>
        <w:t>ооцист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кокцидій</w:t>
      </w:r>
      <w:proofErr w:type="spellEnd"/>
      <w:r w:rsidRPr="00636665">
        <w:rPr>
          <w:lang w:val="uk-UA"/>
        </w:rPr>
        <w:t xml:space="preserve"> в навколишнє середовище, </w:t>
      </w:r>
      <w:r>
        <w:rPr>
          <w:lang w:val="uk-UA"/>
        </w:rPr>
        <w:t xml:space="preserve">попередження </w:t>
      </w:r>
      <w:r w:rsidRPr="00636665">
        <w:rPr>
          <w:lang w:val="uk-UA"/>
        </w:rPr>
        <w:t>клінічних</w:t>
      </w:r>
      <w:r w:rsidRPr="00636665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ознак </w:t>
      </w:r>
      <w:r w:rsidRPr="00636665">
        <w:rPr>
          <w:shd w:val="clear" w:color="auto" w:fill="FFFFFF"/>
          <w:lang w:val="uk-UA"/>
        </w:rPr>
        <w:t>кокцидіозу (діареї),</w:t>
      </w:r>
      <w:r w:rsidRPr="00636665">
        <w:rPr>
          <w:lang w:val="uk-UA"/>
        </w:rPr>
        <w:t xml:space="preserve"> а також при захворюванні</w:t>
      </w:r>
      <w:r>
        <w:rPr>
          <w:lang w:val="uk-UA"/>
        </w:rPr>
        <w:t xml:space="preserve"> </w:t>
      </w:r>
      <w:r w:rsidRPr="008F7805">
        <w:rPr>
          <w:lang w:val="uk-UA"/>
        </w:rPr>
        <w:t xml:space="preserve">на </w:t>
      </w:r>
      <w:proofErr w:type="spellStart"/>
      <w:r w:rsidRPr="008F7805">
        <w:rPr>
          <w:lang w:val="uk-UA"/>
        </w:rPr>
        <w:t>ізоспороз</w:t>
      </w:r>
      <w:proofErr w:type="spellEnd"/>
      <w:r w:rsidRPr="00636665">
        <w:rPr>
          <w:lang w:val="uk-UA"/>
        </w:rPr>
        <w:t>, спричинен</w:t>
      </w:r>
      <w:r w:rsidRPr="008F7805">
        <w:rPr>
          <w:lang w:val="uk-UA"/>
        </w:rPr>
        <w:t>ий</w:t>
      </w:r>
      <w:r w:rsidRPr="00636665">
        <w:rPr>
          <w:lang w:val="uk-UA"/>
        </w:rPr>
        <w:t xml:space="preserve"> </w:t>
      </w:r>
      <w:r w:rsidRPr="00636665">
        <w:rPr>
          <w:i/>
          <w:lang w:val="uk-UA"/>
        </w:rPr>
        <w:t>І</w:t>
      </w:r>
      <w:proofErr w:type="spellStart"/>
      <w:r>
        <w:rPr>
          <w:i/>
        </w:rPr>
        <w:t>sospora</w:t>
      </w:r>
      <w:proofErr w:type="spellEnd"/>
      <w:r w:rsidRPr="00636665">
        <w:rPr>
          <w:i/>
          <w:lang w:val="uk-UA"/>
        </w:rPr>
        <w:t xml:space="preserve"> </w:t>
      </w:r>
      <w:proofErr w:type="spellStart"/>
      <w:r>
        <w:rPr>
          <w:i/>
        </w:rPr>
        <w:t>suis</w:t>
      </w:r>
      <w:proofErr w:type="spellEnd"/>
      <w:r w:rsidRPr="00636665">
        <w:rPr>
          <w:lang w:val="uk-UA"/>
        </w:rPr>
        <w:t xml:space="preserve">. 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5.3 Протипоказання</w:t>
      </w:r>
    </w:p>
    <w:p w:rsidR="00A7470F" w:rsidRPr="00CF0B9E" w:rsidRDefault="00A7470F" w:rsidP="00A7470F">
      <w:pPr>
        <w:shd w:val="clear" w:color="auto" w:fill="FFFFFF"/>
        <w:ind w:firstLine="567"/>
        <w:jc w:val="both"/>
        <w:rPr>
          <w:color w:val="000000" w:themeColor="text1"/>
        </w:rPr>
      </w:pPr>
      <w:r w:rsidRPr="00636665">
        <w:rPr>
          <w:color w:val="333333"/>
        </w:rPr>
        <w:t xml:space="preserve">Не </w:t>
      </w:r>
      <w:proofErr w:type="spellStart"/>
      <w:r w:rsidRPr="00636665">
        <w:rPr>
          <w:color w:val="333333"/>
        </w:rPr>
        <w:t>застосовувати</w:t>
      </w:r>
      <w:proofErr w:type="spellEnd"/>
      <w:r w:rsidRPr="00636665">
        <w:rPr>
          <w:color w:val="333333"/>
        </w:rPr>
        <w:t xml:space="preserve"> </w:t>
      </w:r>
      <w:r w:rsidRPr="00CF0B9E">
        <w:rPr>
          <w:color w:val="000000" w:themeColor="text1"/>
        </w:rPr>
        <w:t xml:space="preserve">поросятам, </w:t>
      </w:r>
      <w:r w:rsidR="0080553B" w:rsidRPr="00CF0B9E">
        <w:rPr>
          <w:color w:val="000000" w:themeColor="text1"/>
          <w:lang w:val="uk-UA"/>
        </w:rPr>
        <w:t xml:space="preserve"> у яких підозрюють дефіцит </w:t>
      </w:r>
      <w:proofErr w:type="spellStart"/>
      <w:r w:rsidRPr="00CF0B9E">
        <w:rPr>
          <w:color w:val="000000" w:themeColor="text1"/>
        </w:rPr>
        <w:t>вітаміну</w:t>
      </w:r>
      <w:proofErr w:type="spellEnd"/>
      <w:proofErr w:type="gramStart"/>
      <w:r w:rsidRPr="00CF0B9E">
        <w:rPr>
          <w:color w:val="000000" w:themeColor="text1"/>
        </w:rPr>
        <w:t xml:space="preserve"> Е</w:t>
      </w:r>
      <w:proofErr w:type="gramEnd"/>
      <w:r w:rsidRPr="00CF0B9E">
        <w:rPr>
          <w:color w:val="000000" w:themeColor="text1"/>
        </w:rPr>
        <w:t xml:space="preserve"> та/</w:t>
      </w:r>
      <w:proofErr w:type="spellStart"/>
      <w:r w:rsidRPr="00CF0B9E">
        <w:rPr>
          <w:color w:val="000000" w:themeColor="text1"/>
        </w:rPr>
        <w:t>або</w:t>
      </w:r>
      <w:proofErr w:type="spellEnd"/>
      <w:r w:rsidRPr="00CF0B9E">
        <w:rPr>
          <w:color w:val="000000" w:themeColor="text1"/>
        </w:rPr>
        <w:t xml:space="preserve"> селену. </w:t>
      </w:r>
    </w:p>
    <w:p w:rsidR="00A7470F" w:rsidRPr="00636665" w:rsidRDefault="00A7470F" w:rsidP="00A7470F">
      <w:pPr>
        <w:ind w:firstLine="567"/>
        <w:jc w:val="both"/>
        <w:rPr>
          <w:color w:val="000000"/>
          <w:lang w:val="uk-UA"/>
        </w:rPr>
      </w:pPr>
      <w:r w:rsidRPr="00636665">
        <w:rPr>
          <w:color w:val="000000"/>
          <w:lang w:val="uk-UA"/>
        </w:rPr>
        <w:t xml:space="preserve">Не застосовувати в комбінації із </w:t>
      </w:r>
      <w:proofErr w:type="spellStart"/>
      <w:r w:rsidRPr="00636665">
        <w:rPr>
          <w:color w:val="000000"/>
          <w:lang w:val="uk-UA"/>
        </w:rPr>
        <w:t>тетрациклінами</w:t>
      </w:r>
      <w:proofErr w:type="spellEnd"/>
      <w:r w:rsidRPr="00636665">
        <w:rPr>
          <w:color w:val="000000"/>
          <w:lang w:val="uk-UA"/>
        </w:rPr>
        <w:t>.</w:t>
      </w:r>
    </w:p>
    <w:p w:rsidR="00A7470F" w:rsidRPr="00636665" w:rsidRDefault="00A7470F" w:rsidP="00A7470F">
      <w:pPr>
        <w:ind w:firstLine="567"/>
        <w:jc w:val="both"/>
        <w:rPr>
          <w:lang w:val="uk-UA"/>
        </w:rPr>
      </w:pPr>
      <w:r w:rsidRPr="00636665">
        <w:rPr>
          <w:lang w:val="uk-UA"/>
        </w:rPr>
        <w:t>Не змішувати в одному шприці з іншими ветеринарними препаратами.</w:t>
      </w:r>
    </w:p>
    <w:p w:rsidR="00035C5A" w:rsidRDefault="00A7470F" w:rsidP="00005069">
      <w:pPr>
        <w:pStyle w:val="cs7fb5c607"/>
        <w:ind w:firstLine="567"/>
        <w:rPr>
          <w:rStyle w:val="cs5efed22f4"/>
          <w:lang w:val="uk-UA"/>
        </w:rPr>
      </w:pPr>
      <w:r w:rsidRPr="00636665">
        <w:rPr>
          <w:rStyle w:val="cs5efed22f4"/>
        </w:rPr>
        <w:t xml:space="preserve">Не </w:t>
      </w:r>
      <w:proofErr w:type="spellStart"/>
      <w:r w:rsidRPr="00636665">
        <w:rPr>
          <w:rStyle w:val="cs5efed22f4"/>
        </w:rPr>
        <w:t>застосовують</w:t>
      </w:r>
      <w:proofErr w:type="spellEnd"/>
      <w:r w:rsidRPr="00636665">
        <w:rPr>
          <w:rStyle w:val="cs5efed22f4"/>
        </w:rPr>
        <w:t xml:space="preserve"> препарат </w:t>
      </w:r>
      <w:proofErr w:type="spellStart"/>
      <w:r w:rsidRPr="00636665">
        <w:rPr>
          <w:rStyle w:val="cs5efed22f4"/>
        </w:rPr>
        <w:t>тваринам</w:t>
      </w:r>
      <w:proofErr w:type="spellEnd"/>
      <w:r w:rsidRPr="00636665">
        <w:rPr>
          <w:rStyle w:val="cs5efed22f4"/>
        </w:rPr>
        <w:t xml:space="preserve"> </w:t>
      </w:r>
      <w:proofErr w:type="spellStart"/>
      <w:proofErr w:type="gramStart"/>
      <w:r w:rsidRPr="00636665">
        <w:rPr>
          <w:rStyle w:val="cs5efed22f4"/>
        </w:rPr>
        <w:t>п</w:t>
      </w:r>
      <w:proofErr w:type="gramEnd"/>
      <w:r w:rsidRPr="00636665">
        <w:rPr>
          <w:rStyle w:val="cs5efed22f4"/>
        </w:rPr>
        <w:t>ід</w:t>
      </w:r>
      <w:proofErr w:type="spellEnd"/>
      <w:r w:rsidRPr="00636665">
        <w:rPr>
          <w:rStyle w:val="cs5efed22f4"/>
        </w:rPr>
        <w:t xml:space="preserve"> час </w:t>
      </w:r>
      <w:proofErr w:type="spellStart"/>
      <w:r w:rsidRPr="00636665">
        <w:rPr>
          <w:rStyle w:val="cs5efed22f4"/>
        </w:rPr>
        <w:t>вагітності</w:t>
      </w:r>
      <w:proofErr w:type="spellEnd"/>
      <w:r w:rsidRPr="00636665">
        <w:rPr>
          <w:rStyle w:val="cs5efed22f4"/>
        </w:rPr>
        <w:t xml:space="preserve"> та </w:t>
      </w:r>
      <w:proofErr w:type="spellStart"/>
      <w:r w:rsidRPr="00636665">
        <w:rPr>
          <w:rStyle w:val="cs5efed22f4"/>
        </w:rPr>
        <w:t>лактації</w:t>
      </w:r>
      <w:proofErr w:type="spellEnd"/>
      <w:r w:rsidRPr="00636665">
        <w:rPr>
          <w:rStyle w:val="cs5efed22f4"/>
        </w:rPr>
        <w:t>!</w:t>
      </w:r>
    </w:p>
    <w:p w:rsidR="009F7943" w:rsidRPr="009F7943" w:rsidRDefault="009F7943" w:rsidP="00005069">
      <w:pPr>
        <w:pStyle w:val="cs7fb5c607"/>
        <w:ind w:firstLine="567"/>
        <w:rPr>
          <w:rStyle w:val="cs5efed22f4"/>
          <w:lang w:val="uk-UA"/>
        </w:rPr>
      </w:pPr>
      <w:bookmarkStart w:id="0" w:name="_GoBack"/>
      <w:bookmarkEnd w:id="0"/>
    </w:p>
    <w:p w:rsidR="00035C5A" w:rsidRDefault="00035C5A" w:rsidP="00035C5A">
      <w:pPr>
        <w:pStyle w:val="cs7fb5c607"/>
        <w:ind w:firstLine="567"/>
        <w:jc w:val="right"/>
        <w:rPr>
          <w:rStyle w:val="cs5efed22f4"/>
          <w:lang w:val="uk-UA"/>
        </w:rPr>
      </w:pPr>
      <w:r>
        <w:rPr>
          <w:rStyle w:val="cs5efed22f4"/>
          <w:lang w:val="uk-UA"/>
        </w:rPr>
        <w:lastRenderedPageBreak/>
        <w:t>Продовження додатку 1</w:t>
      </w:r>
    </w:p>
    <w:p w:rsidR="00035C5A" w:rsidRDefault="00035C5A" w:rsidP="00D54461">
      <w:pPr>
        <w:pStyle w:val="cs7fb5c607"/>
        <w:ind w:left="4248" w:firstLine="708"/>
        <w:jc w:val="right"/>
        <w:rPr>
          <w:rStyle w:val="cs5efed22f4"/>
          <w:lang w:val="uk-UA"/>
        </w:rPr>
      </w:pPr>
      <w:r>
        <w:rPr>
          <w:rStyle w:val="cs5efed22f4"/>
          <w:lang w:val="uk-UA"/>
        </w:rPr>
        <w:t>до реєстраційного посвідчення АВ-</w:t>
      </w:r>
      <w:r w:rsidR="00D54461">
        <w:rPr>
          <w:rStyle w:val="cs5efed22f4"/>
          <w:lang w:val="uk-UA"/>
        </w:rPr>
        <w:t>10051-01-26</w:t>
      </w:r>
    </w:p>
    <w:p w:rsidR="00035C5A" w:rsidRDefault="00035C5A" w:rsidP="00A7470F">
      <w:pPr>
        <w:pStyle w:val="cs7fb5c607"/>
        <w:ind w:firstLine="567"/>
        <w:rPr>
          <w:rStyle w:val="cs5efed22f4"/>
          <w:lang w:val="uk-UA"/>
        </w:rPr>
      </w:pPr>
    </w:p>
    <w:p w:rsidR="00035C5A" w:rsidRPr="00035C5A" w:rsidRDefault="00035C5A" w:rsidP="00035C5A">
      <w:pPr>
        <w:pStyle w:val="cs7fb5c607"/>
        <w:ind w:firstLine="0"/>
        <w:jc w:val="center"/>
        <w:rPr>
          <w:lang w:val="uk-UA"/>
        </w:rPr>
      </w:pP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5.4 Побічна дія</w:t>
      </w:r>
    </w:p>
    <w:p w:rsidR="00A7470F" w:rsidRPr="004038BE" w:rsidRDefault="00A7470F" w:rsidP="00A7470F">
      <w:pPr>
        <w:shd w:val="clear" w:color="auto" w:fill="FFFFFF"/>
        <w:ind w:firstLine="567"/>
        <w:jc w:val="both"/>
        <w:rPr>
          <w:color w:val="333333"/>
        </w:rPr>
      </w:pPr>
      <w:r>
        <w:rPr>
          <w:lang w:val="uk-UA"/>
        </w:rPr>
        <w:t>П</w:t>
      </w:r>
      <w:proofErr w:type="spellStart"/>
      <w:r>
        <w:t>ісля</w:t>
      </w:r>
      <w:proofErr w:type="spellEnd"/>
      <w:r>
        <w:t xml:space="preserve"> парентерального </w:t>
      </w:r>
      <w:proofErr w:type="spellStart"/>
      <w:r>
        <w:t>введення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</w:t>
      </w:r>
      <w:proofErr w:type="spellStart"/>
      <w:r>
        <w:t>загибель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 xml:space="preserve"> ("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" – </w:t>
      </w:r>
      <w:proofErr w:type="spellStart"/>
      <w:r>
        <w:t>менше</w:t>
      </w:r>
      <w:proofErr w:type="spellEnd"/>
      <w:r>
        <w:t xml:space="preserve"> 1 </w:t>
      </w:r>
      <w:proofErr w:type="spellStart"/>
      <w:r>
        <w:t>тварини</w:t>
      </w:r>
      <w:proofErr w:type="spellEnd"/>
      <w:r>
        <w:t xml:space="preserve"> на 10 000 </w:t>
      </w:r>
      <w:proofErr w:type="spellStart"/>
      <w:r>
        <w:t>тварин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застосовували</w:t>
      </w:r>
      <w:proofErr w:type="spellEnd"/>
      <w:r>
        <w:t xml:space="preserve"> </w:t>
      </w:r>
      <w:proofErr w:type="spellStart"/>
      <w:r>
        <w:t>залізо</w:t>
      </w:r>
      <w:proofErr w:type="spellEnd"/>
      <w:r>
        <w:t xml:space="preserve">). </w:t>
      </w:r>
      <w:r>
        <w:rPr>
          <w:lang w:val="uk-UA"/>
        </w:rPr>
        <w:t>Така</w:t>
      </w:r>
      <w:r>
        <w:t xml:space="preserve"> </w:t>
      </w:r>
      <w:proofErr w:type="spellStart"/>
      <w:r>
        <w:t>загибель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</w:t>
      </w:r>
      <w:proofErr w:type="spellStart"/>
      <w:r>
        <w:t>генетичними</w:t>
      </w:r>
      <w:proofErr w:type="spellEnd"/>
      <w:r>
        <w:t xml:space="preserve"> </w:t>
      </w:r>
      <w:proofErr w:type="spellStart"/>
      <w:r>
        <w:t>особливостями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дефіцитом</w:t>
      </w:r>
      <w:proofErr w:type="spellEnd"/>
      <w:r>
        <w:t xml:space="preserve"> </w:t>
      </w:r>
      <w:proofErr w:type="spellStart"/>
      <w:r>
        <w:t>вітаміну</w:t>
      </w:r>
      <w:proofErr w:type="spellEnd"/>
      <w:r>
        <w:t xml:space="preserve"> Е та/</w:t>
      </w:r>
      <w:proofErr w:type="spellStart"/>
      <w:r>
        <w:t>або</w:t>
      </w:r>
      <w:proofErr w:type="spellEnd"/>
      <w:r>
        <w:t xml:space="preserve"> селену.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повідомлено</w:t>
      </w:r>
      <w:proofErr w:type="spellEnd"/>
      <w:r>
        <w:t xml:space="preserve"> про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загибелі</w:t>
      </w:r>
      <w:proofErr w:type="spellEnd"/>
      <w:r>
        <w:t xml:space="preserve"> поросят, через </w:t>
      </w:r>
      <w:proofErr w:type="spellStart"/>
      <w:proofErr w:type="gramStart"/>
      <w:r>
        <w:t>п</w:t>
      </w:r>
      <w:proofErr w:type="gramEnd"/>
      <w:r>
        <w:t>ідвищену</w:t>
      </w:r>
      <w:proofErr w:type="spellEnd"/>
      <w:r>
        <w:t xml:space="preserve"> </w:t>
      </w:r>
      <w:proofErr w:type="spellStart"/>
      <w:r w:rsidRPr="004038BE">
        <w:t>сприйнятливіст</w:t>
      </w:r>
      <w:proofErr w:type="spellEnd"/>
      <w:r w:rsidRPr="004038BE">
        <w:rPr>
          <w:lang w:val="uk-UA"/>
        </w:rPr>
        <w:t>ь</w:t>
      </w:r>
      <w:r w:rsidRPr="004038BE">
        <w:t xml:space="preserve"> до </w:t>
      </w:r>
      <w:proofErr w:type="spellStart"/>
      <w:r w:rsidRPr="004038BE">
        <w:t>інфекції</w:t>
      </w:r>
      <w:proofErr w:type="spellEnd"/>
      <w:r w:rsidRPr="004038BE">
        <w:t xml:space="preserve"> через </w:t>
      </w:r>
      <w:proofErr w:type="spellStart"/>
      <w:r w:rsidRPr="004038BE">
        <w:t>тимчасове</w:t>
      </w:r>
      <w:proofErr w:type="spellEnd"/>
      <w:r w:rsidRPr="004038BE">
        <w:t xml:space="preserve"> </w:t>
      </w:r>
      <w:proofErr w:type="spellStart"/>
      <w:r w:rsidRPr="004038BE">
        <w:t>блокування</w:t>
      </w:r>
      <w:proofErr w:type="spellEnd"/>
      <w:r w:rsidRPr="004038BE">
        <w:t xml:space="preserve"> </w:t>
      </w:r>
      <w:r w:rsidRPr="004038BE">
        <w:rPr>
          <w:lang w:val="uk-UA"/>
        </w:rPr>
        <w:t>р</w:t>
      </w:r>
      <w:proofErr w:type="spellStart"/>
      <w:r w:rsidRPr="004038BE">
        <w:t>етикулоендотеліальної</w:t>
      </w:r>
      <w:proofErr w:type="spellEnd"/>
      <w:r w:rsidRPr="004038BE">
        <w:t xml:space="preserve"> </w:t>
      </w:r>
      <w:proofErr w:type="spellStart"/>
      <w:r w:rsidRPr="004038BE">
        <w:t>системи</w:t>
      </w:r>
      <w:proofErr w:type="spellEnd"/>
      <w:r w:rsidRPr="004038BE">
        <w:t xml:space="preserve">. </w:t>
      </w:r>
    </w:p>
    <w:p w:rsidR="00A7470F" w:rsidRPr="004038BE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4038BE">
        <w:t>Одн</w:t>
      </w:r>
      <w:proofErr w:type="gramStart"/>
      <w:r w:rsidRPr="004038BE">
        <w:t>о</w:t>
      </w:r>
      <w:r w:rsidRPr="004038BE">
        <w:rPr>
          <w:lang w:val="uk-UA"/>
        </w:rPr>
        <w:t>-</w:t>
      </w:r>
      <w:proofErr w:type="gramEnd"/>
      <w:r w:rsidRPr="004038BE">
        <w:t xml:space="preserve"> і </w:t>
      </w:r>
      <w:proofErr w:type="spellStart"/>
      <w:r w:rsidRPr="004038BE">
        <w:t>дворазове</w:t>
      </w:r>
      <w:proofErr w:type="spellEnd"/>
      <w:r w:rsidRPr="004038BE">
        <w:t xml:space="preserve"> </w:t>
      </w:r>
      <w:proofErr w:type="spellStart"/>
      <w:r w:rsidRPr="004038BE">
        <w:t>введення</w:t>
      </w:r>
      <w:proofErr w:type="spellEnd"/>
      <w:r w:rsidRPr="004038BE">
        <w:t xml:space="preserve"> </w:t>
      </w:r>
      <w:proofErr w:type="spellStart"/>
      <w:r w:rsidRPr="004038BE">
        <w:t>рекомендованої</w:t>
      </w:r>
      <w:proofErr w:type="spellEnd"/>
      <w:r w:rsidRPr="004038BE">
        <w:t xml:space="preserve"> </w:t>
      </w:r>
      <w:proofErr w:type="spellStart"/>
      <w:r w:rsidRPr="004038BE">
        <w:t>дози</w:t>
      </w:r>
      <w:proofErr w:type="spellEnd"/>
      <w:r w:rsidRPr="004038BE">
        <w:t xml:space="preserve"> добре переноситься </w:t>
      </w:r>
      <w:proofErr w:type="spellStart"/>
      <w:r w:rsidRPr="004038BE">
        <w:t>новонародженими</w:t>
      </w:r>
      <w:proofErr w:type="spellEnd"/>
      <w:r w:rsidRPr="004038BE">
        <w:t xml:space="preserve"> поросятами. При </w:t>
      </w:r>
      <w:proofErr w:type="spellStart"/>
      <w:r w:rsidRPr="004038BE">
        <w:t>введенні</w:t>
      </w:r>
      <w:proofErr w:type="spellEnd"/>
      <w:r w:rsidRPr="004038BE">
        <w:t xml:space="preserve"> </w:t>
      </w:r>
      <w:proofErr w:type="spellStart"/>
      <w:r w:rsidRPr="004038BE">
        <w:t>новонародженим</w:t>
      </w:r>
      <w:proofErr w:type="spellEnd"/>
      <w:r w:rsidRPr="004038BE">
        <w:t xml:space="preserve"> поросятам три</w:t>
      </w:r>
      <w:r w:rsidRPr="004038BE">
        <w:rPr>
          <w:lang w:val="uk-UA"/>
        </w:rPr>
        <w:t>кратної</w:t>
      </w:r>
      <w:r w:rsidRPr="004038BE">
        <w:t xml:space="preserve"> </w:t>
      </w:r>
      <w:proofErr w:type="spellStart"/>
      <w:r w:rsidRPr="004038BE">
        <w:t>рекомендованої</w:t>
      </w:r>
      <w:proofErr w:type="spellEnd"/>
      <w:r w:rsidRPr="004038BE">
        <w:t xml:space="preserve"> </w:t>
      </w:r>
      <w:proofErr w:type="spellStart"/>
      <w:r w:rsidRPr="004038BE">
        <w:t>дози</w:t>
      </w:r>
      <w:proofErr w:type="spellEnd"/>
      <w:r w:rsidRPr="004038BE">
        <w:t xml:space="preserve"> </w:t>
      </w:r>
      <w:proofErr w:type="spellStart"/>
      <w:proofErr w:type="gramStart"/>
      <w:r w:rsidRPr="004038BE">
        <w:t>п</w:t>
      </w:r>
      <w:proofErr w:type="gramEnd"/>
      <w:r w:rsidRPr="004038BE">
        <w:t>ідвищується</w:t>
      </w:r>
      <w:proofErr w:type="spellEnd"/>
      <w:r w:rsidRPr="004038BE">
        <w:t xml:space="preserve"> </w:t>
      </w:r>
      <w:proofErr w:type="spellStart"/>
      <w:r w:rsidRPr="004038BE">
        <w:t>ризик</w:t>
      </w:r>
      <w:proofErr w:type="spellEnd"/>
      <w:r w:rsidRPr="004038BE">
        <w:t xml:space="preserve"> </w:t>
      </w:r>
      <w:proofErr w:type="spellStart"/>
      <w:r w:rsidRPr="004038BE">
        <w:t>розвитку</w:t>
      </w:r>
      <w:proofErr w:type="spellEnd"/>
      <w:r w:rsidRPr="004038BE">
        <w:t xml:space="preserve"> </w:t>
      </w:r>
      <w:proofErr w:type="spellStart"/>
      <w:r w:rsidRPr="004038BE">
        <w:t>артритів</w:t>
      </w:r>
      <w:proofErr w:type="spellEnd"/>
      <w:r w:rsidRPr="004038BE">
        <w:t xml:space="preserve">. </w:t>
      </w:r>
    </w:p>
    <w:p w:rsidR="00A7470F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4038BE">
        <w:rPr>
          <w:color w:val="333333"/>
          <w:lang w:val="uk-UA"/>
        </w:rPr>
        <w:t xml:space="preserve">Можливі прояви реакцій </w:t>
      </w:r>
      <w:proofErr w:type="spellStart"/>
      <w:r w:rsidRPr="004038BE">
        <w:rPr>
          <w:color w:val="333333"/>
          <w:lang w:val="uk-UA"/>
        </w:rPr>
        <w:t>гіперчутливості</w:t>
      </w:r>
      <w:proofErr w:type="spellEnd"/>
      <w:r w:rsidRPr="004038BE">
        <w:rPr>
          <w:color w:val="333333"/>
          <w:lang w:val="uk-UA"/>
        </w:rPr>
        <w:t xml:space="preserve">. </w:t>
      </w:r>
      <w:r w:rsidRPr="004038BE">
        <w:rPr>
          <w:lang w:val="uk-UA"/>
        </w:rPr>
        <w:t xml:space="preserve">У разі появи алергічних реакцій застосування препарату припиняють і призначають </w:t>
      </w:r>
      <w:proofErr w:type="spellStart"/>
      <w:r w:rsidRPr="004038BE">
        <w:rPr>
          <w:lang w:val="uk-UA"/>
        </w:rPr>
        <w:t>протиалергічні</w:t>
      </w:r>
      <w:proofErr w:type="spellEnd"/>
      <w:r w:rsidRPr="004038BE">
        <w:rPr>
          <w:lang w:val="uk-UA"/>
        </w:rPr>
        <w:t xml:space="preserve"> засоби або інше симптоматичне лікування.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D63F58">
        <w:rPr>
          <w:lang w:val="uk-UA"/>
        </w:rPr>
        <w:t>У місці введення препарату можлива швидкоплинна пігментація тканин.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5.</w:t>
      </w:r>
      <w:r w:rsidRPr="00D63F58">
        <w:rPr>
          <w:b/>
          <w:snapToGrid w:val="0"/>
          <w:lang w:val="uk-UA"/>
        </w:rPr>
        <w:t>5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Особливі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застереження</w:t>
      </w:r>
      <w:proofErr w:type="spellEnd"/>
      <w:r w:rsidRPr="00D63F58">
        <w:rPr>
          <w:b/>
          <w:snapToGrid w:val="0"/>
        </w:rPr>
        <w:t xml:space="preserve"> при </w:t>
      </w:r>
      <w:proofErr w:type="spellStart"/>
      <w:r w:rsidRPr="00D63F58">
        <w:rPr>
          <w:b/>
          <w:snapToGrid w:val="0"/>
        </w:rPr>
        <w:t>використанні</w:t>
      </w:r>
      <w:proofErr w:type="spellEnd"/>
    </w:p>
    <w:p w:rsidR="00A7470F" w:rsidRDefault="00A7470F" w:rsidP="00A7470F">
      <w:pPr>
        <w:shd w:val="clear" w:color="auto" w:fill="FFFFFF"/>
        <w:ind w:firstLine="567"/>
        <w:jc w:val="both"/>
        <w:rPr>
          <w:color w:val="333333"/>
        </w:rPr>
      </w:pPr>
      <w:r>
        <w:rPr>
          <w:color w:val="333333"/>
        </w:rPr>
        <w:t xml:space="preserve">Препарат </w:t>
      </w:r>
      <w:proofErr w:type="spellStart"/>
      <w:r>
        <w:rPr>
          <w:color w:val="333333"/>
        </w:rPr>
        <w:t>слід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застосовувати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всім</w:t>
      </w:r>
      <w:proofErr w:type="spellEnd"/>
      <w:r>
        <w:rPr>
          <w:color w:val="333333"/>
        </w:rPr>
        <w:t xml:space="preserve"> поросятам з приплоду.</w:t>
      </w:r>
    </w:p>
    <w:p w:rsidR="00A7470F" w:rsidRDefault="00A7470F" w:rsidP="00A7470F">
      <w:pPr>
        <w:shd w:val="clear" w:color="auto" w:fill="FFFFFF"/>
        <w:ind w:firstLine="567"/>
        <w:jc w:val="both"/>
        <w:rPr>
          <w:color w:val="333333"/>
          <w:lang w:val="uk-UA"/>
        </w:rPr>
      </w:pPr>
      <w:r w:rsidRPr="00923AE2">
        <w:rPr>
          <w:color w:val="333333"/>
          <w:lang w:val="uk-UA"/>
        </w:rPr>
        <w:t xml:space="preserve">Покращення санітарного стану в господарстві може зменшити ризик розвитку </w:t>
      </w:r>
      <w:proofErr w:type="spellStart"/>
      <w:r w:rsidRPr="00923AE2">
        <w:rPr>
          <w:color w:val="333333"/>
          <w:lang w:val="uk-UA"/>
        </w:rPr>
        <w:t>ізоспорозу</w:t>
      </w:r>
      <w:proofErr w:type="spellEnd"/>
      <w:r w:rsidRPr="00923AE2">
        <w:rPr>
          <w:color w:val="333333"/>
          <w:lang w:val="uk-UA"/>
        </w:rPr>
        <w:t xml:space="preserve"> та </w:t>
      </w:r>
      <w:proofErr w:type="spellStart"/>
      <w:r w:rsidRPr="00923AE2">
        <w:rPr>
          <w:color w:val="333333"/>
          <w:lang w:val="uk-UA"/>
        </w:rPr>
        <w:t>еймеріозу</w:t>
      </w:r>
      <w:proofErr w:type="spellEnd"/>
      <w:r w:rsidRPr="00923AE2">
        <w:rPr>
          <w:color w:val="333333"/>
          <w:lang w:val="uk-UA"/>
        </w:rPr>
        <w:t xml:space="preserve"> свиней, тому рекомендується одночасно з застосуванням препарату покращувати умови утримання тварин на відповідному об'єкті, зокрема мікроклімат та чистоту. Для отримання максимальної користі, </w:t>
      </w:r>
      <w:r w:rsidRPr="00923AE2">
        <w:rPr>
          <w:bCs/>
          <w:color w:val="333333"/>
          <w:lang w:val="uk-UA"/>
        </w:rPr>
        <w:t xml:space="preserve">ФЕРРОВЕТ ФОРТЕ </w:t>
      </w:r>
      <w:r w:rsidRPr="00923AE2">
        <w:rPr>
          <w:color w:val="333333"/>
          <w:lang w:val="uk-UA"/>
        </w:rPr>
        <w:t xml:space="preserve">слід застосовувати до появи клінічних ознак захворювання, тобто в інкубаційний період. </w:t>
      </w:r>
    </w:p>
    <w:p w:rsidR="00A7470F" w:rsidRPr="0086566D" w:rsidRDefault="00A7470F" w:rsidP="00A7470F">
      <w:pPr>
        <w:shd w:val="clear" w:color="auto" w:fill="FFFFFF"/>
        <w:ind w:firstLine="567"/>
        <w:jc w:val="both"/>
        <w:rPr>
          <w:color w:val="333333"/>
          <w:lang w:val="uk-UA"/>
        </w:rPr>
      </w:pPr>
      <w:r w:rsidRPr="00923AE2">
        <w:rPr>
          <w:color w:val="333333"/>
          <w:lang w:val="uk-UA"/>
        </w:rPr>
        <w:t xml:space="preserve">Щоб змінити хід клінічного перебігу </w:t>
      </w:r>
      <w:proofErr w:type="spellStart"/>
      <w:r w:rsidRPr="00923AE2">
        <w:rPr>
          <w:color w:val="333333"/>
          <w:lang w:val="uk-UA"/>
        </w:rPr>
        <w:t>ізоспорозу</w:t>
      </w:r>
      <w:proofErr w:type="spellEnd"/>
      <w:r w:rsidRPr="00923AE2">
        <w:rPr>
          <w:color w:val="333333"/>
          <w:lang w:val="uk-UA"/>
        </w:rPr>
        <w:t xml:space="preserve"> та </w:t>
      </w:r>
      <w:proofErr w:type="spellStart"/>
      <w:r w:rsidRPr="00923AE2">
        <w:rPr>
          <w:color w:val="333333"/>
          <w:lang w:val="uk-UA"/>
        </w:rPr>
        <w:t>еймеріозу</w:t>
      </w:r>
      <w:proofErr w:type="spellEnd"/>
      <w:r w:rsidRPr="00923AE2">
        <w:rPr>
          <w:color w:val="333333"/>
          <w:lang w:val="uk-UA"/>
        </w:rPr>
        <w:t xml:space="preserve"> в окремих тварин, які вже мають ознаки діареї, може знадобитися додаткова підтримуюча терапія.</w:t>
      </w:r>
      <w:r w:rsidRPr="0086566D">
        <w:rPr>
          <w:color w:val="333333"/>
          <w:lang w:val="uk-UA"/>
        </w:rPr>
        <w:t xml:space="preserve"> </w:t>
      </w:r>
    </w:p>
    <w:p w:rsidR="00A7470F" w:rsidRPr="00D63F58" w:rsidRDefault="00A7470F" w:rsidP="00A7470F">
      <w:pPr>
        <w:widowControl w:val="0"/>
        <w:ind w:firstLine="567"/>
        <w:jc w:val="both"/>
      </w:pPr>
      <w:r w:rsidRPr="00D63F58">
        <w:rPr>
          <w:lang w:val="uk-UA"/>
        </w:rPr>
        <w:t>При потраплянні препарату на шкіру можлива зміна її кольору.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5.</w:t>
      </w:r>
      <w:r w:rsidRPr="00D63F58">
        <w:rPr>
          <w:b/>
          <w:snapToGrid w:val="0"/>
          <w:lang w:val="uk-UA"/>
        </w:rPr>
        <w:t>6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  <w:lang w:val="uk-UA"/>
        </w:rPr>
        <w:t>Використ</w:t>
      </w:r>
      <w:r w:rsidRPr="00D63F58">
        <w:rPr>
          <w:b/>
          <w:snapToGrid w:val="0"/>
        </w:rPr>
        <w:t>ання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proofErr w:type="gramStart"/>
      <w:r w:rsidRPr="00D63F58">
        <w:rPr>
          <w:b/>
          <w:snapToGrid w:val="0"/>
        </w:rPr>
        <w:t>п</w:t>
      </w:r>
      <w:proofErr w:type="gramEnd"/>
      <w:r w:rsidRPr="00D63F58">
        <w:rPr>
          <w:b/>
          <w:snapToGrid w:val="0"/>
        </w:rPr>
        <w:t>ід</w:t>
      </w:r>
      <w:proofErr w:type="spellEnd"/>
      <w:r w:rsidRPr="00D63F58">
        <w:rPr>
          <w:b/>
          <w:snapToGrid w:val="0"/>
        </w:rPr>
        <w:t xml:space="preserve"> час </w:t>
      </w:r>
      <w:proofErr w:type="spellStart"/>
      <w:r w:rsidRPr="00D63F58">
        <w:rPr>
          <w:b/>
          <w:snapToGrid w:val="0"/>
        </w:rPr>
        <w:t>вагітності</w:t>
      </w:r>
      <w:proofErr w:type="spellEnd"/>
      <w:r w:rsidRPr="00D63F58">
        <w:rPr>
          <w:b/>
          <w:snapToGrid w:val="0"/>
          <w:lang w:val="uk-UA"/>
        </w:rPr>
        <w:t>,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лактації</w:t>
      </w:r>
      <w:proofErr w:type="spellEnd"/>
      <w:r w:rsidRPr="00D63F58">
        <w:rPr>
          <w:b/>
          <w:snapToGrid w:val="0"/>
          <w:lang w:val="uk-UA"/>
        </w:rPr>
        <w:t>, несучості</w:t>
      </w:r>
    </w:p>
    <w:p w:rsidR="00A7470F" w:rsidRPr="00D63F58" w:rsidRDefault="00A7470F" w:rsidP="00A7470F">
      <w:pPr>
        <w:widowControl w:val="0"/>
        <w:ind w:firstLine="567"/>
        <w:jc w:val="both"/>
        <w:rPr>
          <w:lang w:val="uk-UA"/>
        </w:rPr>
      </w:pPr>
      <w:r w:rsidRPr="00D63F58">
        <w:rPr>
          <w:lang w:val="uk-UA" w:eastAsia="en-US"/>
        </w:rPr>
        <w:t xml:space="preserve">Не </w:t>
      </w:r>
      <w:r>
        <w:rPr>
          <w:lang w:val="uk-UA" w:eastAsia="en-US"/>
        </w:rPr>
        <w:t>застосовується</w:t>
      </w:r>
      <w:r w:rsidRPr="00D63F58">
        <w:rPr>
          <w:lang w:val="uk-UA" w:eastAsia="en-US"/>
        </w:rPr>
        <w:t>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5.7 Взаємодія з іншими засобами та інші форми взаємодії</w:t>
      </w:r>
    </w:p>
    <w:p w:rsidR="00A7470F" w:rsidRPr="00D63F58" w:rsidRDefault="00A7470F" w:rsidP="00A7470F">
      <w:pPr>
        <w:widowControl w:val="0"/>
        <w:ind w:firstLine="567"/>
        <w:jc w:val="both"/>
        <w:rPr>
          <w:color w:val="000000"/>
          <w:lang w:val="uk-UA"/>
        </w:rPr>
      </w:pPr>
      <w:r w:rsidRPr="00D63F58">
        <w:rPr>
          <w:color w:val="000000"/>
          <w:lang w:val="uk-UA"/>
        </w:rPr>
        <w:t xml:space="preserve">Не застосовувати в комбінації із </w:t>
      </w:r>
      <w:proofErr w:type="spellStart"/>
      <w:r w:rsidRPr="00D63F58">
        <w:rPr>
          <w:color w:val="000000"/>
          <w:lang w:val="uk-UA"/>
        </w:rPr>
        <w:t>тетрациклінами</w:t>
      </w:r>
      <w:proofErr w:type="spellEnd"/>
      <w:r w:rsidRPr="00D63F58">
        <w:rPr>
          <w:color w:val="000000"/>
          <w:lang w:val="uk-UA"/>
        </w:rPr>
        <w:t>.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D63F58">
        <w:rPr>
          <w:snapToGrid w:val="0"/>
          <w:lang w:val="uk-UA"/>
        </w:rPr>
        <w:t>Не змішувати з іншими ветеринарними препаратами.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5.</w:t>
      </w:r>
      <w:r w:rsidRPr="00D63F58">
        <w:rPr>
          <w:b/>
          <w:snapToGrid w:val="0"/>
          <w:lang w:val="uk-UA"/>
        </w:rPr>
        <w:t>8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Дози</w:t>
      </w:r>
      <w:proofErr w:type="spellEnd"/>
      <w:r w:rsidRPr="00D63F58">
        <w:rPr>
          <w:b/>
          <w:snapToGrid w:val="0"/>
        </w:rPr>
        <w:t xml:space="preserve"> і </w:t>
      </w:r>
      <w:proofErr w:type="spellStart"/>
      <w:r w:rsidRPr="00D63F58">
        <w:rPr>
          <w:b/>
          <w:snapToGrid w:val="0"/>
        </w:rPr>
        <w:t>способи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введення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тваринам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proofErr w:type="gramStart"/>
      <w:r w:rsidRPr="00D63F58">
        <w:rPr>
          <w:b/>
          <w:snapToGrid w:val="0"/>
        </w:rPr>
        <w:t>р</w:t>
      </w:r>
      <w:proofErr w:type="gramEnd"/>
      <w:r w:rsidRPr="00D63F58">
        <w:rPr>
          <w:b/>
          <w:snapToGrid w:val="0"/>
        </w:rPr>
        <w:t>ізного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віку</w:t>
      </w:r>
      <w:proofErr w:type="spellEnd"/>
    </w:p>
    <w:p w:rsidR="00A7470F" w:rsidRPr="006842F4" w:rsidRDefault="00A7470F" w:rsidP="00A7470F">
      <w:pPr>
        <w:ind w:firstLine="567"/>
        <w:jc w:val="both"/>
        <w:rPr>
          <w:lang w:val="uk-UA"/>
        </w:rPr>
      </w:pPr>
      <w:r w:rsidRPr="006842F4">
        <w:rPr>
          <w:lang w:val="uk-UA"/>
        </w:rPr>
        <w:t xml:space="preserve">Препарат застосовують поросятам віком від 1 до 3 </w:t>
      </w:r>
      <w:r w:rsidRPr="00CF0B9E">
        <w:rPr>
          <w:color w:val="000000" w:themeColor="text1"/>
          <w:lang w:val="uk-UA"/>
        </w:rPr>
        <w:t xml:space="preserve">діб </w:t>
      </w:r>
      <w:r w:rsidR="00305B48" w:rsidRPr="00CF0B9E">
        <w:rPr>
          <w:color w:val="000000" w:themeColor="text1"/>
          <w:lang w:val="uk-UA"/>
        </w:rPr>
        <w:t>після народження</w:t>
      </w:r>
      <w:r w:rsidR="00305B48" w:rsidRPr="00CF0B9E">
        <w:rPr>
          <w:b/>
          <w:color w:val="000000" w:themeColor="text1"/>
          <w:lang w:val="uk-UA"/>
        </w:rPr>
        <w:t xml:space="preserve"> </w:t>
      </w:r>
      <w:r w:rsidRPr="00CF0B9E">
        <w:rPr>
          <w:color w:val="000000" w:themeColor="text1"/>
          <w:lang w:val="uk-UA"/>
        </w:rPr>
        <w:t xml:space="preserve">одноразово </w:t>
      </w:r>
      <w:r w:rsidRPr="006842F4">
        <w:rPr>
          <w:lang w:val="uk-UA"/>
        </w:rPr>
        <w:t xml:space="preserve">підшкірно у складку шкіри на внутрішній частині стегна з розрахунку 1,5 мл препарату на одну тварину (еквівалентно 45 мг </w:t>
      </w:r>
      <w:proofErr w:type="spellStart"/>
      <w:r w:rsidRPr="006842F4">
        <w:rPr>
          <w:lang w:val="uk-UA"/>
        </w:rPr>
        <w:t>толтразурилу</w:t>
      </w:r>
      <w:proofErr w:type="spellEnd"/>
      <w:r w:rsidRPr="006842F4">
        <w:rPr>
          <w:lang w:val="uk-UA"/>
        </w:rPr>
        <w:t xml:space="preserve"> і 200 мг заліза) з дотриманням умов асептики. </w:t>
      </w:r>
    </w:p>
    <w:p w:rsidR="00A7470F" w:rsidRPr="006842F4" w:rsidRDefault="00A7470F" w:rsidP="00A7470F">
      <w:pPr>
        <w:ind w:firstLine="567"/>
        <w:jc w:val="both"/>
        <w:rPr>
          <w:lang w:val="uk-UA"/>
        </w:rPr>
      </w:pPr>
      <w:r w:rsidRPr="006842F4">
        <w:rPr>
          <w:lang w:val="uk-UA"/>
        </w:rPr>
        <w:t xml:space="preserve">Препарат потрібно вводити повільно. </w:t>
      </w:r>
    </w:p>
    <w:p w:rsidR="00A7470F" w:rsidRPr="006842F4" w:rsidRDefault="00A7470F" w:rsidP="00A7470F">
      <w:pPr>
        <w:widowControl w:val="0"/>
        <w:ind w:firstLine="567"/>
        <w:jc w:val="both"/>
        <w:rPr>
          <w:lang w:val="uk-UA"/>
        </w:rPr>
      </w:pPr>
      <w:r w:rsidRPr="006842F4">
        <w:rPr>
          <w:lang w:val="uk-UA"/>
        </w:rPr>
        <w:t xml:space="preserve">У місці ін’єкції шкіру зміщують убік для упередження витікання препарату. </w:t>
      </w:r>
    </w:p>
    <w:p w:rsidR="00A7470F" w:rsidRDefault="00A7470F" w:rsidP="00A7470F">
      <w:pPr>
        <w:ind w:firstLine="567"/>
        <w:jc w:val="both"/>
        <w:rPr>
          <w:lang w:val="uk-UA"/>
        </w:rPr>
      </w:pPr>
      <w:r w:rsidRPr="006842F4">
        <w:rPr>
          <w:lang w:val="uk-UA"/>
        </w:rPr>
        <w:t>В холодний сезон року перед введенням препарат підігрівають до температури 37-38 °С.</w:t>
      </w:r>
    </w:p>
    <w:p w:rsidR="00A7470F" w:rsidRDefault="00A7470F" w:rsidP="00A7470F">
      <w:pPr>
        <w:shd w:val="clear" w:color="auto" w:fill="FFFFFF"/>
        <w:ind w:firstLine="567"/>
        <w:jc w:val="both"/>
        <w:rPr>
          <w:color w:val="37424A"/>
          <w:lang w:val="uk-UA"/>
        </w:rPr>
      </w:pPr>
      <w:r>
        <w:rPr>
          <w:b/>
          <w:color w:val="37424A"/>
          <w:u w:val="single"/>
          <w:lang w:val="uk-UA"/>
        </w:rPr>
        <w:t>Перед використанням флакон із препаратом необхідно ретельно струсити</w:t>
      </w:r>
      <w:r>
        <w:rPr>
          <w:color w:val="37424A"/>
          <w:lang w:val="uk-UA"/>
        </w:rPr>
        <w:t>!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5.</w:t>
      </w:r>
      <w:r w:rsidRPr="00D63F58">
        <w:rPr>
          <w:b/>
          <w:snapToGrid w:val="0"/>
          <w:lang w:val="uk-UA"/>
        </w:rPr>
        <w:t>9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Передозування</w:t>
      </w:r>
      <w:proofErr w:type="spellEnd"/>
      <w:r w:rsidRPr="00D63F58">
        <w:rPr>
          <w:b/>
          <w:snapToGrid w:val="0"/>
        </w:rPr>
        <w:t xml:space="preserve"> (</w:t>
      </w:r>
      <w:proofErr w:type="spellStart"/>
      <w:r w:rsidRPr="00D63F58">
        <w:rPr>
          <w:b/>
          <w:snapToGrid w:val="0"/>
        </w:rPr>
        <w:t>симптоми</w:t>
      </w:r>
      <w:proofErr w:type="spellEnd"/>
      <w:r w:rsidRPr="00D63F58">
        <w:rPr>
          <w:b/>
          <w:snapToGrid w:val="0"/>
        </w:rPr>
        <w:t xml:space="preserve">, </w:t>
      </w:r>
      <w:proofErr w:type="spellStart"/>
      <w:r w:rsidRPr="00D63F58">
        <w:rPr>
          <w:b/>
          <w:snapToGrid w:val="0"/>
        </w:rPr>
        <w:t>невідкладні</w:t>
      </w:r>
      <w:proofErr w:type="spellEnd"/>
      <w:r w:rsidRPr="00D63F58">
        <w:rPr>
          <w:b/>
          <w:snapToGrid w:val="0"/>
        </w:rPr>
        <w:t xml:space="preserve"> заходи, </w:t>
      </w:r>
      <w:proofErr w:type="spellStart"/>
      <w:r w:rsidRPr="00D63F58">
        <w:rPr>
          <w:b/>
          <w:snapToGrid w:val="0"/>
        </w:rPr>
        <w:t>антидоти</w:t>
      </w:r>
      <w:proofErr w:type="spellEnd"/>
      <w:r w:rsidRPr="00D63F58">
        <w:rPr>
          <w:b/>
          <w:snapToGrid w:val="0"/>
        </w:rPr>
        <w:t>)</w:t>
      </w:r>
    </w:p>
    <w:p w:rsidR="00A7470F" w:rsidRDefault="00A7470F" w:rsidP="00A7470F">
      <w:pPr>
        <w:pStyle w:val="a6"/>
        <w:spacing w:after="0"/>
        <w:ind w:left="0" w:firstLine="567"/>
        <w:jc w:val="both"/>
        <w:rPr>
          <w:lang w:val="uk-UA"/>
        </w:rPr>
      </w:pPr>
      <w:r w:rsidRPr="005A1964">
        <w:rPr>
          <w:lang w:val="uk-UA"/>
        </w:rPr>
        <w:t xml:space="preserve">Випадки негативної дії препарату викликані одноразовим передозуванням </w:t>
      </w:r>
      <w:r w:rsidR="007529A5" w:rsidRPr="007529A5">
        <w:t xml:space="preserve">- </w:t>
      </w:r>
      <w:r w:rsidRPr="005A1964">
        <w:rPr>
          <w:lang w:val="uk-UA"/>
        </w:rPr>
        <w:t>невідомі.</w:t>
      </w:r>
    </w:p>
    <w:p w:rsidR="00A7470F" w:rsidRPr="005A1964" w:rsidRDefault="00A7470F" w:rsidP="00A7470F">
      <w:pPr>
        <w:pStyle w:val="a6"/>
        <w:spacing w:after="0"/>
        <w:ind w:left="0" w:firstLine="567"/>
        <w:jc w:val="both"/>
        <w:rPr>
          <w:color w:val="000000"/>
          <w:lang w:val="uk-UA"/>
        </w:rPr>
      </w:pPr>
      <w:r>
        <w:rPr>
          <w:lang w:val="uk-UA"/>
        </w:rPr>
        <w:t>Введення 1 та 2-кратної дози добре переноситься новонародженими поросятами.</w:t>
      </w:r>
      <w:r w:rsidRPr="005A1964">
        <w:rPr>
          <w:lang w:val="uk-UA"/>
        </w:rPr>
        <w:t xml:space="preserve"> 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D63F58">
        <w:rPr>
          <w:snapToGrid w:val="0"/>
          <w:lang w:val="uk-UA"/>
        </w:rPr>
        <w:t xml:space="preserve">При передозуванні препаратом може виникнути периферійний судинний колапс, що призводить до пригнічення, уповільнення або пришвидшення пульсу, </w:t>
      </w:r>
      <w:proofErr w:type="spellStart"/>
      <w:r w:rsidRPr="00D63F58">
        <w:rPr>
          <w:snapToGrid w:val="0"/>
          <w:lang w:val="uk-UA"/>
        </w:rPr>
        <w:t>гіпотензії</w:t>
      </w:r>
      <w:proofErr w:type="spellEnd"/>
      <w:r w:rsidRPr="00D63F58">
        <w:rPr>
          <w:snapToGrid w:val="0"/>
          <w:lang w:val="uk-UA"/>
        </w:rPr>
        <w:t xml:space="preserve">, ціанозу слизових оболонок, атаксії і навіть коми. 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D63F58">
        <w:rPr>
          <w:snapToGrid w:val="0"/>
          <w:lang w:val="uk-UA"/>
        </w:rPr>
        <w:t xml:space="preserve">Інколи симптоми гострої токсичності можуть бути відсутні впродовж 12-48 годин після введення препарату, згодом може </w:t>
      </w:r>
      <w:proofErr w:type="spellStart"/>
      <w:r w:rsidRPr="00D63F58">
        <w:rPr>
          <w:snapToGrid w:val="0"/>
          <w:lang w:val="uk-UA"/>
        </w:rPr>
        <w:t>розвинутися</w:t>
      </w:r>
      <w:proofErr w:type="spellEnd"/>
      <w:r w:rsidRPr="00D63F58">
        <w:rPr>
          <w:snapToGrid w:val="0"/>
          <w:lang w:val="uk-UA"/>
        </w:rPr>
        <w:t xml:space="preserve"> критична фаза з розвитком набряку легень, судинно-руховим колапсом, ціанозом, гострою печінковою недостатністю, комою та загибеллю тварини.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D63F58">
        <w:rPr>
          <w:snapToGrid w:val="0"/>
          <w:lang w:val="uk-UA"/>
        </w:rPr>
        <w:t xml:space="preserve">При передозуванні як антидот можна застосувати </w:t>
      </w:r>
      <w:proofErr w:type="spellStart"/>
      <w:r w:rsidRPr="00D63F58">
        <w:rPr>
          <w:snapToGrid w:val="0"/>
          <w:lang w:val="uk-UA"/>
        </w:rPr>
        <w:t>дефероксамін</w:t>
      </w:r>
      <w:proofErr w:type="spellEnd"/>
      <w:r w:rsidRPr="00D63F58">
        <w:rPr>
          <w:snapToGrid w:val="0"/>
          <w:lang w:val="uk-UA"/>
        </w:rPr>
        <w:t xml:space="preserve">, який із залізом утворює водорозчинні </w:t>
      </w:r>
      <w:proofErr w:type="spellStart"/>
      <w:r w:rsidRPr="00D63F58">
        <w:rPr>
          <w:snapToGrid w:val="0"/>
          <w:lang w:val="uk-UA"/>
        </w:rPr>
        <w:t>хелатні</w:t>
      </w:r>
      <w:proofErr w:type="spellEnd"/>
      <w:r w:rsidRPr="00D63F58">
        <w:rPr>
          <w:snapToGrid w:val="0"/>
          <w:lang w:val="uk-UA"/>
        </w:rPr>
        <w:t xml:space="preserve"> сполуки, які швидко виводяться нирками.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</w:rPr>
      </w:pPr>
      <w:r w:rsidRPr="00D63F58">
        <w:rPr>
          <w:b/>
          <w:snapToGrid w:val="0"/>
        </w:rPr>
        <w:t>5.</w:t>
      </w:r>
      <w:r w:rsidRPr="00D63F58">
        <w:rPr>
          <w:b/>
          <w:snapToGrid w:val="0"/>
          <w:lang w:val="uk-UA"/>
        </w:rPr>
        <w:t>10</w:t>
      </w:r>
      <w:r w:rsidRPr="00D63F58">
        <w:rPr>
          <w:b/>
          <w:snapToGrid w:val="0"/>
        </w:rPr>
        <w:t xml:space="preserve"> </w:t>
      </w:r>
      <w:proofErr w:type="spellStart"/>
      <w:proofErr w:type="gramStart"/>
      <w:r w:rsidRPr="00D63F58">
        <w:rPr>
          <w:b/>
          <w:snapToGrid w:val="0"/>
        </w:rPr>
        <w:t>Спец</w:t>
      </w:r>
      <w:proofErr w:type="gramEnd"/>
      <w:r w:rsidRPr="00D63F58">
        <w:rPr>
          <w:b/>
          <w:snapToGrid w:val="0"/>
        </w:rPr>
        <w:t>іальні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застереження</w:t>
      </w:r>
      <w:proofErr w:type="spellEnd"/>
    </w:p>
    <w:p w:rsidR="00A7470F" w:rsidRPr="00D54461" w:rsidRDefault="00A7470F" w:rsidP="00A7470F">
      <w:pPr>
        <w:widowControl w:val="0"/>
        <w:ind w:firstLine="567"/>
        <w:jc w:val="both"/>
        <w:rPr>
          <w:snapToGrid w:val="0"/>
        </w:rPr>
      </w:pPr>
      <w:r>
        <w:rPr>
          <w:snapToGrid w:val="0"/>
          <w:lang w:val="uk-UA"/>
        </w:rPr>
        <w:t>Слід дотримуватися правил асептики та антисептики при ро</w:t>
      </w:r>
      <w:r w:rsidR="007529A5">
        <w:rPr>
          <w:snapToGrid w:val="0"/>
          <w:lang w:val="uk-UA"/>
        </w:rPr>
        <w:t>б</w:t>
      </w:r>
      <w:r>
        <w:rPr>
          <w:snapToGrid w:val="0"/>
          <w:lang w:val="uk-UA"/>
        </w:rPr>
        <w:t>оті з препаратом</w:t>
      </w:r>
      <w:r w:rsidRPr="00D63F58">
        <w:rPr>
          <w:snapToGrid w:val="0"/>
          <w:lang w:val="uk-UA"/>
        </w:rPr>
        <w:t>.</w:t>
      </w:r>
    </w:p>
    <w:p w:rsidR="00005069" w:rsidRPr="00D54461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D54461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D54461" w:rsidRDefault="00005069" w:rsidP="00005069">
      <w:pPr>
        <w:widowControl w:val="0"/>
        <w:ind w:firstLine="567"/>
        <w:jc w:val="right"/>
        <w:rPr>
          <w:snapToGrid w:val="0"/>
        </w:rPr>
      </w:pPr>
      <w:proofErr w:type="spellStart"/>
      <w:r w:rsidRPr="00D54461">
        <w:rPr>
          <w:snapToGrid w:val="0"/>
        </w:rPr>
        <w:lastRenderedPageBreak/>
        <w:t>Продовження</w:t>
      </w:r>
      <w:proofErr w:type="spellEnd"/>
      <w:r w:rsidRPr="00D54461">
        <w:rPr>
          <w:snapToGrid w:val="0"/>
        </w:rPr>
        <w:t xml:space="preserve"> </w:t>
      </w:r>
      <w:proofErr w:type="spellStart"/>
      <w:r w:rsidRPr="00D54461">
        <w:rPr>
          <w:snapToGrid w:val="0"/>
        </w:rPr>
        <w:t>додатку</w:t>
      </w:r>
      <w:proofErr w:type="spellEnd"/>
      <w:r w:rsidRPr="00D54461">
        <w:rPr>
          <w:snapToGrid w:val="0"/>
        </w:rPr>
        <w:t xml:space="preserve"> 1</w:t>
      </w:r>
    </w:p>
    <w:p w:rsidR="00005069" w:rsidRPr="00D54461" w:rsidRDefault="00005069" w:rsidP="00005069">
      <w:pPr>
        <w:widowControl w:val="0"/>
        <w:ind w:firstLine="567"/>
        <w:jc w:val="right"/>
        <w:rPr>
          <w:snapToGrid w:val="0"/>
          <w:lang w:val="uk-UA"/>
        </w:rPr>
      </w:pPr>
      <w:r w:rsidRPr="00D54461">
        <w:rPr>
          <w:snapToGrid w:val="0"/>
        </w:rPr>
        <w:t xml:space="preserve">до </w:t>
      </w:r>
      <w:proofErr w:type="spellStart"/>
      <w:r w:rsidRPr="00D54461">
        <w:rPr>
          <w:snapToGrid w:val="0"/>
        </w:rPr>
        <w:t>реєстраційного</w:t>
      </w:r>
      <w:proofErr w:type="spellEnd"/>
      <w:r w:rsidRPr="00D54461">
        <w:rPr>
          <w:snapToGrid w:val="0"/>
        </w:rPr>
        <w:t xml:space="preserve"> </w:t>
      </w:r>
      <w:proofErr w:type="spellStart"/>
      <w:r w:rsidRPr="00D54461">
        <w:rPr>
          <w:snapToGrid w:val="0"/>
        </w:rPr>
        <w:t>посвідчення</w:t>
      </w:r>
      <w:proofErr w:type="spellEnd"/>
      <w:r w:rsidRPr="00D54461">
        <w:rPr>
          <w:snapToGrid w:val="0"/>
        </w:rPr>
        <w:t xml:space="preserve"> АВ-</w:t>
      </w:r>
      <w:r w:rsidR="00D54461">
        <w:rPr>
          <w:snapToGrid w:val="0"/>
          <w:lang w:val="uk-UA"/>
        </w:rPr>
        <w:t>10051-01-26</w:t>
      </w:r>
    </w:p>
    <w:p w:rsidR="00005069" w:rsidRPr="00D54461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D54461" w:rsidRDefault="00005069" w:rsidP="00A7470F">
      <w:pPr>
        <w:widowControl w:val="0"/>
        <w:ind w:firstLine="567"/>
        <w:jc w:val="both"/>
        <w:rPr>
          <w:snapToGrid w:val="0"/>
        </w:rPr>
      </w:pP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5.1</w:t>
      </w:r>
      <w:r w:rsidRPr="00D63F58">
        <w:rPr>
          <w:b/>
          <w:snapToGrid w:val="0"/>
          <w:lang w:val="uk-UA"/>
        </w:rPr>
        <w:t>1</w:t>
      </w:r>
      <w:proofErr w:type="gramStart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П</w:t>
      </w:r>
      <w:proofErr w:type="gramEnd"/>
      <w:r w:rsidRPr="00D63F58">
        <w:rPr>
          <w:b/>
          <w:snapToGrid w:val="0"/>
        </w:rPr>
        <w:t>еріод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виведення</w:t>
      </w:r>
      <w:proofErr w:type="spellEnd"/>
      <w:r w:rsidRPr="00D63F58">
        <w:rPr>
          <w:b/>
          <w:snapToGrid w:val="0"/>
        </w:rPr>
        <w:t xml:space="preserve"> (</w:t>
      </w:r>
      <w:proofErr w:type="spellStart"/>
      <w:r w:rsidRPr="00D63F58">
        <w:rPr>
          <w:b/>
          <w:snapToGrid w:val="0"/>
        </w:rPr>
        <w:t>каренції</w:t>
      </w:r>
      <w:proofErr w:type="spellEnd"/>
      <w:r w:rsidRPr="00D63F58">
        <w:rPr>
          <w:b/>
          <w:snapToGrid w:val="0"/>
        </w:rPr>
        <w:t>)</w:t>
      </w:r>
    </w:p>
    <w:p w:rsidR="00035C5A" w:rsidRPr="00005069" w:rsidRDefault="00A7470F" w:rsidP="00005069">
      <w:pPr>
        <w:shd w:val="clear" w:color="auto" w:fill="FFFFFF"/>
        <w:ind w:firstLine="567"/>
        <w:jc w:val="both"/>
        <w:rPr>
          <w:color w:val="333333"/>
        </w:rPr>
      </w:pPr>
      <w:proofErr w:type="spellStart"/>
      <w:r w:rsidRPr="0084278D">
        <w:rPr>
          <w:color w:val="333333"/>
        </w:rPr>
        <w:t>Забій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тварин</w:t>
      </w:r>
      <w:proofErr w:type="spellEnd"/>
      <w:r w:rsidRPr="0084278D">
        <w:rPr>
          <w:color w:val="333333"/>
        </w:rPr>
        <w:t xml:space="preserve"> на </w:t>
      </w:r>
      <w:proofErr w:type="spellStart"/>
      <w:r w:rsidRPr="0084278D">
        <w:rPr>
          <w:color w:val="333333"/>
        </w:rPr>
        <w:t>м'ясо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дозволяють</w:t>
      </w:r>
      <w:proofErr w:type="spellEnd"/>
      <w:r w:rsidRPr="0084278D">
        <w:rPr>
          <w:color w:val="333333"/>
        </w:rPr>
        <w:t xml:space="preserve"> через 5</w:t>
      </w:r>
      <w:r w:rsidRPr="0084278D">
        <w:rPr>
          <w:color w:val="333333"/>
          <w:lang w:val="uk-UA"/>
        </w:rPr>
        <w:t>0</w:t>
      </w:r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діб</w:t>
      </w:r>
      <w:proofErr w:type="spellEnd"/>
      <w:r w:rsidRPr="0084278D">
        <w:rPr>
          <w:color w:val="333333"/>
          <w:lang w:val="uk-UA"/>
        </w:rPr>
        <w:t xml:space="preserve"> </w:t>
      </w:r>
      <w:r w:rsidRPr="0084278D">
        <w:rPr>
          <w:color w:val="333333"/>
        </w:rPr>
        <w:t xml:space="preserve"> </w:t>
      </w:r>
      <w:proofErr w:type="spellStart"/>
      <w:proofErr w:type="gramStart"/>
      <w:r w:rsidRPr="0084278D">
        <w:rPr>
          <w:color w:val="333333"/>
        </w:rPr>
        <w:t>п</w:t>
      </w:r>
      <w:proofErr w:type="gramEnd"/>
      <w:r w:rsidRPr="0084278D">
        <w:rPr>
          <w:color w:val="333333"/>
        </w:rPr>
        <w:t>ісля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останнього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застосування</w:t>
      </w:r>
      <w:proofErr w:type="spellEnd"/>
      <w:r w:rsidRPr="0084278D">
        <w:rPr>
          <w:color w:val="333333"/>
        </w:rPr>
        <w:t xml:space="preserve"> препарату.</w:t>
      </w:r>
      <w:r w:rsidRPr="0084278D">
        <w:rPr>
          <w:color w:val="333333"/>
          <w:lang w:val="uk-UA"/>
        </w:rPr>
        <w:t xml:space="preserve"> </w:t>
      </w:r>
      <w:proofErr w:type="spellStart"/>
      <w:r w:rsidRPr="0084278D">
        <w:rPr>
          <w:color w:val="333333"/>
        </w:rPr>
        <w:t>Отримане</w:t>
      </w:r>
      <w:proofErr w:type="spellEnd"/>
      <w:r w:rsidRPr="0084278D">
        <w:rPr>
          <w:color w:val="333333"/>
        </w:rPr>
        <w:t xml:space="preserve">, до </w:t>
      </w:r>
      <w:proofErr w:type="spellStart"/>
      <w:r w:rsidRPr="0084278D">
        <w:rPr>
          <w:color w:val="333333"/>
        </w:rPr>
        <w:t>зазначеного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терміну</w:t>
      </w:r>
      <w:proofErr w:type="spellEnd"/>
      <w:r w:rsidRPr="0084278D">
        <w:rPr>
          <w:color w:val="333333"/>
        </w:rPr>
        <w:t xml:space="preserve">, </w:t>
      </w:r>
      <w:proofErr w:type="spellStart"/>
      <w:proofErr w:type="gramStart"/>
      <w:r w:rsidRPr="0084278D">
        <w:rPr>
          <w:color w:val="333333"/>
        </w:rPr>
        <w:t>м'ясо</w:t>
      </w:r>
      <w:proofErr w:type="spellEnd"/>
      <w:proofErr w:type="gram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утилізують</w:t>
      </w:r>
      <w:proofErr w:type="spellEnd"/>
      <w:r w:rsidRPr="0084278D">
        <w:rPr>
          <w:color w:val="333333"/>
        </w:rPr>
        <w:t xml:space="preserve"> </w:t>
      </w:r>
      <w:proofErr w:type="spellStart"/>
      <w:r w:rsidRPr="0084278D"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згодовують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непродуктивним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тваринам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залежно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висновку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лікаря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ветеринарної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медицини</w:t>
      </w:r>
      <w:proofErr w:type="spellEnd"/>
      <w:r>
        <w:rPr>
          <w:color w:val="333333"/>
        </w:rPr>
        <w:t>.</w:t>
      </w:r>
    </w:p>
    <w:p w:rsidR="00A7470F" w:rsidRPr="00D63F58" w:rsidRDefault="00A7470F" w:rsidP="00A7470F">
      <w:pPr>
        <w:ind w:firstLine="567"/>
        <w:rPr>
          <w:b/>
          <w:lang w:val="uk-UA"/>
        </w:rPr>
      </w:pPr>
      <w:r w:rsidRPr="00D63F58">
        <w:rPr>
          <w:b/>
        </w:rPr>
        <w:t>5.1</w:t>
      </w:r>
      <w:r w:rsidRPr="00D63F58">
        <w:rPr>
          <w:b/>
          <w:lang w:val="uk-UA"/>
        </w:rPr>
        <w:t>2</w:t>
      </w:r>
      <w:r w:rsidRPr="00D63F58">
        <w:rPr>
          <w:b/>
        </w:rPr>
        <w:t xml:space="preserve"> </w:t>
      </w:r>
      <w:proofErr w:type="spellStart"/>
      <w:r w:rsidRPr="00D63F58">
        <w:rPr>
          <w:b/>
        </w:rPr>
        <w:t>Спеціальні</w:t>
      </w:r>
      <w:proofErr w:type="spellEnd"/>
      <w:r w:rsidRPr="00D63F58">
        <w:rPr>
          <w:b/>
        </w:rPr>
        <w:t xml:space="preserve"> </w:t>
      </w:r>
      <w:proofErr w:type="spellStart"/>
      <w:r w:rsidRPr="00D63F58">
        <w:rPr>
          <w:b/>
        </w:rPr>
        <w:t>застереження</w:t>
      </w:r>
      <w:proofErr w:type="spellEnd"/>
      <w:r w:rsidRPr="00D63F58">
        <w:rPr>
          <w:b/>
        </w:rPr>
        <w:t xml:space="preserve"> для </w:t>
      </w:r>
      <w:proofErr w:type="spellStart"/>
      <w:proofErr w:type="gramStart"/>
      <w:r w:rsidRPr="00D63F58">
        <w:rPr>
          <w:b/>
        </w:rPr>
        <w:t>осіб</w:t>
      </w:r>
      <w:proofErr w:type="spellEnd"/>
      <w:proofErr w:type="gramEnd"/>
      <w:r w:rsidRPr="00D63F58">
        <w:rPr>
          <w:b/>
        </w:rPr>
        <w:t xml:space="preserve"> і </w:t>
      </w:r>
      <w:proofErr w:type="spellStart"/>
      <w:r w:rsidRPr="00D63F58">
        <w:rPr>
          <w:b/>
        </w:rPr>
        <w:t>обслуговуючого</w:t>
      </w:r>
      <w:proofErr w:type="spellEnd"/>
      <w:r w:rsidRPr="00D63F58">
        <w:rPr>
          <w:b/>
        </w:rPr>
        <w:t xml:space="preserve"> персоналу</w:t>
      </w:r>
    </w:p>
    <w:p w:rsidR="00A7470F" w:rsidRDefault="00A7470F" w:rsidP="00A7470F">
      <w:pPr>
        <w:ind w:firstLine="567"/>
        <w:jc w:val="both"/>
        <w:rPr>
          <w:lang w:val="uk-UA"/>
        </w:rPr>
      </w:pPr>
      <w:r w:rsidRPr="00D63F58">
        <w:rPr>
          <w:lang w:val="uk-UA"/>
        </w:rPr>
        <w:t>При застосуванні препарату дотримуватись правил асептики та безпечної фіксації тварин. Уникати контакту препарату зі шкірою.</w:t>
      </w:r>
    </w:p>
    <w:p w:rsidR="00A7470F" w:rsidRPr="005D1D7A" w:rsidRDefault="00A7470F" w:rsidP="00A7470F">
      <w:pPr>
        <w:ind w:firstLine="567"/>
        <w:jc w:val="both"/>
        <w:rPr>
          <w:lang w:eastAsia="uk-UA"/>
        </w:rPr>
      </w:pPr>
      <w:proofErr w:type="spellStart"/>
      <w:proofErr w:type="gramStart"/>
      <w:r w:rsidRPr="005D1D7A">
        <w:rPr>
          <w:color w:val="000000"/>
          <w:lang w:eastAsia="uk-UA"/>
        </w:rPr>
        <w:t>П</w:t>
      </w:r>
      <w:proofErr w:type="gramEnd"/>
      <w:r w:rsidRPr="005D1D7A">
        <w:rPr>
          <w:color w:val="000000"/>
          <w:lang w:eastAsia="uk-UA"/>
        </w:rPr>
        <w:t>ід</w:t>
      </w:r>
      <w:proofErr w:type="spellEnd"/>
      <w:r w:rsidRPr="005D1D7A">
        <w:rPr>
          <w:color w:val="000000"/>
          <w:lang w:eastAsia="uk-UA"/>
        </w:rPr>
        <w:t xml:space="preserve"> час </w:t>
      </w:r>
      <w:proofErr w:type="spellStart"/>
      <w:r w:rsidRPr="005D1D7A">
        <w:rPr>
          <w:color w:val="000000"/>
          <w:lang w:eastAsia="uk-UA"/>
        </w:rPr>
        <w:t>роботи</w:t>
      </w:r>
      <w:proofErr w:type="spellEnd"/>
      <w:r w:rsidRPr="005D1D7A">
        <w:rPr>
          <w:color w:val="000000"/>
          <w:lang w:eastAsia="uk-UA"/>
        </w:rPr>
        <w:t xml:space="preserve"> з препаратом не </w:t>
      </w:r>
      <w:proofErr w:type="spellStart"/>
      <w:r w:rsidRPr="005D1D7A">
        <w:rPr>
          <w:color w:val="000000"/>
          <w:lang w:eastAsia="uk-UA"/>
        </w:rPr>
        <w:t>можна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курити</w:t>
      </w:r>
      <w:proofErr w:type="spellEnd"/>
      <w:r w:rsidRPr="005D1D7A">
        <w:rPr>
          <w:color w:val="000000"/>
          <w:lang w:eastAsia="uk-UA"/>
        </w:rPr>
        <w:t xml:space="preserve">, </w:t>
      </w:r>
      <w:proofErr w:type="spellStart"/>
      <w:r w:rsidRPr="005D1D7A">
        <w:rPr>
          <w:color w:val="000000"/>
          <w:lang w:eastAsia="uk-UA"/>
        </w:rPr>
        <w:t>пити</w:t>
      </w:r>
      <w:proofErr w:type="spellEnd"/>
      <w:r w:rsidRPr="005D1D7A">
        <w:rPr>
          <w:color w:val="000000"/>
          <w:lang w:eastAsia="uk-UA"/>
        </w:rPr>
        <w:t xml:space="preserve"> та </w:t>
      </w:r>
      <w:proofErr w:type="spellStart"/>
      <w:r w:rsidRPr="005D1D7A">
        <w:rPr>
          <w:color w:val="000000"/>
          <w:lang w:eastAsia="uk-UA"/>
        </w:rPr>
        <w:t>приймати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їжу</w:t>
      </w:r>
      <w:proofErr w:type="spellEnd"/>
      <w:r w:rsidRPr="005D1D7A">
        <w:rPr>
          <w:color w:val="000000"/>
          <w:lang w:eastAsia="uk-UA"/>
        </w:rPr>
        <w:t>.</w:t>
      </w:r>
    </w:p>
    <w:p w:rsidR="00A7470F" w:rsidRPr="005D1D7A" w:rsidRDefault="00A7470F" w:rsidP="00A7470F">
      <w:pPr>
        <w:ind w:firstLine="567"/>
        <w:jc w:val="both"/>
        <w:rPr>
          <w:lang w:eastAsia="uk-UA"/>
        </w:rPr>
      </w:pPr>
      <w:proofErr w:type="spellStart"/>
      <w:proofErr w:type="gramStart"/>
      <w:r w:rsidRPr="005D1D7A">
        <w:rPr>
          <w:color w:val="000000"/>
          <w:lang w:eastAsia="uk-UA"/>
        </w:rPr>
        <w:t>П</w:t>
      </w:r>
      <w:proofErr w:type="gramEnd"/>
      <w:r w:rsidRPr="005D1D7A">
        <w:rPr>
          <w:color w:val="000000"/>
          <w:lang w:eastAsia="uk-UA"/>
        </w:rPr>
        <w:t>ісля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закінчення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роботи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необхідно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вимити</w:t>
      </w:r>
      <w:proofErr w:type="spellEnd"/>
      <w:r w:rsidRPr="005D1D7A">
        <w:rPr>
          <w:color w:val="000000"/>
          <w:lang w:eastAsia="uk-UA"/>
        </w:rPr>
        <w:t xml:space="preserve"> руки з милом.</w:t>
      </w:r>
    </w:p>
    <w:p w:rsidR="00A7470F" w:rsidRPr="005D1D7A" w:rsidRDefault="00A7470F" w:rsidP="00A7470F">
      <w:pPr>
        <w:ind w:firstLine="567"/>
        <w:jc w:val="both"/>
        <w:rPr>
          <w:lang w:eastAsia="uk-UA"/>
        </w:rPr>
      </w:pPr>
      <w:r w:rsidRPr="005D1D7A">
        <w:rPr>
          <w:color w:val="000000"/>
          <w:lang w:eastAsia="uk-UA"/>
        </w:rPr>
        <w:t xml:space="preserve">При </w:t>
      </w:r>
      <w:proofErr w:type="spellStart"/>
      <w:r w:rsidRPr="005D1D7A">
        <w:rPr>
          <w:color w:val="000000"/>
          <w:lang w:eastAsia="uk-UA"/>
        </w:rPr>
        <w:t>випадковому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контакті</w:t>
      </w:r>
      <w:proofErr w:type="spellEnd"/>
      <w:r w:rsidRPr="005D1D7A">
        <w:rPr>
          <w:color w:val="000000"/>
          <w:lang w:eastAsia="uk-UA"/>
        </w:rPr>
        <w:t xml:space="preserve"> препарату </w:t>
      </w:r>
      <w:proofErr w:type="spellStart"/>
      <w:r w:rsidRPr="005D1D7A">
        <w:rPr>
          <w:color w:val="000000"/>
          <w:lang w:eastAsia="uk-UA"/>
        </w:rPr>
        <w:t>зі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шкірою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або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слизовими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оболонками</w:t>
      </w:r>
      <w:proofErr w:type="spellEnd"/>
      <w:r w:rsidRPr="005D1D7A">
        <w:rPr>
          <w:color w:val="000000"/>
          <w:lang w:eastAsia="uk-UA"/>
        </w:rPr>
        <w:t xml:space="preserve"> очей, </w:t>
      </w:r>
      <w:proofErr w:type="spellStart"/>
      <w:r w:rsidRPr="005D1D7A">
        <w:rPr>
          <w:color w:val="000000"/>
          <w:lang w:eastAsia="uk-UA"/>
        </w:rPr>
        <w:t>їх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необхідно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промити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gramStart"/>
      <w:r w:rsidRPr="005D1D7A">
        <w:rPr>
          <w:color w:val="000000"/>
          <w:lang w:eastAsia="uk-UA"/>
        </w:rPr>
        <w:t>великою</w:t>
      </w:r>
      <w:proofErr w:type="gram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кількістю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проточної</w:t>
      </w:r>
      <w:proofErr w:type="spellEnd"/>
      <w:r w:rsidRPr="005D1D7A">
        <w:rPr>
          <w:color w:val="000000"/>
          <w:lang w:eastAsia="uk-UA"/>
        </w:rPr>
        <w:t xml:space="preserve"> води.</w:t>
      </w:r>
    </w:p>
    <w:p w:rsidR="00A7470F" w:rsidRPr="005D1D7A" w:rsidRDefault="00A7470F" w:rsidP="00A7470F">
      <w:pPr>
        <w:ind w:firstLine="567"/>
        <w:jc w:val="both"/>
        <w:rPr>
          <w:lang w:eastAsia="uk-UA"/>
        </w:rPr>
      </w:pPr>
      <w:r w:rsidRPr="005D1D7A">
        <w:rPr>
          <w:color w:val="000000"/>
          <w:lang w:eastAsia="uk-UA"/>
        </w:rPr>
        <w:t xml:space="preserve">Людям </w:t>
      </w:r>
      <w:proofErr w:type="spellStart"/>
      <w:r w:rsidRPr="005D1D7A">
        <w:rPr>
          <w:color w:val="000000"/>
          <w:lang w:eastAsia="uk-UA"/>
        </w:rPr>
        <w:t>із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гіперчутливістю</w:t>
      </w:r>
      <w:proofErr w:type="spellEnd"/>
      <w:r w:rsidRPr="005D1D7A">
        <w:rPr>
          <w:color w:val="000000"/>
          <w:lang w:eastAsia="uk-UA"/>
        </w:rPr>
        <w:t xml:space="preserve"> до </w:t>
      </w:r>
      <w:proofErr w:type="spellStart"/>
      <w:r w:rsidRPr="005D1D7A">
        <w:rPr>
          <w:color w:val="000000"/>
          <w:lang w:eastAsia="uk-UA"/>
        </w:rPr>
        <w:t>толтразурилу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необхідно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уникати</w:t>
      </w:r>
      <w:proofErr w:type="spellEnd"/>
      <w:r w:rsidRPr="005D1D7A">
        <w:rPr>
          <w:color w:val="000000"/>
          <w:lang w:eastAsia="uk-UA"/>
        </w:rPr>
        <w:t xml:space="preserve"> контакту з препаратом.</w:t>
      </w:r>
    </w:p>
    <w:p w:rsidR="00A7470F" w:rsidRPr="005D1D7A" w:rsidRDefault="00A7470F" w:rsidP="00A7470F">
      <w:pPr>
        <w:ind w:firstLine="567"/>
        <w:jc w:val="both"/>
        <w:rPr>
          <w:color w:val="000000"/>
          <w:lang w:eastAsia="uk-UA"/>
        </w:rPr>
      </w:pPr>
      <w:r w:rsidRPr="005D1D7A">
        <w:rPr>
          <w:color w:val="000000"/>
          <w:lang w:eastAsia="uk-UA"/>
        </w:rPr>
        <w:t xml:space="preserve">У </w:t>
      </w:r>
      <w:proofErr w:type="spellStart"/>
      <w:r w:rsidRPr="005D1D7A">
        <w:rPr>
          <w:color w:val="000000"/>
          <w:lang w:eastAsia="uk-UA"/>
        </w:rPr>
        <w:t>випадку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виникнення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алергічних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реакцій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або</w:t>
      </w:r>
      <w:proofErr w:type="spellEnd"/>
      <w:r w:rsidRPr="005D1D7A">
        <w:rPr>
          <w:color w:val="000000"/>
          <w:lang w:eastAsia="uk-UA"/>
        </w:rPr>
        <w:t xml:space="preserve"> при </w:t>
      </w:r>
      <w:proofErr w:type="spellStart"/>
      <w:r w:rsidRPr="005D1D7A">
        <w:rPr>
          <w:color w:val="000000"/>
          <w:lang w:eastAsia="uk-UA"/>
        </w:rPr>
        <w:t>випадковому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потраплянні</w:t>
      </w:r>
      <w:proofErr w:type="spellEnd"/>
      <w:r w:rsidRPr="005D1D7A">
        <w:rPr>
          <w:color w:val="000000"/>
          <w:lang w:eastAsia="uk-UA"/>
        </w:rPr>
        <w:t xml:space="preserve"> препарату в </w:t>
      </w:r>
      <w:proofErr w:type="spellStart"/>
      <w:r w:rsidRPr="005D1D7A">
        <w:rPr>
          <w:color w:val="000000"/>
          <w:lang w:eastAsia="uk-UA"/>
        </w:rPr>
        <w:t>організм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людини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необхідно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негайно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звернутися</w:t>
      </w:r>
      <w:proofErr w:type="spellEnd"/>
      <w:r w:rsidRPr="005D1D7A">
        <w:rPr>
          <w:color w:val="000000"/>
          <w:lang w:eastAsia="uk-UA"/>
        </w:rPr>
        <w:t xml:space="preserve"> до </w:t>
      </w:r>
      <w:proofErr w:type="spellStart"/>
      <w:r w:rsidRPr="005D1D7A">
        <w:rPr>
          <w:color w:val="000000"/>
          <w:lang w:eastAsia="uk-UA"/>
        </w:rPr>
        <w:t>лі</w:t>
      </w:r>
      <w:proofErr w:type="gramStart"/>
      <w:r w:rsidRPr="005D1D7A">
        <w:rPr>
          <w:color w:val="000000"/>
          <w:lang w:eastAsia="uk-UA"/>
        </w:rPr>
        <w:t>каря</w:t>
      </w:r>
      <w:proofErr w:type="spellEnd"/>
      <w:proofErr w:type="gramEnd"/>
      <w:r w:rsidRPr="005D1D7A">
        <w:rPr>
          <w:color w:val="000000"/>
          <w:lang w:eastAsia="uk-UA"/>
        </w:rPr>
        <w:t xml:space="preserve"> (при </w:t>
      </w:r>
      <w:proofErr w:type="spellStart"/>
      <w:r w:rsidRPr="005D1D7A">
        <w:rPr>
          <w:color w:val="000000"/>
          <w:lang w:eastAsia="uk-UA"/>
        </w:rPr>
        <w:t>собі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мати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листівку</w:t>
      </w:r>
      <w:proofErr w:type="spellEnd"/>
      <w:r w:rsidRPr="005D1D7A">
        <w:rPr>
          <w:color w:val="000000"/>
          <w:lang w:eastAsia="uk-UA"/>
        </w:rPr>
        <w:t xml:space="preserve">-вкладку на препарат </w:t>
      </w:r>
      <w:proofErr w:type="spellStart"/>
      <w:r w:rsidRPr="005D1D7A">
        <w:rPr>
          <w:color w:val="000000"/>
          <w:lang w:eastAsia="uk-UA"/>
        </w:rPr>
        <w:t>або</w:t>
      </w:r>
      <w:proofErr w:type="spellEnd"/>
      <w:r w:rsidRPr="005D1D7A">
        <w:rPr>
          <w:color w:val="000000"/>
          <w:lang w:eastAsia="uk-UA"/>
        </w:rPr>
        <w:t xml:space="preserve"> </w:t>
      </w:r>
      <w:proofErr w:type="spellStart"/>
      <w:r w:rsidRPr="005D1D7A">
        <w:rPr>
          <w:color w:val="000000"/>
          <w:lang w:eastAsia="uk-UA"/>
        </w:rPr>
        <w:t>етикетку</w:t>
      </w:r>
      <w:proofErr w:type="spellEnd"/>
      <w:r w:rsidRPr="005D1D7A">
        <w:rPr>
          <w:color w:val="000000"/>
          <w:lang w:eastAsia="uk-UA"/>
        </w:rPr>
        <w:t>).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6. Ф</w:t>
      </w:r>
      <w:proofErr w:type="spellStart"/>
      <w:r w:rsidRPr="00D63F58">
        <w:rPr>
          <w:b/>
          <w:snapToGrid w:val="0"/>
          <w:lang w:val="uk-UA"/>
        </w:rPr>
        <w:t>армацевтичні</w:t>
      </w:r>
      <w:proofErr w:type="spellEnd"/>
      <w:r w:rsidRPr="00D63F58">
        <w:rPr>
          <w:b/>
          <w:snapToGrid w:val="0"/>
          <w:lang w:val="uk-UA"/>
        </w:rPr>
        <w:t xml:space="preserve"> особливості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D63F58">
        <w:rPr>
          <w:b/>
          <w:snapToGrid w:val="0"/>
          <w:lang w:val="uk-UA" w:eastAsia="en-US"/>
        </w:rPr>
        <w:t>6.1 Форми несумісності (основні)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D63F58">
        <w:rPr>
          <w:snapToGrid w:val="0"/>
          <w:lang w:val="uk-UA" w:eastAsia="en-US"/>
        </w:rPr>
        <w:t xml:space="preserve">Не застосовувати в комбінації із </w:t>
      </w:r>
      <w:proofErr w:type="spellStart"/>
      <w:r w:rsidRPr="00D63F58">
        <w:rPr>
          <w:snapToGrid w:val="0"/>
          <w:lang w:val="uk-UA" w:eastAsia="en-US"/>
        </w:rPr>
        <w:t>тетрациклінами</w:t>
      </w:r>
      <w:proofErr w:type="spellEnd"/>
      <w:r w:rsidRPr="00D63F58">
        <w:rPr>
          <w:snapToGrid w:val="0"/>
          <w:lang w:val="uk-UA" w:eastAsia="en-US"/>
        </w:rPr>
        <w:t>.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D63F58">
        <w:rPr>
          <w:snapToGrid w:val="0"/>
          <w:lang w:val="uk-UA" w:eastAsia="en-US"/>
        </w:rPr>
        <w:t>Не змішувати з іншими ветеринарними препаратами.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  <w:lang w:val="uk-UA"/>
        </w:rPr>
        <w:t>6.2 Термін придатності</w:t>
      </w:r>
    </w:p>
    <w:p w:rsidR="00A7470F" w:rsidRPr="00D63F58" w:rsidRDefault="00A7470F" w:rsidP="00A7470F">
      <w:pPr>
        <w:widowControl w:val="0"/>
        <w:ind w:firstLine="567"/>
        <w:jc w:val="both"/>
        <w:rPr>
          <w:lang w:val="uk-UA"/>
        </w:rPr>
      </w:pPr>
      <w:r w:rsidRPr="00D63F58">
        <w:rPr>
          <w:lang w:val="uk-UA"/>
        </w:rPr>
        <w:t xml:space="preserve">2 роки. 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bCs/>
          <w:lang w:val="uk-UA" w:eastAsia="uk-UA"/>
        </w:rPr>
      </w:pPr>
      <w:r w:rsidRPr="00D63F58">
        <w:rPr>
          <w:lang w:val="uk-UA"/>
        </w:rPr>
        <w:t xml:space="preserve">Після першого відбору з флакону препарат необхідно використати впродовж </w:t>
      </w:r>
      <w:r>
        <w:rPr>
          <w:lang w:val="uk-UA"/>
        </w:rPr>
        <w:t>28</w:t>
      </w:r>
      <w:r w:rsidRPr="00D63F58">
        <w:rPr>
          <w:lang w:val="uk-UA"/>
        </w:rPr>
        <w:t xml:space="preserve"> діб, за умови асептичного відбору та зберігання у темному місці </w:t>
      </w:r>
      <w:r>
        <w:rPr>
          <w:lang w:val="uk-UA"/>
        </w:rPr>
        <w:t>за</w:t>
      </w:r>
      <w:r w:rsidRPr="00D63F58">
        <w:rPr>
          <w:lang w:val="uk-UA"/>
        </w:rPr>
        <w:t xml:space="preserve"> температур</w:t>
      </w:r>
      <w:r>
        <w:rPr>
          <w:lang w:val="uk-UA"/>
        </w:rPr>
        <w:t>и</w:t>
      </w:r>
      <w:r w:rsidRPr="00D63F58">
        <w:rPr>
          <w:lang w:val="uk-UA"/>
        </w:rPr>
        <w:t xml:space="preserve"> від 5 до 25 °С.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D63F58">
        <w:rPr>
          <w:b/>
          <w:snapToGrid w:val="0"/>
        </w:rPr>
        <w:t>6.3</w:t>
      </w:r>
      <w:r w:rsidRPr="00D63F58">
        <w:rPr>
          <w:b/>
          <w:snapToGrid w:val="0"/>
          <w:lang w:val="uk-UA"/>
        </w:rPr>
        <w:t xml:space="preserve"> </w:t>
      </w:r>
      <w:proofErr w:type="spellStart"/>
      <w:r w:rsidRPr="00D63F58">
        <w:rPr>
          <w:b/>
          <w:snapToGrid w:val="0"/>
        </w:rPr>
        <w:t>Особливі</w:t>
      </w:r>
      <w:proofErr w:type="spellEnd"/>
      <w:r w:rsidRPr="00D63F58">
        <w:rPr>
          <w:b/>
          <w:snapToGrid w:val="0"/>
        </w:rPr>
        <w:t xml:space="preserve"> за</w:t>
      </w:r>
      <w:r w:rsidRPr="00D63F58">
        <w:rPr>
          <w:b/>
          <w:snapToGrid w:val="0"/>
          <w:lang w:val="uk-UA"/>
        </w:rPr>
        <w:t>ходи</w:t>
      </w:r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зберігання</w:t>
      </w:r>
      <w:proofErr w:type="spellEnd"/>
    </w:p>
    <w:p w:rsidR="00A7470F" w:rsidRPr="00D63F58" w:rsidRDefault="00A7470F" w:rsidP="00A7470F">
      <w:pPr>
        <w:widowControl w:val="0"/>
        <w:ind w:firstLine="567"/>
        <w:jc w:val="both"/>
        <w:rPr>
          <w:lang w:val="uk-UA"/>
        </w:rPr>
      </w:pPr>
      <w:r w:rsidRPr="00D63F58">
        <w:rPr>
          <w:lang w:val="uk-UA"/>
        </w:rPr>
        <w:t xml:space="preserve">Сухе темне, недоступне для дітей місце </w:t>
      </w:r>
      <w:r>
        <w:rPr>
          <w:lang w:val="uk-UA"/>
        </w:rPr>
        <w:t xml:space="preserve">за </w:t>
      </w:r>
      <w:r w:rsidRPr="00D63F58">
        <w:rPr>
          <w:lang w:val="uk-UA"/>
        </w:rPr>
        <w:t>температур</w:t>
      </w:r>
      <w:r>
        <w:rPr>
          <w:lang w:val="uk-UA"/>
        </w:rPr>
        <w:t>и</w:t>
      </w:r>
      <w:r w:rsidRPr="00D63F58">
        <w:rPr>
          <w:lang w:val="uk-UA"/>
        </w:rPr>
        <w:t xml:space="preserve"> від 5 до 25 °С.</w:t>
      </w:r>
      <w:r w:rsidRPr="00D63F58">
        <w:rPr>
          <w:color w:val="000000"/>
          <w:lang w:val="uk-UA" w:eastAsia="ar-SA"/>
        </w:rPr>
        <w:t xml:space="preserve"> 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</w:rPr>
      </w:pPr>
      <w:r w:rsidRPr="00D63F58">
        <w:rPr>
          <w:b/>
          <w:snapToGrid w:val="0"/>
        </w:rPr>
        <w:t xml:space="preserve">6.4 Природа і склад контейнера </w:t>
      </w:r>
      <w:proofErr w:type="spellStart"/>
      <w:r w:rsidRPr="00D63F58">
        <w:rPr>
          <w:b/>
          <w:snapToGrid w:val="0"/>
        </w:rPr>
        <w:t>первинного</w:t>
      </w:r>
      <w:proofErr w:type="spellEnd"/>
      <w:r w:rsidRPr="00D63F58">
        <w:rPr>
          <w:b/>
          <w:snapToGrid w:val="0"/>
        </w:rPr>
        <w:t xml:space="preserve"> </w:t>
      </w:r>
      <w:proofErr w:type="spellStart"/>
      <w:r w:rsidRPr="00D63F58">
        <w:rPr>
          <w:b/>
          <w:snapToGrid w:val="0"/>
        </w:rPr>
        <w:t>пакування</w:t>
      </w:r>
      <w:proofErr w:type="spellEnd"/>
    </w:p>
    <w:p w:rsidR="00A7470F" w:rsidRPr="00D63F58" w:rsidRDefault="00A7470F" w:rsidP="00A7470F">
      <w:pPr>
        <w:ind w:firstLine="567"/>
        <w:jc w:val="both"/>
        <w:rPr>
          <w:lang w:val="uk-UA"/>
        </w:rPr>
      </w:pPr>
      <w:proofErr w:type="spellStart"/>
      <w:r w:rsidRPr="00D63F58">
        <w:t>Флакони</w:t>
      </w:r>
      <w:proofErr w:type="spellEnd"/>
      <w:r w:rsidRPr="00D63F58">
        <w:t xml:space="preserve"> з нейтрального </w:t>
      </w:r>
      <w:proofErr w:type="spellStart"/>
      <w:r w:rsidRPr="00D63F58">
        <w:t>скла</w:t>
      </w:r>
      <w:proofErr w:type="spellEnd"/>
      <w:r w:rsidRPr="00D63F58">
        <w:t xml:space="preserve"> марки НС-1, НС-2, УСП-1</w:t>
      </w:r>
      <w:r w:rsidRPr="00D63F58">
        <w:rPr>
          <w:lang w:val="uk-UA"/>
        </w:rPr>
        <w:t>, які</w:t>
      </w:r>
      <w:r w:rsidRPr="00D63F58">
        <w:t xml:space="preserve"> </w:t>
      </w:r>
      <w:proofErr w:type="spellStart"/>
      <w:r w:rsidRPr="00D63F58">
        <w:t>закриті</w:t>
      </w:r>
      <w:proofErr w:type="spellEnd"/>
      <w:r w:rsidRPr="00D63F58">
        <w:t xml:space="preserve"> </w:t>
      </w:r>
      <w:proofErr w:type="spellStart"/>
      <w:r w:rsidRPr="00D63F58">
        <w:t>гумовими</w:t>
      </w:r>
      <w:proofErr w:type="spellEnd"/>
      <w:r w:rsidRPr="00D63F58">
        <w:t xml:space="preserve"> корками </w:t>
      </w:r>
      <w:proofErr w:type="spellStart"/>
      <w:proofErr w:type="gramStart"/>
      <w:r w:rsidRPr="00D63F58">
        <w:t>п</w:t>
      </w:r>
      <w:proofErr w:type="gramEnd"/>
      <w:r w:rsidRPr="00D63F58">
        <w:t>ід</w:t>
      </w:r>
      <w:proofErr w:type="spellEnd"/>
      <w:r w:rsidRPr="00D63F58">
        <w:t xml:space="preserve"> </w:t>
      </w:r>
      <w:proofErr w:type="spellStart"/>
      <w:r w:rsidRPr="00D63F58">
        <w:t>алюмінієв</w:t>
      </w:r>
      <w:r w:rsidRPr="00D63F58">
        <w:rPr>
          <w:lang w:val="uk-UA"/>
        </w:rPr>
        <w:t>ими</w:t>
      </w:r>
      <w:proofErr w:type="spellEnd"/>
      <w:r w:rsidRPr="00D63F58">
        <w:t xml:space="preserve"> </w:t>
      </w:r>
      <w:proofErr w:type="spellStart"/>
      <w:r w:rsidRPr="00D63F58">
        <w:t>обкатк</w:t>
      </w:r>
      <w:r w:rsidRPr="00D63F58">
        <w:rPr>
          <w:lang w:val="uk-UA"/>
        </w:rPr>
        <w:t>ами</w:t>
      </w:r>
      <w:proofErr w:type="spellEnd"/>
      <w:r w:rsidRPr="00D63F58">
        <w:rPr>
          <w:lang w:val="uk-UA"/>
        </w:rPr>
        <w:t>,</w:t>
      </w:r>
      <w:r w:rsidRPr="00D63F58">
        <w:t xml:space="preserve"> </w:t>
      </w:r>
      <w:r w:rsidRPr="00D63F58">
        <w:rPr>
          <w:lang w:val="uk-UA"/>
        </w:rPr>
        <w:t xml:space="preserve">об’ємом </w:t>
      </w:r>
      <w:r w:rsidRPr="00D63F58">
        <w:t>10, 20, 50, 100 та 200 мл</w:t>
      </w:r>
      <w:r w:rsidRPr="00D63F58">
        <w:rPr>
          <w:lang w:val="uk-UA"/>
        </w:rPr>
        <w:t>, вкладені у картонні пачки</w:t>
      </w:r>
      <w:r w:rsidRPr="00D63F58">
        <w:t>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szCs w:val="20"/>
          <w:lang w:val="uk-UA" w:eastAsia="en-US"/>
        </w:rPr>
      </w:pPr>
      <w:r w:rsidRPr="00D63F58">
        <w:rPr>
          <w:b/>
          <w:snapToGrid w:val="0"/>
          <w:lang w:val="uk-UA" w:eastAsia="en-US"/>
        </w:rPr>
        <w:t xml:space="preserve">6.5 </w:t>
      </w:r>
      <w:r w:rsidRPr="00D63F58">
        <w:rPr>
          <w:b/>
          <w:snapToGrid w:val="0"/>
          <w:szCs w:val="20"/>
          <w:lang w:val="uk-UA" w:eastAsia="en-US"/>
        </w:rPr>
        <w:t>Особливі заходи безпеки при поводженні з невикористаним препаратом або із його залишками</w:t>
      </w:r>
    </w:p>
    <w:p w:rsidR="00A7470F" w:rsidRPr="00D63F58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D63F58">
        <w:rPr>
          <w:snapToGrid w:val="0"/>
          <w:szCs w:val="20"/>
          <w:lang w:val="uk-UA" w:eastAsia="en-US"/>
        </w:rPr>
        <w:t>Невикористаний препарат або його залишки утилізують згідно з чинними вимогами.</w:t>
      </w:r>
    </w:p>
    <w:p w:rsidR="00A7470F" w:rsidRPr="00D63F58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D63F58">
        <w:rPr>
          <w:b/>
          <w:snapToGrid w:val="0"/>
          <w:lang w:val="uk-UA" w:eastAsia="en-US"/>
        </w:rPr>
        <w:t>7. Назва і місцезнаходження власника реєстраційного посвідчення</w:t>
      </w:r>
    </w:p>
    <w:tbl>
      <w:tblPr>
        <w:tblW w:w="12688" w:type="dxa"/>
        <w:tblInd w:w="534" w:type="dxa"/>
        <w:tblLook w:val="04A0" w:firstRow="1" w:lastRow="0" w:firstColumn="1" w:lastColumn="0" w:noHBand="0" w:noVBand="1"/>
      </w:tblPr>
      <w:tblGrid>
        <w:gridCol w:w="8363"/>
        <w:gridCol w:w="4325"/>
      </w:tblGrid>
      <w:tr w:rsidR="00A7470F" w:rsidRPr="00D63F58" w:rsidTr="00127294">
        <w:tc>
          <w:tcPr>
            <w:tcW w:w="8363" w:type="dxa"/>
          </w:tcPr>
          <w:p w:rsidR="00A7470F" w:rsidRPr="00D63F58" w:rsidRDefault="00A7470F" w:rsidP="00127294">
            <w:pPr>
              <w:jc w:val="both"/>
            </w:pPr>
            <w:r>
              <w:rPr>
                <w:lang w:val="uk-UA"/>
              </w:rPr>
              <w:t>Товариство з обмеженою відповідальністю</w:t>
            </w:r>
            <w:r w:rsidRPr="00D63F58">
              <w:t xml:space="preserve"> “</w:t>
            </w:r>
            <w:proofErr w:type="spellStart"/>
            <w:r w:rsidRPr="00D63F58">
              <w:t>Ветсинтез</w:t>
            </w:r>
            <w:proofErr w:type="spellEnd"/>
            <w:r w:rsidRPr="00D63F58">
              <w:t xml:space="preserve">” </w:t>
            </w:r>
          </w:p>
        </w:tc>
        <w:tc>
          <w:tcPr>
            <w:tcW w:w="4325" w:type="dxa"/>
          </w:tcPr>
          <w:p w:rsidR="00A7470F" w:rsidRPr="00D63F58" w:rsidRDefault="00A7470F" w:rsidP="00127294">
            <w:pPr>
              <w:jc w:val="both"/>
              <w:rPr>
                <w:lang w:val="pt-BR"/>
              </w:rPr>
            </w:pPr>
          </w:p>
        </w:tc>
      </w:tr>
      <w:tr w:rsidR="00A7470F" w:rsidRPr="00D63F58" w:rsidTr="00127294">
        <w:tc>
          <w:tcPr>
            <w:tcW w:w="8363" w:type="dxa"/>
          </w:tcPr>
          <w:p w:rsidR="00A7470F" w:rsidRPr="00D63F58" w:rsidRDefault="00A7470F" w:rsidP="00127294">
            <w:r w:rsidRPr="00D63F58">
              <w:t>61001</w:t>
            </w:r>
            <w:r w:rsidRPr="00D63F58">
              <w:rPr>
                <w:lang w:val="uk-UA"/>
              </w:rPr>
              <w:t xml:space="preserve">, </w:t>
            </w:r>
            <w:proofErr w:type="spellStart"/>
            <w:r w:rsidRPr="00D63F58">
              <w:t>вул</w:t>
            </w:r>
            <w:proofErr w:type="spellEnd"/>
            <w:r w:rsidRPr="00D63F58">
              <w:t xml:space="preserve">. </w:t>
            </w:r>
            <w:proofErr w:type="spellStart"/>
            <w:r>
              <w:rPr>
                <w:lang w:val="uk-UA"/>
              </w:rPr>
              <w:t>Бобанича</w:t>
            </w:r>
            <w:proofErr w:type="spellEnd"/>
            <w:r>
              <w:rPr>
                <w:lang w:val="uk-UA"/>
              </w:rPr>
              <w:t xml:space="preserve"> Тараса</w:t>
            </w:r>
            <w:r w:rsidRPr="00D63F58">
              <w:t xml:space="preserve">, 30, м. </w:t>
            </w:r>
            <w:proofErr w:type="spellStart"/>
            <w:r w:rsidRPr="00D63F58">
              <w:t>Харків</w:t>
            </w:r>
            <w:proofErr w:type="spellEnd"/>
            <w:r w:rsidRPr="00D63F58">
              <w:t>,</w:t>
            </w:r>
            <w:r w:rsidRPr="00D63F58">
              <w:rPr>
                <w:lang w:val="uk-UA"/>
              </w:rPr>
              <w:t xml:space="preserve"> </w:t>
            </w:r>
            <w:proofErr w:type="spellStart"/>
            <w:r w:rsidRPr="00D63F58">
              <w:t>Україна</w:t>
            </w:r>
            <w:proofErr w:type="spellEnd"/>
          </w:p>
        </w:tc>
        <w:tc>
          <w:tcPr>
            <w:tcW w:w="4325" w:type="dxa"/>
          </w:tcPr>
          <w:p w:rsidR="00A7470F" w:rsidRPr="00D63F58" w:rsidRDefault="00A7470F" w:rsidP="00127294">
            <w:pPr>
              <w:jc w:val="both"/>
              <w:rPr>
                <w:lang w:val="uk-UA"/>
              </w:rPr>
            </w:pPr>
          </w:p>
        </w:tc>
      </w:tr>
    </w:tbl>
    <w:p w:rsidR="00A7470F" w:rsidRPr="00D63F58" w:rsidRDefault="00A7470F" w:rsidP="00A7470F">
      <w:pPr>
        <w:widowControl w:val="0"/>
        <w:ind w:firstLine="567"/>
        <w:jc w:val="both"/>
        <w:rPr>
          <w:b/>
          <w:lang w:val="uk-UA"/>
        </w:rPr>
      </w:pPr>
      <w:r w:rsidRPr="00D63F58">
        <w:rPr>
          <w:b/>
          <w:snapToGrid w:val="0"/>
          <w:lang w:val="uk-UA"/>
        </w:rPr>
        <w:t xml:space="preserve">8. </w:t>
      </w:r>
      <w:r w:rsidRPr="00D63F58">
        <w:rPr>
          <w:b/>
          <w:lang w:val="uk-UA"/>
        </w:rPr>
        <w:t>Назва і місцезнаходження виробника</w:t>
      </w:r>
    </w:p>
    <w:tbl>
      <w:tblPr>
        <w:tblW w:w="16159" w:type="dxa"/>
        <w:tblInd w:w="534" w:type="dxa"/>
        <w:tblLook w:val="04A0" w:firstRow="1" w:lastRow="0" w:firstColumn="1" w:lastColumn="0" w:noHBand="0" w:noVBand="1"/>
      </w:tblPr>
      <w:tblGrid>
        <w:gridCol w:w="6237"/>
        <w:gridCol w:w="5103"/>
        <w:gridCol w:w="4819"/>
      </w:tblGrid>
      <w:tr w:rsidR="00A7470F" w:rsidRPr="00D63F58" w:rsidTr="00127294">
        <w:tc>
          <w:tcPr>
            <w:tcW w:w="6237" w:type="dxa"/>
          </w:tcPr>
          <w:p w:rsidR="00A7470F" w:rsidRPr="00D63F58" w:rsidRDefault="00A7470F" w:rsidP="00127294">
            <w:pPr>
              <w:jc w:val="both"/>
            </w:pPr>
            <w:r>
              <w:rPr>
                <w:lang w:val="uk-UA"/>
              </w:rPr>
              <w:t>Товариство з обмеженою відповідальністю</w:t>
            </w:r>
            <w:r w:rsidRPr="00D63F58">
              <w:t xml:space="preserve"> “</w:t>
            </w:r>
            <w:proofErr w:type="spellStart"/>
            <w:r w:rsidRPr="00D63F58">
              <w:t>Ветсинтез</w:t>
            </w:r>
            <w:proofErr w:type="spellEnd"/>
            <w:r w:rsidRPr="00D63F58">
              <w:t xml:space="preserve">” </w:t>
            </w:r>
          </w:p>
        </w:tc>
        <w:tc>
          <w:tcPr>
            <w:tcW w:w="5103" w:type="dxa"/>
          </w:tcPr>
          <w:p w:rsidR="00A7470F" w:rsidRPr="00D63F58" w:rsidRDefault="00A7470F" w:rsidP="00127294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:rsidR="00A7470F" w:rsidRPr="00D63F58" w:rsidRDefault="00A7470F" w:rsidP="00127294">
            <w:pPr>
              <w:jc w:val="both"/>
              <w:rPr>
                <w:lang w:val="pt-BR"/>
              </w:rPr>
            </w:pPr>
          </w:p>
        </w:tc>
      </w:tr>
      <w:tr w:rsidR="00A7470F" w:rsidRPr="00D63F58" w:rsidTr="00127294">
        <w:tc>
          <w:tcPr>
            <w:tcW w:w="6237" w:type="dxa"/>
          </w:tcPr>
          <w:p w:rsidR="00A7470F" w:rsidRPr="00D63F58" w:rsidRDefault="00A7470F" w:rsidP="00127294">
            <w:r w:rsidRPr="00D63F58">
              <w:t>61001</w:t>
            </w:r>
            <w:r w:rsidRPr="00D63F58">
              <w:rPr>
                <w:lang w:val="uk-UA"/>
              </w:rPr>
              <w:t xml:space="preserve">, </w:t>
            </w:r>
            <w:proofErr w:type="spellStart"/>
            <w:r w:rsidRPr="00D63F58">
              <w:t>вул</w:t>
            </w:r>
            <w:proofErr w:type="spellEnd"/>
            <w:r w:rsidRPr="00D63F58">
              <w:t xml:space="preserve">. </w:t>
            </w:r>
            <w:proofErr w:type="spellStart"/>
            <w:r>
              <w:rPr>
                <w:lang w:val="uk-UA"/>
              </w:rPr>
              <w:t>Бобанича</w:t>
            </w:r>
            <w:proofErr w:type="spellEnd"/>
            <w:r>
              <w:rPr>
                <w:lang w:val="uk-UA"/>
              </w:rPr>
              <w:t xml:space="preserve"> Тараса</w:t>
            </w:r>
            <w:r w:rsidRPr="00D63F58">
              <w:t xml:space="preserve">, 30, м. </w:t>
            </w:r>
            <w:proofErr w:type="spellStart"/>
            <w:r w:rsidRPr="00D63F58">
              <w:t>Харків</w:t>
            </w:r>
            <w:proofErr w:type="spellEnd"/>
            <w:r w:rsidRPr="00D63F58">
              <w:t>,</w:t>
            </w:r>
            <w:r w:rsidRPr="00D63F58">
              <w:rPr>
                <w:lang w:val="uk-UA"/>
              </w:rPr>
              <w:t xml:space="preserve"> </w:t>
            </w:r>
            <w:proofErr w:type="spellStart"/>
            <w:r w:rsidRPr="00D63F58">
              <w:t>Україна</w:t>
            </w:r>
            <w:proofErr w:type="spellEnd"/>
          </w:p>
        </w:tc>
        <w:tc>
          <w:tcPr>
            <w:tcW w:w="5103" w:type="dxa"/>
          </w:tcPr>
          <w:p w:rsidR="00A7470F" w:rsidRPr="00D63F58" w:rsidRDefault="00A7470F" w:rsidP="00127294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:rsidR="00A7470F" w:rsidRPr="00D63F58" w:rsidRDefault="00A7470F" w:rsidP="00127294">
            <w:pPr>
              <w:jc w:val="both"/>
              <w:rPr>
                <w:lang w:val="pt-BR"/>
              </w:rPr>
            </w:pPr>
          </w:p>
        </w:tc>
      </w:tr>
    </w:tbl>
    <w:p w:rsidR="00A7470F" w:rsidRPr="00D63F58" w:rsidRDefault="00A7470F" w:rsidP="00A7470F">
      <w:pPr>
        <w:widowControl w:val="0"/>
        <w:ind w:firstLine="567"/>
        <w:jc w:val="both"/>
        <w:rPr>
          <w:b/>
          <w:lang w:val="uk-UA"/>
        </w:rPr>
      </w:pPr>
      <w:r w:rsidRPr="00D63F58">
        <w:rPr>
          <w:b/>
          <w:lang w:val="uk-UA"/>
        </w:rPr>
        <w:t>9. Додаткова інформація</w:t>
      </w:r>
    </w:p>
    <w:p w:rsidR="00DB10F8" w:rsidRDefault="00DB10F8"/>
    <w:sectPr w:rsidR="00DB10F8" w:rsidSect="00035C5A">
      <w:footerReference w:type="default" r:id="rId8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75" w:rsidRDefault="00BC6775" w:rsidP="00005069">
      <w:r>
        <w:separator/>
      </w:r>
    </w:p>
  </w:endnote>
  <w:endnote w:type="continuationSeparator" w:id="0">
    <w:p w:rsidR="00BC6775" w:rsidRDefault="00BC6775" w:rsidP="0000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45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05069" w:rsidRPr="00005069" w:rsidRDefault="00005069">
        <w:pPr>
          <w:pStyle w:val="aa"/>
          <w:jc w:val="center"/>
          <w:rPr>
            <w:sz w:val="20"/>
            <w:szCs w:val="20"/>
          </w:rPr>
        </w:pPr>
        <w:r w:rsidRPr="00005069">
          <w:rPr>
            <w:sz w:val="20"/>
            <w:szCs w:val="20"/>
          </w:rPr>
          <w:fldChar w:fldCharType="begin"/>
        </w:r>
        <w:r w:rsidRPr="00005069">
          <w:rPr>
            <w:sz w:val="20"/>
            <w:szCs w:val="20"/>
          </w:rPr>
          <w:instrText>PAGE   \* MERGEFORMAT</w:instrText>
        </w:r>
        <w:r w:rsidRPr="00005069">
          <w:rPr>
            <w:sz w:val="20"/>
            <w:szCs w:val="20"/>
          </w:rPr>
          <w:fldChar w:fldCharType="separate"/>
        </w:r>
        <w:r w:rsidR="009F7943">
          <w:rPr>
            <w:noProof/>
            <w:sz w:val="20"/>
            <w:szCs w:val="20"/>
          </w:rPr>
          <w:t>3</w:t>
        </w:r>
        <w:r w:rsidRPr="00005069">
          <w:rPr>
            <w:sz w:val="20"/>
            <w:szCs w:val="20"/>
          </w:rPr>
          <w:fldChar w:fldCharType="end"/>
        </w:r>
      </w:p>
    </w:sdtContent>
  </w:sdt>
  <w:p w:rsidR="00005069" w:rsidRDefault="000050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75" w:rsidRDefault="00BC6775" w:rsidP="00005069">
      <w:r>
        <w:separator/>
      </w:r>
    </w:p>
  </w:footnote>
  <w:footnote w:type="continuationSeparator" w:id="0">
    <w:p w:rsidR="00BC6775" w:rsidRDefault="00BC6775" w:rsidP="0000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3"/>
    <w:rsid w:val="00005069"/>
    <w:rsid w:val="00035C5A"/>
    <w:rsid w:val="000848E1"/>
    <w:rsid w:val="00127294"/>
    <w:rsid w:val="00171125"/>
    <w:rsid w:val="00184D48"/>
    <w:rsid w:val="001F1397"/>
    <w:rsid w:val="00305B48"/>
    <w:rsid w:val="0031619E"/>
    <w:rsid w:val="00426035"/>
    <w:rsid w:val="00612383"/>
    <w:rsid w:val="007529A5"/>
    <w:rsid w:val="0080553B"/>
    <w:rsid w:val="00813F73"/>
    <w:rsid w:val="0084278D"/>
    <w:rsid w:val="008A6904"/>
    <w:rsid w:val="008F7805"/>
    <w:rsid w:val="00901AF4"/>
    <w:rsid w:val="009F7943"/>
    <w:rsid w:val="00A7470F"/>
    <w:rsid w:val="00A90734"/>
    <w:rsid w:val="00BC6775"/>
    <w:rsid w:val="00C06843"/>
    <w:rsid w:val="00CF0B9E"/>
    <w:rsid w:val="00D01109"/>
    <w:rsid w:val="00D54461"/>
    <w:rsid w:val="00DB10F8"/>
    <w:rsid w:val="00EB411D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0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A7470F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A7470F"/>
    <w:rPr>
      <w:rFonts w:eastAsia="Times New Roman"/>
      <w:sz w:val="24"/>
      <w:szCs w:val="24"/>
      <w:lang w:eastAsia="ru-RU"/>
    </w:rPr>
  </w:style>
  <w:style w:type="character" w:customStyle="1" w:styleId="cs5efed22f2">
    <w:name w:val="cs5efed22f2"/>
    <w:rsid w:val="00A7470F"/>
    <w:rPr>
      <w:rFonts w:ascii="Times New Roman" w:hAnsi="Times New Roman"/>
      <w:color w:val="000000"/>
      <w:sz w:val="24"/>
      <w:szCs w:val="24"/>
    </w:rPr>
  </w:style>
  <w:style w:type="paragraph" w:customStyle="1" w:styleId="cs7fb5c607">
    <w:name w:val="cs7fb5c607"/>
    <w:basedOn w:val="a"/>
    <w:rsid w:val="00A7470F"/>
    <w:pPr>
      <w:ind w:firstLine="720"/>
      <w:jc w:val="both"/>
    </w:pPr>
    <w:rPr>
      <w:lang w:eastAsia="uk-UA"/>
    </w:rPr>
  </w:style>
  <w:style w:type="character" w:customStyle="1" w:styleId="cs5efed22f4">
    <w:name w:val="cs5efed22f4"/>
    <w:rsid w:val="00A7470F"/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069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069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0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A7470F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A7470F"/>
    <w:rPr>
      <w:rFonts w:eastAsia="Times New Roman"/>
      <w:sz w:val="24"/>
      <w:szCs w:val="24"/>
      <w:lang w:eastAsia="ru-RU"/>
    </w:rPr>
  </w:style>
  <w:style w:type="character" w:customStyle="1" w:styleId="cs5efed22f2">
    <w:name w:val="cs5efed22f2"/>
    <w:rsid w:val="00A7470F"/>
    <w:rPr>
      <w:rFonts w:ascii="Times New Roman" w:hAnsi="Times New Roman"/>
      <w:color w:val="000000"/>
      <w:sz w:val="24"/>
      <w:szCs w:val="24"/>
    </w:rPr>
  </w:style>
  <w:style w:type="paragraph" w:customStyle="1" w:styleId="cs7fb5c607">
    <w:name w:val="cs7fb5c607"/>
    <w:basedOn w:val="a"/>
    <w:rsid w:val="00A7470F"/>
    <w:pPr>
      <w:ind w:firstLine="720"/>
      <w:jc w:val="both"/>
    </w:pPr>
    <w:rPr>
      <w:lang w:eastAsia="uk-UA"/>
    </w:rPr>
  </w:style>
  <w:style w:type="character" w:customStyle="1" w:styleId="cs5efed22f4">
    <w:name w:val="cs5efed22f4"/>
    <w:rsid w:val="00A7470F"/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069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06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9790-9CA5-40DF-A2C4-FF8F741A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marta</cp:lastModifiedBy>
  <cp:revision>17</cp:revision>
  <dcterms:created xsi:type="dcterms:W3CDTF">2025-12-15T08:19:00Z</dcterms:created>
  <dcterms:modified xsi:type="dcterms:W3CDTF">2026-04-24T09:49:00Z</dcterms:modified>
</cp:coreProperties>
</file>